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4B2" w:rsidRPr="00FC62E6" w:rsidRDefault="00AC34B2" w:rsidP="00AC34B2">
      <w:pPr>
        <w:autoSpaceDE w:val="0"/>
        <w:autoSpaceDN w:val="0"/>
        <w:adjustRightInd w:val="0"/>
        <w:spacing w:before="40"/>
        <w:ind w:firstLine="720"/>
        <w:jc w:val="both"/>
        <w:rPr>
          <w:b/>
          <w:bCs/>
          <w:color w:val="000000"/>
          <w:sz w:val="28"/>
          <w:szCs w:val="28"/>
        </w:rPr>
      </w:pPr>
      <w:r w:rsidRPr="00FC62E6">
        <w:rPr>
          <w:b/>
          <w:bCs/>
          <w:color w:val="000000"/>
          <w:sz w:val="28"/>
          <w:szCs w:val="28"/>
        </w:rPr>
        <w:t>Mục 3. Tiêu chuẩn đánh giá về kỹ thuật</w:t>
      </w:r>
    </w:p>
    <w:p w:rsidR="00AC34B2" w:rsidRPr="00FC62E6" w:rsidRDefault="00AC34B2" w:rsidP="00AC34B2">
      <w:pPr>
        <w:autoSpaceDE w:val="0"/>
        <w:autoSpaceDN w:val="0"/>
        <w:adjustRightInd w:val="0"/>
        <w:spacing w:before="40"/>
        <w:ind w:firstLine="720"/>
        <w:jc w:val="both"/>
        <w:rPr>
          <w:color w:val="000000"/>
          <w:sz w:val="28"/>
          <w:szCs w:val="28"/>
        </w:rPr>
      </w:pPr>
      <w:r w:rsidRPr="00FC62E6">
        <w:rPr>
          <w:b/>
          <w:bCs/>
          <w:color w:val="000000"/>
          <w:sz w:val="28"/>
          <w:szCs w:val="28"/>
        </w:rPr>
        <w:t>Đánh giá theo phương pháp chấm điểm:</w:t>
      </w:r>
    </w:p>
    <w:p w:rsidR="00AC34B2" w:rsidRDefault="00AC34B2" w:rsidP="00AC34B2">
      <w:pPr>
        <w:spacing w:before="120" w:after="120"/>
        <w:ind w:firstLine="567"/>
        <w:jc w:val="both"/>
        <w:rPr>
          <w:color w:val="000000"/>
          <w:sz w:val="28"/>
          <w:szCs w:val="28"/>
          <w:lang w:val="es-ES"/>
        </w:rPr>
      </w:pPr>
      <w:r w:rsidRPr="00FC62E6">
        <w:rPr>
          <w:color w:val="000000"/>
          <w:sz w:val="28"/>
          <w:szCs w:val="28"/>
          <w:lang w:val="es-ES"/>
        </w:rPr>
        <w:t>Mức điểm yêu cầu tối thiểu quy định không thấp hơn 70% tổng số điểm về kỹ thuật. E-HSDT có tổng số điểm (cũng như số điểm của các tiêu chuẩn tổng quát</w:t>
      </w:r>
      <w:r w:rsidRPr="00AB7112">
        <w:rPr>
          <w:color w:val="000000"/>
          <w:sz w:val="28"/>
          <w:szCs w:val="28"/>
          <w:lang w:val="es-ES"/>
        </w:rPr>
        <w:t xml:space="preserve"> – tiêu chuẩn số 1, 2, 3, 4, 5, 6</w:t>
      </w:r>
      <w:r w:rsidRPr="00FC62E6">
        <w:rPr>
          <w:color w:val="000000"/>
          <w:sz w:val="28"/>
          <w:szCs w:val="28"/>
          <w:lang w:val="vi-VN"/>
        </w:rPr>
        <w:t xml:space="preserve"> </w:t>
      </w:r>
      <w:r w:rsidRPr="00AB7112">
        <w:rPr>
          <w:color w:val="000000"/>
          <w:sz w:val="28"/>
          <w:szCs w:val="28"/>
          <w:lang w:val="es-ES"/>
        </w:rPr>
        <w:t xml:space="preserve">và </w:t>
      </w:r>
      <w:r w:rsidRPr="00FC62E6">
        <w:rPr>
          <w:color w:val="000000"/>
          <w:sz w:val="28"/>
          <w:szCs w:val="28"/>
          <w:lang w:val="vi-VN"/>
        </w:rPr>
        <w:t>7</w:t>
      </w:r>
      <w:r w:rsidRPr="00FC62E6">
        <w:rPr>
          <w:color w:val="000000"/>
          <w:sz w:val="28"/>
          <w:szCs w:val="28"/>
          <w:lang w:val="es-ES"/>
        </w:rPr>
        <w:t>) đạt bằng hoặc vượt mức điểm yêu cầu tối thiểu sẽ được đánh giá là đạt yêu cầu về kỹ thuật và được tiếp tục xem xét về tài chính.</w:t>
      </w:r>
    </w:p>
    <w:p w:rsidR="00AC34B2" w:rsidRDefault="00AC34B2" w:rsidP="00AC34B2">
      <w:pPr>
        <w:spacing w:before="120" w:after="120"/>
        <w:ind w:firstLine="567"/>
        <w:jc w:val="both"/>
        <w:rPr>
          <w:rFonts w:eastAsia="Calibri"/>
          <w:sz w:val="22"/>
          <w:szCs w:val="22"/>
        </w:rPr>
      </w:pPr>
      <w:r>
        <w:rPr>
          <w:lang w:val="es-ES"/>
        </w:rPr>
        <w:fldChar w:fldCharType="begin"/>
      </w:r>
      <w:r>
        <w:rPr>
          <w:lang w:val="es-ES"/>
        </w:rPr>
        <w:instrText xml:space="preserve"> LINK Excel.Sheet.12 "H:\\BICHPHUONG\\BAN PHU XUAN\\2.DAU THAU\\Truong MN Kim Long\\cham diem Kimlong.xlsx" Sheet1!R2C1:R91C4 \a \f 4 \h  \* MERGEFORMAT </w:instrText>
      </w:r>
      <w:r>
        <w:rPr>
          <w:lang w:val="es-ES"/>
        </w:rPr>
        <w:fldChar w:fldCharType="separate"/>
      </w:r>
    </w:p>
    <w:tbl>
      <w:tblPr>
        <w:tblW w:w="14411" w:type="dxa"/>
        <w:tblInd w:w="93" w:type="dxa"/>
        <w:tblLook w:val="04A0" w:firstRow="1" w:lastRow="0" w:firstColumn="1" w:lastColumn="0" w:noHBand="0" w:noVBand="1"/>
      </w:tblPr>
      <w:tblGrid>
        <w:gridCol w:w="600"/>
        <w:gridCol w:w="11371"/>
        <w:gridCol w:w="1220"/>
        <w:gridCol w:w="1220"/>
      </w:tblGrid>
      <w:tr w:rsidR="00AC34B2" w:rsidRPr="00B8013F" w:rsidTr="00EF5D04">
        <w:trPr>
          <w:trHeight w:val="20"/>
          <w:tblHeader/>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Stt</w:t>
            </w:r>
          </w:p>
        </w:tc>
        <w:tc>
          <w:tcPr>
            <w:tcW w:w="113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Nội dung đánh giá</w:t>
            </w:r>
          </w:p>
        </w:tc>
        <w:tc>
          <w:tcPr>
            <w:tcW w:w="2440" w:type="dxa"/>
            <w:gridSpan w:val="2"/>
            <w:tcBorders>
              <w:top w:val="single" w:sz="8" w:space="0" w:color="auto"/>
              <w:left w:val="nil"/>
              <w:bottom w:val="nil"/>
              <w:right w:val="single" w:sz="8" w:space="0" w:color="000000"/>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Chấm điểm</w:t>
            </w:r>
          </w:p>
        </w:tc>
      </w:tr>
      <w:tr w:rsidR="00AC34B2" w:rsidRPr="00B8013F" w:rsidTr="00EF5D04">
        <w:trPr>
          <w:trHeight w:val="20"/>
          <w:tblHeader/>
        </w:trPr>
        <w:tc>
          <w:tcPr>
            <w:tcW w:w="600" w:type="dxa"/>
            <w:vMerge/>
            <w:tcBorders>
              <w:top w:val="single" w:sz="8" w:space="0" w:color="auto"/>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vMerge/>
            <w:tcBorders>
              <w:top w:val="single" w:sz="8" w:space="0" w:color="auto"/>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2440" w:type="dxa"/>
            <w:gridSpan w:val="2"/>
            <w:tcBorders>
              <w:top w:val="nil"/>
              <w:left w:val="nil"/>
              <w:bottom w:val="single" w:sz="8" w:space="0" w:color="auto"/>
              <w:right w:val="single" w:sz="8" w:space="0" w:color="000000"/>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(thang điểm 100)</w:t>
            </w:r>
          </w:p>
        </w:tc>
      </w:tr>
      <w:tr w:rsidR="00AC34B2" w:rsidRPr="00B8013F" w:rsidTr="00EF5D04">
        <w:trPr>
          <w:trHeight w:val="20"/>
          <w:tblHeader/>
        </w:trPr>
        <w:tc>
          <w:tcPr>
            <w:tcW w:w="600" w:type="dxa"/>
            <w:vMerge/>
            <w:tcBorders>
              <w:top w:val="single" w:sz="8" w:space="0" w:color="auto"/>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vMerge/>
            <w:tcBorders>
              <w:top w:val="single" w:sz="8" w:space="0" w:color="auto"/>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Điểm tối đa</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Điểm tối thiểu</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Giải pháp kỹ thuật</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17</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12</w:t>
            </w:r>
          </w:p>
        </w:tc>
      </w:tr>
      <w:tr w:rsidR="00AC34B2" w:rsidRPr="00B8013F" w:rsidTr="00EF5D04">
        <w:trPr>
          <w:trHeight w:val="20"/>
        </w:trPr>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1.1</w:t>
            </w: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Mức độ đáp ứng yêu cầu về vật tư:</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6</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right"/>
              <w:rPr>
                <w:b/>
                <w:bCs/>
                <w:color w:val="000000"/>
                <w:sz w:val="28"/>
                <w:szCs w:val="28"/>
              </w:rPr>
            </w:pPr>
            <w:r w:rsidRPr="00B8013F">
              <w:rPr>
                <w:b/>
                <w:bCs/>
                <w:color w:val="000000"/>
                <w:sz w:val="28"/>
                <w:szCs w:val="28"/>
              </w:rPr>
              <w:t> </w:t>
            </w: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i/>
                <w:iCs/>
                <w:color w:val="000000"/>
                <w:sz w:val="28"/>
                <w:szCs w:val="28"/>
              </w:rPr>
            </w:pP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 xml:space="preserve">Yêu cầu về chủng loại, chất lượng vật tư được nêu rõ tại Mục III, Chương V, Phần 2 của Hồ sơ mời thầu; bao gồm: chủng loại, quy cách, thương hiệu (nếu có), công nghệ sản xuất (nếu có), cấp áp lực (nếu có), xuất xứ, đặc tính kỹ thuật, điều kiện dịch vụ sau bán hàng (bảo trì, bảo hành), đối với các vật tư dạng đặt hàng qui trình kiểm soát chất lượng…tiến độ cung ứng vật tư đáp ứng, phù hợp với tiến độ thi công trình. </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1.2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Giải pháp tổ chức quản lý thi công, tổ chức quản lý hiện trường: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11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Tổ chức quản lý thi công: Sơ đồ hệ thống tổ chức của Nhà thầu tại trụ sở, tại công trường: Các bộ phận quản lý tiến độ, kỹ thuật (phụ trách từng hạng mục công tác...), hành chính kế toán, chất lượng, vật tư, thiết bị, an toàn, …, các tổ đội thi công (nêu rõ từng bộ phận, chức danh, chức vụ của từng cán bộ phụ trách có kinh nghiệm chuyên môn phù hợp từng vị trí đảm nhận).</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xml:space="preserve">Tổ chức quản lý hiện trường: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6</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b1</w:t>
            </w: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Tổ chức mặt bằng công trường:</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2,5</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bản vẽ bố trí tổng mặt bằng chi tiết phục vụ công tác thi công công trình; Thiết lập bản vẽ tổng mặt bằng thi công công trình đảm bảo các yêu cầu:</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Phân đoạn các khu vực thi công để có thể thi công một cách đồng thời các hạng mục (có thể được) cho toàn bộ gói thầu, để đảm bảo rằng việc thi công không bị chồng chéo;</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Bố trí vị trí các kho bãi tập kết vật liệu, thiết bị…;</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Văn phòng làm việc trên công trường; khu vệ sinh;</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Hệ thống biển báo công trường, rào chắn; hệ thống cảnh báo trong quá trình thi công (cho cả ngày và đêm);</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Thuyết minh  biện pháp và bản vẽ thể hiện công tác vệ sinh thiết bị thi công ra vào công trình để đảm bảo vệ sinh môi trường.</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Công tác kiểm soát đảm bảo chất lượng của nhà thầu (về vật tư, thiết bị, từng hạng mục công việc…) và công tác phối hợp giữa các đơn vị liên quan trong quá trình triển khai thi công công trình.</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b3</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xml:space="preserve">Công tác tổ chức nghiệm thu công việc, hạng mục hoàn thành, công trình hoàn thành…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2</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Phương án, biện pháp tổ chức thi công</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35</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24,5</w:t>
            </w:r>
          </w:p>
        </w:tc>
      </w:tr>
      <w:tr w:rsidR="00AC34B2" w:rsidRPr="00B8013F" w:rsidTr="00EF5D04">
        <w:trPr>
          <w:trHeight w:val="20"/>
        </w:trPr>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rPr>
              <w:t>2.1</w:t>
            </w: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rPr>
              <w:t>Phương án, Biện pháp tổ chức kỹ thuật thi công được trình bày dưới đây phải đảm bảo rằng:</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4</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rPr>
              <w:t> </w:t>
            </w: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rPr>
              <w:t>- Việc bố trí thiết bị, nhân lực, vật tư… phải đáp ứng với tiến độ thi công của từng công việc, hạng mục công việc và công trình được trình bày tại mục 3 của nội dung đánh giá; (nêu rõ thiết bị, công suất thiết bị, số lượng cho từng công đoạn)</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rPr>
              <w:t>- Thời gian thực hiện hợp đồng phải đảm bảo tối đa là 300 ngày kể từ ngày bắt đầu thi công theo luật định.</w:t>
            </w:r>
            <w:r w:rsidRPr="00B8013F">
              <w:rPr>
                <w:color w:val="000000"/>
                <w:sz w:val="28"/>
                <w:szCs w:val="28"/>
              </w:rPr>
              <w:t xml:space="preserve"> </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rPr>
              <w:t>2.2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xml:space="preserve">- Biện pháp gia cố, phương án tổ chức thi công tiếp giáp giữa công trình đang hoạt động và công trình mới để tránh làm ảnh hưởng đến công trình hiện trạng và việc học tập, các hoạt động của trường.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3</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 xml:space="preserve">2.3 </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 xml:space="preserve">Phương án, biện pháp tổ chức thi công phần móng: </w:t>
            </w:r>
            <w:r w:rsidRPr="00B8013F">
              <w:rPr>
                <w:i/>
                <w:iCs/>
                <w:color w:val="000000"/>
                <w:sz w:val="28"/>
                <w:szCs w:val="28"/>
                <w:lang w:val="es-ES"/>
              </w:rPr>
              <w:t xml:space="preserve">định vị cọc, biện pháp di chuyển máy và tải bê tông trên nền yếu, đóng cọc, cắt đầu cọc, nối đầu cọc và xử lý cọc nếu nghiêng cọc, gãy cọc, bể cọc, cọc gặp dị vật và tụt cọc khi đã đủ chiều dài ép; đào móng, xử lý hố móng nếu mưa, xử lý phần </w:t>
            </w:r>
            <w:r w:rsidRPr="00B8013F">
              <w:rPr>
                <w:i/>
                <w:iCs/>
                <w:color w:val="000000"/>
                <w:sz w:val="28"/>
                <w:szCs w:val="28"/>
                <w:lang w:val="es-ES"/>
              </w:rPr>
              <w:lastRenderedPageBreak/>
              <w:t>đất đào móng nhằm giữ lại 1 phần đất để đắp nền, vận chuyển đất thừa đổ đi;</w:t>
            </w:r>
            <w:r w:rsidRPr="00B8013F">
              <w:rPr>
                <w:b/>
                <w:bCs/>
                <w:i/>
                <w:iCs/>
                <w:color w:val="000000"/>
                <w:sz w:val="28"/>
                <w:szCs w:val="28"/>
                <w:lang w:val="es-ES"/>
              </w:rPr>
              <w:t xml:space="preserve"> </w:t>
            </w:r>
            <w:r w:rsidRPr="00B8013F">
              <w:rPr>
                <w:i/>
                <w:iCs/>
                <w:color w:val="000000"/>
                <w:sz w:val="28"/>
                <w:szCs w:val="28"/>
                <w:lang w:val="es-ES"/>
              </w:rPr>
              <w:t xml:space="preserve">công tác ván khuôn, công tác cốt thép, công tác bê tông…; công tác chống đỡ hố móng đảm bão an toàn cho công trình lân cận và người (trong trường và nhà dân).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lastRenderedPageBreak/>
              <w:t>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lastRenderedPageBreak/>
              <w:t>2.4</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Biện pháp tổ chức thi công phần cải tạo: phương án đập phá (phá bỏ và phá có thu hồi VL như ngói, xà gồ, cầu phong, lito, vách kính … ); đào móng và vận chuyển rác XD ra khỏi công trình;khoan bê tông cây sắt và phương án xử lý nếu khoan đụng sắt;phương án liên kết sắt và bê tông có sẳn; bê tông củ và bê tông mới; phương án ván khuôn khi đập phá và thi công cải tạo đảm bão an toàn cho phần kết cấu lân cận và các khu vực không đập phá.</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2.5</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Biện pháp thăm dò kiểm tra vị trí dây cáp điện, cấp nước, thoát nước, hệ thống tiếp đất ngầm trong đất và phương án thi công đảm bão không cắt điện, nước của Nhà trường; đảm bão  hoạt động cho hệ thống tiếp đất của Nhà hai tầng và thoát nước khu vực sân trường.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2.6</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Thuyết minh, biện pháp tổ chức thi công phần thân bao gồm các công tác cơ bản là bê tông, cốt thép, ván khuôn, xây, mái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2.7</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Thuyết minh, biện pháp tổ chức thi công công tác hoàn thiện, hệ thống cấp thoát nước, hệ thống điện, cây xanh, sân vườn, PCCC,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rPr>
              <w:t>2.5</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Thuyết minh công tác đảm bảo an toàn, vệ sinh môi trường cho các hạng mục công trình, phòng cháy chữa cháy, đảm bảo an toàn giao thông ra vào công trình.</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rPr>
              <w:t>2.6</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rPr>
              <w:t xml:space="preserve">Công tác đảm bảo không ảnh hưởng cho hoạt động thường xuyên của nhà trường </w:t>
            </w:r>
            <w:r w:rsidRPr="00B8013F">
              <w:rPr>
                <w:i/>
                <w:iCs/>
                <w:color w:val="000000"/>
                <w:sz w:val="28"/>
                <w:szCs w:val="28"/>
              </w:rPr>
              <w:t>(cấp nước, cấp điện, thông tin liên lạc, giảng dạy, hội họp …)</w:t>
            </w:r>
            <w:r w:rsidRPr="00B8013F">
              <w:rPr>
                <w:b/>
                <w:bCs/>
                <w:i/>
                <w:iCs/>
                <w:color w:val="000000"/>
                <w:sz w:val="28"/>
                <w:szCs w:val="28"/>
              </w:rPr>
              <w:t xml:space="preserve">….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rPr>
              <w:t>2.7</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Biện pháp tổ chức thi công hoàn thiện hoàn trả mặt bằng xây dựng.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3</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Tiến độ thi công:</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15</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10,5</w:t>
            </w:r>
          </w:p>
        </w:tc>
      </w:tr>
      <w:tr w:rsidR="00AC34B2" w:rsidRPr="00B8013F" w:rsidTr="00EF5D04">
        <w:trPr>
          <w:trHeight w:val="20"/>
        </w:trPr>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rPr>
              <w:t> </w:t>
            </w: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 xml:space="preserve">Thời gian thi công tối đa là 300 ngày. Tiến độ vượt quá 300 ngày thì số điểm chấm cho phần này sẽ là </w:t>
            </w:r>
            <w:r w:rsidRPr="00B8013F">
              <w:rPr>
                <w:b/>
                <w:bCs/>
                <w:color w:val="000000"/>
                <w:sz w:val="28"/>
                <w:szCs w:val="28"/>
                <w:lang w:val="es-ES"/>
              </w:rPr>
              <w:t xml:space="preserve">0 (không) điểm. </w:t>
            </w:r>
            <w:r w:rsidRPr="00B8013F">
              <w:rPr>
                <w:color w:val="000000"/>
                <w:sz w:val="28"/>
                <w:szCs w:val="28"/>
                <w:lang w:val="es-ES"/>
              </w:rPr>
              <w:t>(thời gian trên bao gồm ngày nghỉ, ngày lễ, mưa gió… trừ các điều kiện bất khả kháng theo qui định của Pháp luật).</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 </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 </w:t>
            </w: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Tiến độ thi công được đề xuất dưới đây phải:</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tcBorders>
              <w:top w:val="nil"/>
              <w:left w:val="nil"/>
              <w:bottom w:val="nil"/>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 Phù hợp với biện pháp tổ chức thi công tại mục 2 nêu trên;</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 Phù hợp với vật tư, thiết bị thi công, nhân lực…  huy động để thực hiện gói thầu.</w:t>
            </w: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3.1</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Tổng tiến độ thi công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8</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Thời gian hoàn thành tổng thể công trình; Thời gian hoàn thành từng hạng mục: khối nhà 3 tầng 3 phòng học và các phòng chức năng; Chỉnh trang sân vườn; mương thoát nước; Nhà xe, cổng và hàng rào, thiết bị tối đa là 300 ngày</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Bảng tổng tiến độ thi công tổng thể cho toàn bộ gói thầu.</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c</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Bảng tiến độ thi công chi tiết cho từng hạng mục thuộc gói thầu: phần móng, phần thân, hoàn hiện, hạng mục cải tạo..</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lang w:val="es-ES"/>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d</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Sự phù hợp giữa bảng tiến độ chi tiết và bảng tổng tiến độ thi công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3.2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Biểu đồ huy động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4</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Nhân sự</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Vật liệu</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c</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Thiết bị</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d</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xml:space="preserve">Biểu đồ tài chính của nhà thầu dự kiến cho gói thầu, kế hoạch nghiệm thu thanh toán.(nếu nhà thầu sử dụng cam kết cung cấp tín dụng của ngân hàng, ký hợp đồng nhà thầu phải chứng minh được nguồn tài chính)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3.3</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Biện pháp đảm bảo tiến độ thi công: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3</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322"/>
        </w:trPr>
        <w:tc>
          <w:tcPr>
            <w:tcW w:w="6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a</w:t>
            </w:r>
          </w:p>
        </w:tc>
        <w:tc>
          <w:tcPr>
            <w:tcW w:w="113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Biện pháp đảm bảo tiến độ thi công, duy trì thi công khi mất điện, mưa, ….</w:t>
            </w:r>
          </w:p>
        </w:tc>
        <w:tc>
          <w:tcPr>
            <w:tcW w:w="12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center"/>
              <w:rPr>
                <w:b/>
                <w:bCs/>
                <w:color w:val="000000"/>
                <w:sz w:val="28"/>
                <w:szCs w:val="28"/>
              </w:rPr>
            </w:pPr>
            <w:r w:rsidRPr="00B8013F">
              <w:rPr>
                <w:b/>
                <w:bCs/>
                <w:color w:val="000000"/>
                <w:sz w:val="28"/>
                <w:szCs w:val="28"/>
              </w:rPr>
              <w:t> </w:t>
            </w:r>
          </w:p>
        </w:tc>
      </w:tr>
      <w:tr w:rsidR="00AC34B2" w:rsidRPr="00B8013F" w:rsidTr="00EF5D04">
        <w:trPr>
          <w:trHeight w:val="322"/>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c>
          <w:tcPr>
            <w:tcW w:w="600" w:type="dxa"/>
            <w:tcBorders>
              <w:top w:val="nil"/>
              <w:left w:val="single" w:sz="8" w:space="0" w:color="auto"/>
              <w:bottom w:val="single" w:sz="8" w:space="0" w:color="auto"/>
              <w:right w:val="single" w:sz="8" w:space="0" w:color="auto"/>
            </w:tcBorders>
            <w:shd w:val="clear" w:color="000000" w:fill="FFFFFF"/>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b</w:t>
            </w:r>
          </w:p>
        </w:tc>
        <w:tc>
          <w:tcPr>
            <w:tcW w:w="11371" w:type="dxa"/>
            <w:tcBorders>
              <w:top w:val="nil"/>
              <w:left w:val="nil"/>
              <w:bottom w:val="single" w:sz="8" w:space="0" w:color="auto"/>
              <w:right w:val="single" w:sz="8" w:space="0" w:color="auto"/>
            </w:tcBorders>
            <w:shd w:val="clear" w:color="000000" w:fill="FFFFFF"/>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Sáng kiến rút ngắn tiến độ thi công</w:t>
            </w:r>
          </w:p>
        </w:tc>
        <w:tc>
          <w:tcPr>
            <w:tcW w:w="1220" w:type="dxa"/>
            <w:tcBorders>
              <w:top w:val="nil"/>
              <w:left w:val="nil"/>
              <w:bottom w:val="single" w:sz="8" w:space="0" w:color="auto"/>
              <w:right w:val="single" w:sz="8" w:space="0" w:color="auto"/>
            </w:tcBorders>
            <w:shd w:val="clear" w:color="000000" w:fill="FFFFFF"/>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000000" w:fill="FFFFFF"/>
            <w:vAlign w:val="center"/>
            <w:hideMark/>
          </w:tcPr>
          <w:p w:rsidR="00AC34B2" w:rsidRPr="00B8013F" w:rsidRDefault="00AC34B2" w:rsidP="00EF5D04">
            <w:pPr>
              <w:jc w:val="center"/>
              <w:rPr>
                <w:b/>
                <w:bCs/>
                <w:color w:val="000000"/>
                <w:sz w:val="28"/>
                <w:szCs w:val="28"/>
              </w:rPr>
            </w:pPr>
            <w:r w:rsidRPr="00B8013F">
              <w:rPr>
                <w:b/>
                <w:bCs/>
                <w:color w:val="000000"/>
                <w:sz w:val="28"/>
                <w:szCs w:val="28"/>
              </w:rPr>
              <w:t> </w:t>
            </w:r>
          </w:p>
        </w:tc>
      </w:tr>
      <w:tr w:rsidR="00AC34B2" w:rsidRPr="00B8013F" w:rsidTr="00EF5D04">
        <w:trPr>
          <w:trHeight w:val="322"/>
        </w:trPr>
        <w:tc>
          <w:tcPr>
            <w:tcW w:w="6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c</w:t>
            </w:r>
          </w:p>
        </w:tc>
        <w:tc>
          <w:tcPr>
            <w:tcW w:w="1137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rPr>
                <w:i/>
                <w:iCs/>
                <w:color w:val="000000"/>
                <w:sz w:val="28"/>
                <w:szCs w:val="28"/>
              </w:rPr>
            </w:pPr>
            <w:r w:rsidRPr="00B8013F">
              <w:rPr>
                <w:i/>
                <w:iCs/>
                <w:color w:val="000000"/>
                <w:sz w:val="28"/>
                <w:szCs w:val="28"/>
                <w:lang w:val="es-ES"/>
              </w:rPr>
              <w:t>Biện pháp rút ngắn tiến độ thi công nếu trễ tiến độ</w:t>
            </w:r>
          </w:p>
        </w:tc>
        <w:tc>
          <w:tcPr>
            <w:tcW w:w="12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C34B2" w:rsidRPr="00B8013F" w:rsidRDefault="00AC34B2" w:rsidP="00EF5D04">
            <w:pPr>
              <w:jc w:val="center"/>
              <w:rPr>
                <w:b/>
                <w:bCs/>
                <w:color w:val="000000"/>
                <w:sz w:val="28"/>
                <w:szCs w:val="28"/>
              </w:rPr>
            </w:pPr>
            <w:r w:rsidRPr="00B8013F">
              <w:rPr>
                <w:b/>
                <w:bCs/>
                <w:color w:val="000000"/>
                <w:sz w:val="28"/>
                <w:szCs w:val="28"/>
              </w:rPr>
              <w:t> </w:t>
            </w:r>
          </w:p>
        </w:tc>
      </w:tr>
      <w:tr w:rsidR="00AC34B2" w:rsidRPr="00B8013F" w:rsidTr="00EF5D04">
        <w:trPr>
          <w:trHeight w:val="322"/>
        </w:trPr>
        <w:tc>
          <w:tcPr>
            <w:tcW w:w="60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c>
          <w:tcPr>
            <w:tcW w:w="11371"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i/>
                <w:iCs/>
                <w:color w:val="000000"/>
                <w:sz w:val="28"/>
                <w:szCs w:val="28"/>
              </w:rPr>
            </w:pPr>
          </w:p>
        </w:tc>
        <w:tc>
          <w:tcPr>
            <w:tcW w:w="1220" w:type="dxa"/>
            <w:vMerge/>
            <w:tcBorders>
              <w:top w:val="nil"/>
              <w:left w:val="single" w:sz="8" w:space="0" w:color="auto"/>
              <w:bottom w:val="single" w:sz="8" w:space="0" w:color="000000"/>
              <w:right w:val="single" w:sz="8" w:space="0" w:color="auto"/>
            </w:tcBorders>
            <w:vAlign w:val="center"/>
            <w:hideMark/>
          </w:tcPr>
          <w:p w:rsidR="00AC34B2" w:rsidRPr="00B8013F" w:rsidRDefault="00AC34B2" w:rsidP="00EF5D04">
            <w:pPr>
              <w:rPr>
                <w:b/>
                <w:bCs/>
                <w:color w:val="000000"/>
                <w:sz w:val="28"/>
                <w:szCs w:val="28"/>
              </w:rPr>
            </w:pP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4</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Biện pháp đảm bảo chất lượng</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9</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rPr>
              <w:t>6,1</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lastRenderedPageBreak/>
              <w:t>4.1</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Quản lý chất lượng vật tư vật liệu</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3</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color w:val="000000"/>
                <w:sz w:val="28"/>
                <w:szCs w:val="28"/>
              </w:rPr>
            </w:pPr>
            <w:r w:rsidRPr="00B8013F">
              <w:rPr>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Lập bảng danh mục vật tư, vật liệu thiết bị sẽ sử dụng cho gói thầu bao gồm thông tin xuất xứ, model, chủng loại,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color w:val="000000"/>
                <w:sz w:val="28"/>
                <w:szCs w:val="28"/>
              </w:rPr>
            </w:pPr>
            <w:r w:rsidRPr="00B8013F">
              <w:rPr>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Quy trình và các biện pháp quản lý chất lượng vật tư, vật liệu và thiết bị</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color w:val="000000"/>
                <w:sz w:val="28"/>
                <w:szCs w:val="28"/>
              </w:rPr>
            </w:pPr>
            <w:r w:rsidRPr="00B8013F">
              <w:rPr>
                <w:color w:val="000000"/>
                <w:sz w:val="28"/>
                <w:szCs w:val="28"/>
                <w:lang w:val="es-ES"/>
              </w:rPr>
              <w:t>c</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color w:val="000000"/>
                <w:sz w:val="28"/>
                <w:szCs w:val="28"/>
              </w:rPr>
            </w:pPr>
            <w:r w:rsidRPr="00B8013F">
              <w:rPr>
                <w:color w:val="000000"/>
                <w:sz w:val="28"/>
                <w:szCs w:val="28"/>
                <w:lang w:val="es-ES"/>
              </w:rPr>
              <w:t>Giải pháp xử lý vật tư, vật liệu và thiết bị phát hiện không phù hợp với yêu cầu của gói thầu</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4.2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Quản lý chất lượng cho từng công tác thi công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4.3</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Biện pháp bảo quản vật liệu, thiết bị, công trình khi mưa bão</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4.4</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Phương án sửa chữa các khuyết tật hư hỏng (ở mức độ chấp nhận được)</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4.5</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Kế hoạch thí nghiệm nghiệm thu vật liệu dự kiến sử dụng cho công trình</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5</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Vệ sinh môi trường, phòng chống cháy nổ, an toàn lao động</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12</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8,4</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5.1</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Các biện pháp giảm thiểu, bảo vệ môi trường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4</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Tiếng ồn</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0,5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Bụi và khói</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0,5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c</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Kiểm soát nước thải</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d</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Kiểm soát rác thải, vệ sinh môi trường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5.2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Phòng cháy, chữa cháy</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Các giải pháp, biện pháp, trang bị phương tiện phòng chống cháy, nổ</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Tổ chức bộ máy quản lý hệ thống phòng chống cháy nổ</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5.3</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An toàn lao động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6</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Tổ chức đào tạo, thực hiện và kiểm tra an toàn lao động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Biện pháp bảo đảm an toàn lao động cho từng công đoạn thi công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2</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c</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An toàn giao thông ra vào công trường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d</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Bảo đảm an ninh công trường, quản lý nhân sự, thiết bị</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6</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 xml:space="preserve">Bảo hành </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7</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5</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lastRenderedPageBreak/>
              <w:t>6.1</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Thời gian đề xuất bảo hành ≥ 12 tháng; riêng đèn Led &gt;=5 năm</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3</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6.2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Kế hoạch bảo trì các hạng mục thuộc gói thầu trong thời gian bảo hành</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6.3</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Thời gian đáp ứng công tác bảo hành sau khi nhận được thông báo</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Thực hiện ngay trong vòng 3 ngày sau khi nhận được thông báo</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Thực hiện ngay trong vòng 6 ngày sau khi nhận được thông báo</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0,5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7</w:t>
            </w:r>
          </w:p>
        </w:tc>
        <w:tc>
          <w:tcPr>
            <w:tcW w:w="11371"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 xml:space="preserve">Uy tín của nhà thầu </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5</w:t>
            </w:r>
          </w:p>
        </w:tc>
        <w:tc>
          <w:tcPr>
            <w:tcW w:w="1220" w:type="dxa"/>
            <w:tcBorders>
              <w:top w:val="nil"/>
              <w:left w:val="nil"/>
              <w:bottom w:val="single" w:sz="8" w:space="0" w:color="auto"/>
              <w:right w:val="single" w:sz="8" w:space="0" w:color="auto"/>
            </w:tcBorders>
            <w:shd w:val="clear" w:color="000000" w:fill="E2EFD9"/>
            <w:vAlign w:val="center"/>
            <w:hideMark/>
          </w:tcPr>
          <w:p w:rsidR="00AC34B2" w:rsidRPr="00B8013F" w:rsidRDefault="00AC34B2" w:rsidP="00EF5D04">
            <w:pPr>
              <w:jc w:val="center"/>
              <w:rPr>
                <w:b/>
                <w:bCs/>
                <w:color w:val="000000"/>
                <w:sz w:val="28"/>
                <w:szCs w:val="28"/>
              </w:rPr>
            </w:pPr>
            <w:r w:rsidRPr="00B8013F">
              <w:rPr>
                <w:b/>
                <w:bCs/>
                <w:color w:val="000000"/>
                <w:sz w:val="28"/>
                <w:szCs w:val="28"/>
              </w:rPr>
              <w:t>3,5</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 </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 xml:space="preserve">Phần này do nhà thầu tự kê khai. Nếu Bên mời thầu phát hiện nhà thầu kê khai không trung thực về việc nhà thầu đã từng bị xử phạt vi phạm hợp đồng liên quan đến chậm tiến độ hoặc chất lượng công trình (trong vòng 3 năm trở lại đây tính từ thời điểm đóng thầu) thì mục này được đánh giá là </w:t>
            </w:r>
            <w:r w:rsidRPr="00B8013F">
              <w:rPr>
                <w:b/>
                <w:bCs/>
                <w:i/>
                <w:iCs/>
                <w:color w:val="000000"/>
                <w:sz w:val="28"/>
                <w:szCs w:val="28"/>
                <w:lang w:val="es-ES"/>
              </w:rPr>
              <w:t>0 điểm</w:t>
            </w:r>
            <w:r w:rsidRPr="00B8013F">
              <w:rPr>
                <w:i/>
                <w:iCs/>
                <w:color w:val="000000"/>
                <w:sz w:val="28"/>
                <w:szCs w:val="28"/>
                <w:lang w:val="es-ES"/>
              </w:rPr>
              <w:t>, các mục 7.1 và 7.2 sẽ không được đánh giá.</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7.1</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Kinh nghiệm của nhà thầu:</w:t>
            </w:r>
            <w:r w:rsidRPr="00B8013F">
              <w:rPr>
                <w:i/>
                <w:iCs/>
                <w:color w:val="000000"/>
                <w:sz w:val="28"/>
                <w:szCs w:val="28"/>
                <w:lang w:val="es-ES"/>
              </w:rPr>
              <w:t xml:space="preserve"> Số lượng hợp đồng tương tự là Công trình dân dụng đã thi công hoàn thành bàn giao đưa vào sử dụng (tài liệu chứng minh: hợp đồng và biên bản bàn giao…), mục điểm này được xác định mục a hoặc b</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EF506B" w:rsidP="00EF5D04">
            <w:pPr>
              <w:jc w:val="both"/>
              <w:rPr>
                <w:i/>
                <w:iCs/>
                <w:color w:val="000000"/>
                <w:sz w:val="28"/>
                <w:szCs w:val="28"/>
              </w:rPr>
            </w:pPr>
            <w:r>
              <w:rPr>
                <w:i/>
                <w:iCs/>
                <w:color w:val="000000"/>
                <w:sz w:val="28"/>
                <w:szCs w:val="28"/>
                <w:lang w:val="es-ES"/>
              </w:rPr>
              <w:t>1</w:t>
            </w:r>
            <w:r w:rsidR="00AC34B2" w:rsidRPr="00B8013F">
              <w:rPr>
                <w:i/>
                <w:iCs/>
                <w:color w:val="000000"/>
                <w:sz w:val="28"/>
                <w:szCs w:val="28"/>
                <w:lang w:val="es-ES"/>
              </w:rPr>
              <w:t xml:space="preserve"> Hợp đồng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1</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06B">
            <w:pPr>
              <w:jc w:val="both"/>
              <w:rPr>
                <w:i/>
                <w:iCs/>
                <w:color w:val="000000"/>
                <w:sz w:val="28"/>
                <w:szCs w:val="28"/>
              </w:rPr>
            </w:pPr>
            <w:r w:rsidRPr="00B8013F">
              <w:rPr>
                <w:i/>
                <w:iCs/>
                <w:color w:val="000000"/>
                <w:sz w:val="28"/>
                <w:szCs w:val="28"/>
                <w:lang w:val="es-ES"/>
              </w:rPr>
              <w:t>≥ 0</w:t>
            </w:r>
            <w:r w:rsidR="00EF506B">
              <w:rPr>
                <w:i/>
                <w:iCs/>
                <w:color w:val="000000"/>
                <w:sz w:val="28"/>
                <w:szCs w:val="28"/>
                <w:lang w:val="es-ES"/>
              </w:rPr>
              <w:t>2</w:t>
            </w:r>
            <w:r w:rsidRPr="00B8013F">
              <w:rPr>
                <w:i/>
                <w:iCs/>
                <w:color w:val="000000"/>
                <w:sz w:val="28"/>
                <w:szCs w:val="28"/>
                <w:lang w:val="es-ES"/>
              </w:rPr>
              <w:t xml:space="preserve"> Hợp đồng  </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b/>
                <w:bCs/>
                <w:i/>
                <w:iCs/>
                <w:color w:val="000000"/>
                <w:sz w:val="28"/>
                <w:szCs w:val="28"/>
              </w:rPr>
            </w:pPr>
            <w:r w:rsidRPr="00B8013F">
              <w:rPr>
                <w:b/>
                <w:bCs/>
                <w:i/>
                <w:iCs/>
                <w:color w:val="000000"/>
                <w:sz w:val="28"/>
                <w:szCs w:val="28"/>
                <w:lang w:val="es-ES"/>
              </w:rPr>
              <w:t>7.2</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i/>
                <w:iCs/>
                <w:color w:val="000000"/>
                <w:sz w:val="28"/>
                <w:szCs w:val="28"/>
              </w:rPr>
            </w:pPr>
            <w:r w:rsidRPr="00B8013F">
              <w:rPr>
                <w:b/>
                <w:bCs/>
                <w:i/>
                <w:iCs/>
                <w:color w:val="000000"/>
                <w:sz w:val="28"/>
                <w:szCs w:val="28"/>
                <w:lang w:val="es-ES"/>
              </w:rPr>
              <w:t xml:space="preserve">Lịch sử thực hiện hợp đồng </w:t>
            </w:r>
            <w:r w:rsidRPr="00B8013F">
              <w:rPr>
                <w:b/>
                <w:bCs/>
                <w:color w:val="000000"/>
                <w:sz w:val="28"/>
                <w:szCs w:val="28"/>
                <w:lang w:val="es-ES"/>
              </w:rPr>
              <w:t>(</w:t>
            </w:r>
            <w:r w:rsidRPr="00B8013F">
              <w:rPr>
                <w:i/>
                <w:iCs/>
                <w:color w:val="000000"/>
                <w:sz w:val="28"/>
                <w:szCs w:val="28"/>
                <w:lang w:val="es-ES"/>
              </w:rPr>
              <w:t>trong vòng 3 năm trở lại đây (tính từ thời điểm đóng thầu)) mục điểm này được xác định mục a hoặc b</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lang w:val="es-ES"/>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b/>
                <w:bCs/>
                <w:i/>
                <w:iCs/>
                <w:color w:val="000000"/>
                <w:sz w:val="28"/>
                <w:szCs w:val="28"/>
              </w:rPr>
            </w:pPr>
            <w:r w:rsidRPr="00B8013F">
              <w:rPr>
                <w:b/>
                <w:bCs/>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a</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Có hợp đồng chậm tiến độ hoặc công trình</w:t>
            </w:r>
            <w:bookmarkStart w:id="0" w:name="_GoBack"/>
            <w:bookmarkEnd w:id="0"/>
            <w:r w:rsidRPr="00B8013F">
              <w:rPr>
                <w:i/>
                <w:iCs/>
                <w:color w:val="000000"/>
                <w:sz w:val="28"/>
                <w:szCs w:val="28"/>
                <w:lang w:val="es-ES"/>
              </w:rPr>
              <w:t xml:space="preserve"> chậm tiến độ hoặc chất lượng công trình không đảm bảo bị xử phạt vi phạm hợp đồng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0</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i/>
                <w:iCs/>
                <w:color w:val="000000"/>
                <w:sz w:val="28"/>
                <w:szCs w:val="28"/>
              </w:rPr>
            </w:pPr>
            <w:r w:rsidRPr="00B8013F">
              <w:rPr>
                <w:i/>
                <w:iCs/>
                <w:color w:val="000000"/>
                <w:sz w:val="28"/>
                <w:szCs w:val="28"/>
                <w:lang w:val="es-ES"/>
              </w:rPr>
              <w:t>b</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i/>
                <w:iCs/>
                <w:color w:val="000000"/>
                <w:sz w:val="28"/>
                <w:szCs w:val="28"/>
              </w:rPr>
            </w:pPr>
            <w:r w:rsidRPr="00B8013F">
              <w:rPr>
                <w:i/>
                <w:iCs/>
                <w:color w:val="000000"/>
                <w:sz w:val="28"/>
                <w:szCs w:val="28"/>
                <w:lang w:val="es-ES"/>
              </w:rPr>
              <w:t>Không có hợp đồng bị xử phạt vi phạm hợp đồng do chậm tiến độ hoặc chất lượng công trình</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right"/>
              <w:rPr>
                <w:i/>
                <w:iCs/>
                <w:color w:val="000000"/>
                <w:sz w:val="28"/>
                <w:szCs w:val="28"/>
              </w:rPr>
            </w:pPr>
            <w:r w:rsidRPr="00B8013F">
              <w:rPr>
                <w:i/>
                <w:iCs/>
                <w:color w:val="000000"/>
                <w:sz w:val="28"/>
                <w:szCs w:val="28"/>
                <w:lang w:val="es-ES"/>
              </w:rPr>
              <w:t>2,5</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rPr>
                <w:i/>
                <w:iCs/>
                <w:color w:val="000000"/>
                <w:sz w:val="28"/>
                <w:szCs w:val="28"/>
              </w:rPr>
            </w:pPr>
            <w:r w:rsidRPr="00B8013F">
              <w:rPr>
                <w:i/>
                <w:iCs/>
                <w:color w:val="000000"/>
                <w:sz w:val="28"/>
                <w:szCs w:val="28"/>
              </w:rPr>
              <w:t> </w:t>
            </w:r>
          </w:p>
        </w:tc>
      </w:tr>
      <w:tr w:rsidR="00AC34B2" w:rsidRPr="00B8013F" w:rsidTr="00EF5D04">
        <w:trPr>
          <w:trHeight w:val="20"/>
        </w:trPr>
        <w:tc>
          <w:tcPr>
            <w:tcW w:w="600" w:type="dxa"/>
            <w:tcBorders>
              <w:top w:val="nil"/>
              <w:left w:val="single" w:sz="8" w:space="0" w:color="auto"/>
              <w:bottom w:val="single" w:sz="8" w:space="0" w:color="auto"/>
              <w:right w:val="single" w:sz="8" w:space="0" w:color="auto"/>
            </w:tcBorders>
            <w:shd w:val="clear" w:color="auto" w:fill="auto"/>
            <w:vAlign w:val="center"/>
            <w:hideMark/>
          </w:tcPr>
          <w:p w:rsidR="00AC34B2" w:rsidRPr="00B8013F" w:rsidRDefault="00AC34B2" w:rsidP="00EF5D04">
            <w:pPr>
              <w:jc w:val="center"/>
              <w:rPr>
                <w:color w:val="000000"/>
                <w:sz w:val="28"/>
                <w:szCs w:val="28"/>
              </w:rPr>
            </w:pPr>
            <w:r w:rsidRPr="00B8013F">
              <w:rPr>
                <w:color w:val="000000"/>
                <w:sz w:val="28"/>
                <w:szCs w:val="28"/>
              </w:rPr>
              <w:t> </w:t>
            </w:r>
          </w:p>
        </w:tc>
        <w:tc>
          <w:tcPr>
            <w:tcW w:w="11371"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both"/>
              <w:rPr>
                <w:b/>
                <w:bCs/>
                <w:color w:val="000000"/>
                <w:sz w:val="28"/>
                <w:szCs w:val="28"/>
              </w:rPr>
            </w:pPr>
            <w:r w:rsidRPr="00B8013F">
              <w:rPr>
                <w:b/>
                <w:bCs/>
                <w:color w:val="000000"/>
                <w:sz w:val="28"/>
                <w:szCs w:val="28"/>
                <w:lang w:val="es-ES"/>
              </w:rPr>
              <w:t>Tổng cộng</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100</w:t>
            </w:r>
          </w:p>
        </w:tc>
        <w:tc>
          <w:tcPr>
            <w:tcW w:w="1220" w:type="dxa"/>
            <w:tcBorders>
              <w:top w:val="nil"/>
              <w:left w:val="nil"/>
              <w:bottom w:val="single" w:sz="8" w:space="0" w:color="auto"/>
              <w:right w:val="single" w:sz="8" w:space="0" w:color="auto"/>
            </w:tcBorders>
            <w:shd w:val="clear" w:color="auto" w:fill="auto"/>
            <w:vAlign w:val="center"/>
            <w:hideMark/>
          </w:tcPr>
          <w:p w:rsidR="00AC34B2" w:rsidRPr="00B8013F" w:rsidRDefault="00AC34B2" w:rsidP="00EF5D04">
            <w:pPr>
              <w:jc w:val="center"/>
              <w:rPr>
                <w:b/>
                <w:bCs/>
                <w:color w:val="000000"/>
                <w:sz w:val="28"/>
                <w:szCs w:val="28"/>
              </w:rPr>
            </w:pPr>
            <w:r w:rsidRPr="00B8013F">
              <w:rPr>
                <w:b/>
                <w:bCs/>
                <w:color w:val="000000"/>
                <w:sz w:val="28"/>
                <w:szCs w:val="28"/>
                <w:lang w:val="es-ES"/>
              </w:rPr>
              <w:t>70</w:t>
            </w:r>
          </w:p>
        </w:tc>
      </w:tr>
    </w:tbl>
    <w:p w:rsidR="00AC34B2" w:rsidRPr="00AB7112" w:rsidRDefault="00AC34B2" w:rsidP="00AC34B2">
      <w:pPr>
        <w:spacing w:before="120" w:after="120"/>
        <w:ind w:firstLine="567"/>
        <w:jc w:val="both"/>
        <w:rPr>
          <w:color w:val="000000"/>
          <w:lang w:val="es-ES"/>
        </w:rPr>
      </w:pPr>
      <w:r>
        <w:rPr>
          <w:color w:val="000000"/>
          <w:sz w:val="28"/>
          <w:szCs w:val="28"/>
          <w:lang w:val="es-ES"/>
        </w:rPr>
        <w:fldChar w:fldCharType="end"/>
      </w:r>
      <w:r w:rsidRPr="00AB7112">
        <w:rPr>
          <w:b/>
          <w:bCs/>
          <w:color w:val="000000"/>
          <w:sz w:val="28"/>
          <w:szCs w:val="28"/>
          <w:lang w:val="es-ES"/>
        </w:rPr>
        <w:t xml:space="preserve">Lưu ý: </w:t>
      </w:r>
      <w:r w:rsidRPr="00AB7112">
        <w:rPr>
          <w:color w:val="000000"/>
          <w:sz w:val="28"/>
          <w:szCs w:val="28"/>
          <w:lang w:val="es-ES"/>
        </w:rPr>
        <w:t>Nhà thầu phải trình bày thuyết minh phần đề xuất kỹ thuật theo trình tự nội dung yêu cầu về kỹ thuật của hồ sơ mời thầu gồm 7 nội dung yêu cầu nêu trên.</w:t>
      </w:r>
    </w:p>
    <w:p w:rsidR="00DB6CAB" w:rsidRDefault="00DB6CAB"/>
    <w:sectPr w:rsidR="00DB6CAB" w:rsidSect="00B8013F">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B2"/>
    <w:rsid w:val="00AC34B2"/>
    <w:rsid w:val="00DB6CAB"/>
    <w:rsid w:val="00E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58298-B0CA-4B8D-8BF6-BA4CC3B4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4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1452</Words>
  <Characters>8277</Characters>
  <Application>Microsoft Office Word</Application>
  <DocSecurity>0</DocSecurity>
  <Lines>68</Lines>
  <Paragraphs>19</Paragraphs>
  <ScaleCrop>false</ScaleCrop>
  <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Admin-PN</dc:creator>
  <cp:keywords/>
  <dc:description/>
  <cp:lastModifiedBy>Admin-PN</cp:lastModifiedBy>
  <cp:revision>2</cp:revision>
  <dcterms:created xsi:type="dcterms:W3CDTF">2025-03-03T02:34:00Z</dcterms:created>
  <dcterms:modified xsi:type="dcterms:W3CDTF">2025-03-03T02:38:00Z</dcterms:modified>
</cp:coreProperties>
</file>