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6506" w:rsidRPr="00F5142B" w:rsidRDefault="00226506" w:rsidP="00226506">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226506" w:rsidRPr="00F5142B" w:rsidRDefault="00226506" w:rsidP="00226506">
      <w:pPr>
        <w:pStyle w:val="Style11"/>
        <w:tabs>
          <w:tab w:val="left" w:pos="0"/>
          <w:tab w:val="left" w:pos="851"/>
          <w:tab w:val="left" w:pos="1418"/>
        </w:tabs>
        <w:spacing w:before="120" w:after="120" w:line="264" w:lineRule="auto"/>
        <w:ind w:firstLine="567"/>
        <w:jc w:val="center"/>
        <w:rPr>
          <w:b/>
          <w:sz w:val="28"/>
          <w:szCs w:val="28"/>
          <w:lang w:val="vi-VN"/>
        </w:rPr>
      </w:pPr>
    </w:p>
    <w:p w:rsidR="00226506" w:rsidRPr="00ED30ED" w:rsidRDefault="00226506" w:rsidP="00226506">
      <w:pPr>
        <w:tabs>
          <w:tab w:val="left" w:pos="1418"/>
        </w:tabs>
        <w:spacing w:before="120" w:after="120"/>
        <w:ind w:firstLine="567"/>
        <w:rPr>
          <w:b/>
          <w:sz w:val="28"/>
          <w:szCs w:val="28"/>
          <w:lang w:val="vi-VN"/>
        </w:rPr>
      </w:pPr>
      <w:r w:rsidRPr="00ED30ED">
        <w:rPr>
          <w:b/>
          <w:sz w:val="28"/>
          <w:szCs w:val="28"/>
          <w:lang w:val="vi-VN"/>
        </w:rPr>
        <w:t>I. Giới thiệu về gói thầu</w:t>
      </w:r>
    </w:p>
    <w:p w:rsidR="00226506" w:rsidRPr="00ED30ED" w:rsidRDefault="00226506" w:rsidP="00226506">
      <w:pPr>
        <w:spacing w:before="120" w:after="120"/>
        <w:ind w:firstLine="567"/>
        <w:rPr>
          <w:bCs/>
          <w:sz w:val="28"/>
          <w:szCs w:val="28"/>
        </w:rPr>
      </w:pPr>
      <w:r w:rsidRPr="00ED30ED">
        <w:rPr>
          <w:bCs/>
          <w:sz w:val="28"/>
          <w:szCs w:val="28"/>
        </w:rPr>
        <w:t xml:space="preserve">1. Mô tả khái quát về </w:t>
      </w:r>
      <w:r>
        <w:rPr>
          <w:bCs/>
          <w:sz w:val="28"/>
          <w:szCs w:val="28"/>
        </w:rPr>
        <w:t>công trình</w:t>
      </w:r>
      <w:r w:rsidRPr="00ED30ED">
        <w:rPr>
          <w:bCs/>
          <w:sz w:val="28"/>
          <w:szCs w:val="28"/>
        </w:rPr>
        <w:t xml:space="preserve"> và gói thầu:</w:t>
      </w:r>
    </w:p>
    <w:p w:rsidR="00226506" w:rsidRPr="002F127F" w:rsidRDefault="00226506" w:rsidP="00226506">
      <w:pPr>
        <w:spacing w:before="120" w:after="120"/>
        <w:ind w:firstLine="567"/>
        <w:rPr>
          <w:sz w:val="28"/>
          <w:szCs w:val="28"/>
        </w:rPr>
      </w:pPr>
      <w:r w:rsidRPr="002F127F">
        <w:rPr>
          <w:sz w:val="28"/>
          <w:szCs w:val="28"/>
        </w:rPr>
        <w:t>- Tên công trình: Xây dựng Biển tên đặc khu Hoàng Sa.</w:t>
      </w:r>
    </w:p>
    <w:p w:rsidR="00226506" w:rsidRPr="00ED30ED" w:rsidRDefault="00226506" w:rsidP="00226506">
      <w:pPr>
        <w:spacing w:before="120" w:after="120"/>
        <w:ind w:firstLine="567"/>
        <w:rPr>
          <w:sz w:val="28"/>
          <w:szCs w:val="28"/>
        </w:rPr>
      </w:pPr>
      <w:r w:rsidRPr="00ED30ED">
        <w:rPr>
          <w:sz w:val="28"/>
          <w:szCs w:val="28"/>
        </w:rPr>
        <w:t>- Tên gói thầu: Thi công xây dựng</w:t>
      </w:r>
      <w:r>
        <w:rPr>
          <w:sz w:val="28"/>
          <w:szCs w:val="28"/>
        </w:rPr>
        <w:t>.</w:t>
      </w:r>
    </w:p>
    <w:p w:rsidR="00226506" w:rsidRPr="00ED30ED" w:rsidRDefault="00226506" w:rsidP="00226506">
      <w:pPr>
        <w:spacing w:before="120" w:after="120"/>
        <w:ind w:firstLine="567"/>
        <w:rPr>
          <w:sz w:val="28"/>
          <w:szCs w:val="28"/>
        </w:rPr>
      </w:pPr>
      <w:r w:rsidRPr="00ED30ED">
        <w:rPr>
          <w:sz w:val="28"/>
          <w:szCs w:val="28"/>
        </w:rPr>
        <w:t xml:space="preserve">- Chủ đầu tư: </w:t>
      </w:r>
      <w:r>
        <w:rPr>
          <w:spacing w:val="-4"/>
          <w:sz w:val="28"/>
          <w:szCs w:val="28"/>
        </w:rPr>
        <w:t>UBND đặc khu Hoàng Sa</w:t>
      </w:r>
      <w:r w:rsidRPr="00ED30ED">
        <w:rPr>
          <w:spacing w:val="-4"/>
          <w:sz w:val="28"/>
          <w:szCs w:val="28"/>
          <w:lang w:val="vi-VN"/>
        </w:rPr>
        <w:t>.</w:t>
      </w:r>
    </w:p>
    <w:p w:rsidR="00226506" w:rsidRPr="00ED30ED" w:rsidRDefault="00226506" w:rsidP="00226506">
      <w:pPr>
        <w:spacing w:before="120" w:after="120"/>
        <w:ind w:firstLine="567"/>
        <w:rPr>
          <w:sz w:val="28"/>
          <w:szCs w:val="28"/>
        </w:rPr>
      </w:pPr>
      <w:r w:rsidRPr="00ED30ED">
        <w:rPr>
          <w:sz w:val="28"/>
          <w:szCs w:val="28"/>
        </w:rPr>
        <w:t xml:space="preserve">- Nguồn vốn: </w:t>
      </w:r>
      <w:r>
        <w:rPr>
          <w:sz w:val="28"/>
          <w:szCs w:val="28"/>
        </w:rPr>
        <w:t>Nguồn kinh phí chi thường xuyên năm 2025</w:t>
      </w:r>
      <w:r w:rsidRPr="00ED30ED">
        <w:rPr>
          <w:sz w:val="28"/>
          <w:szCs w:val="28"/>
        </w:rPr>
        <w:t>.</w:t>
      </w:r>
    </w:p>
    <w:p w:rsidR="00226506" w:rsidRPr="00ED30ED" w:rsidRDefault="00226506" w:rsidP="00226506">
      <w:pPr>
        <w:spacing w:before="120" w:after="120"/>
        <w:ind w:firstLine="567"/>
        <w:rPr>
          <w:sz w:val="28"/>
          <w:szCs w:val="28"/>
        </w:rPr>
      </w:pPr>
      <w:r w:rsidRPr="00ED30ED">
        <w:rPr>
          <w:sz w:val="28"/>
          <w:szCs w:val="28"/>
        </w:rPr>
        <w:t>- Loại hợp đồng: Hợp đồng trọn gói.</w:t>
      </w:r>
    </w:p>
    <w:p w:rsidR="00226506" w:rsidRPr="00ED30ED" w:rsidRDefault="00226506" w:rsidP="00226506">
      <w:pPr>
        <w:spacing w:before="120" w:after="120"/>
        <w:ind w:firstLine="567"/>
        <w:rPr>
          <w:sz w:val="28"/>
          <w:szCs w:val="28"/>
        </w:rPr>
      </w:pPr>
      <w:r w:rsidRPr="00ED30ED">
        <w:rPr>
          <w:sz w:val="28"/>
          <w:szCs w:val="28"/>
        </w:rPr>
        <w:t xml:space="preserve">- Thời gian thực hiện gói thầu: </w:t>
      </w:r>
      <w:r>
        <w:rPr>
          <w:sz w:val="28"/>
          <w:szCs w:val="28"/>
        </w:rPr>
        <w:t>6</w:t>
      </w:r>
      <w:r w:rsidRPr="00ED30ED">
        <w:rPr>
          <w:sz w:val="28"/>
          <w:szCs w:val="28"/>
        </w:rPr>
        <w:t>0 ngày.</w:t>
      </w:r>
    </w:p>
    <w:p w:rsidR="00226506" w:rsidRPr="00ED30ED" w:rsidRDefault="00226506" w:rsidP="00226506">
      <w:pPr>
        <w:spacing w:before="120" w:after="120"/>
        <w:ind w:firstLine="567"/>
        <w:rPr>
          <w:sz w:val="28"/>
          <w:szCs w:val="28"/>
        </w:rPr>
      </w:pPr>
      <w:r w:rsidRPr="00ED30ED">
        <w:rPr>
          <w:sz w:val="28"/>
          <w:szCs w:val="28"/>
        </w:rPr>
        <w:t xml:space="preserve">- Địa điểm xây dựng: Phường </w:t>
      </w:r>
      <w:r>
        <w:rPr>
          <w:sz w:val="28"/>
          <w:szCs w:val="28"/>
        </w:rPr>
        <w:t>Sơn Trà</w:t>
      </w:r>
      <w:r w:rsidRPr="00ED30ED">
        <w:rPr>
          <w:sz w:val="28"/>
          <w:szCs w:val="28"/>
        </w:rPr>
        <w:t>, T</w:t>
      </w:r>
      <w:r>
        <w:rPr>
          <w:sz w:val="28"/>
          <w:szCs w:val="28"/>
        </w:rPr>
        <w:t>hành phố</w:t>
      </w:r>
      <w:r w:rsidRPr="00ED30ED">
        <w:rPr>
          <w:sz w:val="28"/>
          <w:szCs w:val="28"/>
        </w:rPr>
        <w:t xml:space="preserve"> Đà Nẵng.</w:t>
      </w:r>
    </w:p>
    <w:p w:rsidR="00226506" w:rsidRPr="00ED30ED" w:rsidRDefault="00226506" w:rsidP="00226506">
      <w:pPr>
        <w:spacing w:before="120" w:after="120"/>
        <w:ind w:firstLine="567"/>
        <w:rPr>
          <w:sz w:val="28"/>
          <w:szCs w:val="28"/>
        </w:rPr>
      </w:pPr>
      <w:r w:rsidRPr="00ED30ED">
        <w:rPr>
          <w:sz w:val="28"/>
          <w:szCs w:val="28"/>
        </w:rPr>
        <w:t xml:space="preserve">- Loại, cấp công trình: Dự án nhóm C, công trình dân dụng thuộc lĩnh vực </w:t>
      </w:r>
      <w:r>
        <w:rPr>
          <w:sz w:val="28"/>
          <w:szCs w:val="28"/>
        </w:rPr>
        <w:t>v</w:t>
      </w:r>
      <w:r w:rsidRPr="00ED30ED">
        <w:rPr>
          <w:sz w:val="28"/>
          <w:szCs w:val="28"/>
        </w:rPr>
        <w:t>ăn hóa, cấp I</w:t>
      </w:r>
      <w:r>
        <w:rPr>
          <w:sz w:val="28"/>
          <w:szCs w:val="28"/>
        </w:rPr>
        <w:t>V</w:t>
      </w:r>
      <w:r w:rsidRPr="00ED30ED">
        <w:rPr>
          <w:sz w:val="28"/>
          <w:szCs w:val="28"/>
        </w:rPr>
        <w:t>.</w:t>
      </w:r>
    </w:p>
    <w:p w:rsidR="00226506" w:rsidRPr="00ED30ED" w:rsidRDefault="00226506" w:rsidP="00226506">
      <w:pPr>
        <w:spacing w:before="120" w:after="120"/>
        <w:ind w:firstLine="567"/>
        <w:rPr>
          <w:bCs/>
          <w:sz w:val="28"/>
          <w:szCs w:val="28"/>
        </w:rPr>
      </w:pPr>
      <w:r w:rsidRPr="00ED30ED">
        <w:rPr>
          <w:bCs/>
          <w:sz w:val="28"/>
          <w:szCs w:val="28"/>
        </w:rPr>
        <w:t>2. Phạm vi công việc của gói thầu: Thi công xây dựng các hạng mục công việc sau:</w:t>
      </w:r>
    </w:p>
    <w:p w:rsidR="00226506" w:rsidRPr="002F127F" w:rsidRDefault="00226506" w:rsidP="00226506">
      <w:pPr>
        <w:widowControl w:val="0"/>
        <w:tabs>
          <w:tab w:val="left" w:pos="1418"/>
        </w:tabs>
        <w:spacing w:before="120" w:after="120"/>
        <w:ind w:firstLine="567"/>
        <w:rPr>
          <w:bCs/>
          <w:sz w:val="28"/>
          <w:szCs w:val="28"/>
          <w:lang w:val="pt-BR"/>
        </w:rPr>
      </w:pPr>
      <w:r w:rsidRPr="002F127F">
        <w:rPr>
          <w:bCs/>
          <w:sz w:val="28"/>
          <w:szCs w:val="28"/>
          <w:lang w:val="pt-BR"/>
        </w:rPr>
        <w:t>- Xây mới Biển tên Đặc khu Hoàng Sa gắn với mô hình Bia chủ quyền và cột cờ, kích thước 10,5 x 3,15 m.</w:t>
      </w:r>
    </w:p>
    <w:p w:rsidR="00226506" w:rsidRPr="002F127F" w:rsidRDefault="00226506" w:rsidP="00226506">
      <w:pPr>
        <w:widowControl w:val="0"/>
        <w:tabs>
          <w:tab w:val="left" w:pos="1418"/>
        </w:tabs>
        <w:spacing w:before="120" w:after="120"/>
        <w:ind w:firstLine="567"/>
        <w:rPr>
          <w:bCs/>
          <w:sz w:val="28"/>
          <w:szCs w:val="28"/>
          <w:lang w:val="pt-BR"/>
        </w:rPr>
      </w:pPr>
      <w:r w:rsidRPr="002F127F">
        <w:rPr>
          <w:bCs/>
          <w:sz w:val="28"/>
          <w:szCs w:val="28"/>
          <w:lang w:val="pt-BR"/>
        </w:rPr>
        <w:t>- Được đặt tại giữa lối đi sân vườn, người dân và du khách có thể đi xung quanh tham quan.</w:t>
      </w:r>
    </w:p>
    <w:p w:rsidR="00226506" w:rsidRPr="002F127F" w:rsidRDefault="00226506" w:rsidP="00226506">
      <w:pPr>
        <w:widowControl w:val="0"/>
        <w:tabs>
          <w:tab w:val="left" w:pos="1418"/>
        </w:tabs>
        <w:spacing w:before="120" w:after="120"/>
        <w:ind w:firstLine="567"/>
        <w:rPr>
          <w:bCs/>
          <w:sz w:val="28"/>
          <w:szCs w:val="28"/>
          <w:lang w:val="pt-BR"/>
        </w:rPr>
      </w:pPr>
      <w:r w:rsidRPr="002F127F">
        <w:rPr>
          <w:bCs/>
          <w:sz w:val="28"/>
          <w:szCs w:val="28"/>
          <w:lang w:val="pt-BR"/>
        </w:rPr>
        <w:t>- Phía sau Biển tên Đặc khu Hoàng Sa gắn với mô hình Bia chủ quyền và cột cờ, xây bức tường phía sau bằng đá nguyên khối để trang trí. Bố trí hệ khung móng và trụ bê-tông cốt thép để cố định tấm đá nguyên khối. Gần đỉnh khắc chữ “Quần đảo Hoàng Sa thuộc lãnh thổ Việt Nam” và “Paracel Islands is Viet Nam’s territory”.</w:t>
      </w:r>
    </w:p>
    <w:p w:rsidR="00226506" w:rsidRPr="002F127F" w:rsidRDefault="00226506" w:rsidP="00226506">
      <w:pPr>
        <w:widowControl w:val="0"/>
        <w:tabs>
          <w:tab w:val="left" w:pos="1418"/>
        </w:tabs>
        <w:spacing w:before="120" w:after="120"/>
        <w:ind w:firstLine="567"/>
        <w:rPr>
          <w:bCs/>
          <w:sz w:val="28"/>
          <w:szCs w:val="28"/>
          <w:lang w:val="pt-BR"/>
        </w:rPr>
      </w:pPr>
      <w:r w:rsidRPr="002F127F">
        <w:rPr>
          <w:bCs/>
          <w:sz w:val="28"/>
          <w:szCs w:val="28"/>
          <w:lang w:val="pt-BR"/>
        </w:rPr>
        <w:t>- Bia chủ quyền: Được làm bằng đá Granite nguyên khối, phần gần đỉnh gắn ngôi sao vàng 5 cánh, phần thân chính giữa 2 bên khắc chữ “Quần đảo Hoàng Sa thuộc lãnh thổ Việt Nam”, mặt chính diện có gắn bảng hiệu ghi thông tin tên cơ quan, địa chỉ của Đặc khu Hoàng Sa.</w:t>
      </w:r>
    </w:p>
    <w:p w:rsidR="00226506" w:rsidRDefault="00226506" w:rsidP="00226506">
      <w:pPr>
        <w:widowControl w:val="0"/>
        <w:tabs>
          <w:tab w:val="left" w:pos="1418"/>
        </w:tabs>
        <w:spacing w:before="120" w:after="120"/>
        <w:ind w:firstLine="567"/>
        <w:rPr>
          <w:bCs/>
          <w:sz w:val="28"/>
          <w:szCs w:val="28"/>
          <w:lang w:val="pt-BR"/>
        </w:rPr>
      </w:pPr>
      <w:r w:rsidRPr="002F127F">
        <w:rPr>
          <w:bCs/>
          <w:sz w:val="28"/>
          <w:szCs w:val="28"/>
          <w:lang w:val="pt-BR"/>
        </w:rPr>
        <w:t>- Cột cờ: Đế cột xây móng bê-tông cốt thép, ốp đá hoa cương chân đế, cột cờ bằng inox 304 chống gỉ sắt và đỉnh cột cờ treo cờ đỏ sao vàng.</w:t>
      </w:r>
    </w:p>
    <w:p w:rsidR="00226506" w:rsidRPr="002F127F" w:rsidRDefault="00226506" w:rsidP="00226506">
      <w:pPr>
        <w:widowControl w:val="0"/>
        <w:tabs>
          <w:tab w:val="left" w:pos="1418"/>
        </w:tabs>
        <w:spacing w:before="120" w:after="120"/>
        <w:ind w:firstLine="567"/>
        <w:rPr>
          <w:bCs/>
          <w:sz w:val="28"/>
          <w:szCs w:val="28"/>
          <w:lang w:val="pt-BR"/>
        </w:rPr>
      </w:pPr>
      <w:r>
        <w:rPr>
          <w:bCs/>
          <w:sz w:val="28"/>
          <w:szCs w:val="28"/>
          <w:lang w:val="pt-BR"/>
        </w:rPr>
        <w:t>- Bố trí hệ thống camera quan sát và hệ thống chiếu sáng.</w:t>
      </w:r>
    </w:p>
    <w:p w:rsidR="00226506" w:rsidRDefault="00226506" w:rsidP="00226506">
      <w:pPr>
        <w:widowControl w:val="0"/>
        <w:tabs>
          <w:tab w:val="left" w:pos="1418"/>
        </w:tabs>
        <w:spacing w:before="120" w:after="120" w:line="264" w:lineRule="auto"/>
        <w:ind w:firstLine="709"/>
        <w:rPr>
          <w:sz w:val="28"/>
          <w:szCs w:val="28"/>
        </w:rPr>
      </w:pPr>
      <w:r>
        <w:rPr>
          <w:sz w:val="28"/>
          <w:szCs w:val="28"/>
        </w:rPr>
        <w:t>3</w:t>
      </w:r>
      <w:r w:rsidRPr="00F5142B">
        <w:rPr>
          <w:sz w:val="28"/>
          <w:szCs w:val="28"/>
          <w:lang w:val="vi-VN"/>
        </w:rPr>
        <w:t>. Thời hạn hoàn thành</w:t>
      </w:r>
      <w:r>
        <w:rPr>
          <w:sz w:val="28"/>
          <w:szCs w:val="28"/>
        </w:rPr>
        <w:t>: Trong vòng 60 ngày kể từ ngày bàn giao mặt bằng thi công.</w:t>
      </w:r>
    </w:p>
    <w:p w:rsidR="00BA31EE" w:rsidRPr="00847CD8" w:rsidRDefault="00BA31EE" w:rsidP="00226506">
      <w:pPr>
        <w:widowControl w:val="0"/>
        <w:tabs>
          <w:tab w:val="left" w:pos="1418"/>
        </w:tabs>
        <w:spacing w:before="120" w:after="120" w:line="264" w:lineRule="auto"/>
        <w:ind w:firstLine="709"/>
        <w:rPr>
          <w:sz w:val="28"/>
          <w:szCs w:val="28"/>
        </w:rPr>
      </w:pPr>
    </w:p>
    <w:p w:rsidR="00226506" w:rsidRPr="006C6AEA" w:rsidRDefault="00226506" w:rsidP="00226506">
      <w:pPr>
        <w:widowControl w:val="0"/>
        <w:tabs>
          <w:tab w:val="left" w:pos="1418"/>
        </w:tabs>
        <w:spacing w:before="120" w:after="120" w:line="264" w:lineRule="auto"/>
        <w:ind w:firstLine="709"/>
        <w:rPr>
          <w:b/>
          <w:sz w:val="28"/>
          <w:szCs w:val="28"/>
          <w:lang w:val="vi-VN"/>
        </w:rPr>
      </w:pPr>
      <w:r w:rsidRPr="006C6AEA">
        <w:rPr>
          <w:b/>
          <w:sz w:val="28"/>
          <w:szCs w:val="28"/>
          <w:lang w:val="vi-VN"/>
        </w:rPr>
        <w:lastRenderedPageBreak/>
        <w:t>II. Yêu cầu về tiến độ thực hiện</w:t>
      </w:r>
    </w:p>
    <w:p w:rsidR="00226506" w:rsidRPr="006C6AEA" w:rsidRDefault="00226506" w:rsidP="00226506">
      <w:pPr>
        <w:widowControl w:val="0"/>
        <w:tabs>
          <w:tab w:val="left" w:pos="1418"/>
        </w:tabs>
        <w:spacing w:before="120" w:after="120" w:line="264" w:lineRule="auto"/>
        <w:ind w:firstLine="709"/>
        <w:rPr>
          <w:sz w:val="28"/>
          <w:szCs w:val="28"/>
          <w:lang w:val="vi-VN"/>
        </w:rPr>
      </w:pPr>
      <w:r w:rsidRPr="006C6AEA">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6"/>
        <w:gridCol w:w="2464"/>
        <w:gridCol w:w="3020"/>
      </w:tblGrid>
      <w:tr w:rsidR="00226506" w:rsidRPr="006C6AEA" w:rsidTr="004B7597">
        <w:trPr>
          <w:trHeight w:val="552"/>
        </w:trPr>
        <w:tc>
          <w:tcPr>
            <w:tcW w:w="552" w:type="pct"/>
            <w:shd w:val="clear" w:color="auto" w:fill="auto"/>
            <w:vAlign w:val="center"/>
          </w:tcPr>
          <w:p w:rsidR="00226506" w:rsidRPr="006C6AEA" w:rsidRDefault="00226506" w:rsidP="004B7597">
            <w:pPr>
              <w:widowControl w:val="0"/>
              <w:tabs>
                <w:tab w:val="left" w:pos="1418"/>
              </w:tabs>
              <w:spacing w:before="120" w:after="120" w:line="264" w:lineRule="auto"/>
              <w:jc w:val="center"/>
              <w:rPr>
                <w:b/>
                <w:sz w:val="28"/>
                <w:szCs w:val="28"/>
                <w:lang w:val="en-GB"/>
              </w:rPr>
            </w:pPr>
            <w:r w:rsidRPr="006C6AEA">
              <w:rPr>
                <w:b/>
                <w:sz w:val="28"/>
                <w:szCs w:val="28"/>
              </w:rPr>
              <w:t>STT</w:t>
            </w:r>
          </w:p>
        </w:tc>
        <w:tc>
          <w:tcPr>
            <w:tcW w:w="1615" w:type="pct"/>
            <w:shd w:val="clear" w:color="auto" w:fill="auto"/>
            <w:vAlign w:val="center"/>
          </w:tcPr>
          <w:p w:rsidR="00226506" w:rsidRPr="006C6AEA" w:rsidRDefault="00226506" w:rsidP="004B7597">
            <w:pPr>
              <w:widowControl w:val="0"/>
              <w:tabs>
                <w:tab w:val="left" w:pos="1418"/>
              </w:tabs>
              <w:spacing w:before="120" w:after="120" w:line="264" w:lineRule="auto"/>
              <w:jc w:val="center"/>
              <w:rPr>
                <w:b/>
                <w:sz w:val="28"/>
                <w:szCs w:val="28"/>
              </w:rPr>
            </w:pPr>
            <w:r w:rsidRPr="006C6AEA">
              <w:rPr>
                <w:b/>
                <w:sz w:val="28"/>
                <w:szCs w:val="28"/>
              </w:rPr>
              <w:t>Hạng mục công trình</w:t>
            </w:r>
          </w:p>
        </w:tc>
        <w:tc>
          <w:tcPr>
            <w:tcW w:w="1273" w:type="pct"/>
            <w:shd w:val="clear" w:color="auto" w:fill="auto"/>
            <w:vAlign w:val="center"/>
          </w:tcPr>
          <w:p w:rsidR="00226506" w:rsidRPr="006C6AEA" w:rsidRDefault="00226506" w:rsidP="004B7597">
            <w:pPr>
              <w:widowControl w:val="0"/>
              <w:tabs>
                <w:tab w:val="left" w:pos="1418"/>
              </w:tabs>
              <w:spacing w:before="120" w:after="120" w:line="264" w:lineRule="auto"/>
              <w:jc w:val="center"/>
              <w:rPr>
                <w:b/>
                <w:sz w:val="28"/>
                <w:szCs w:val="28"/>
              </w:rPr>
            </w:pPr>
            <w:r w:rsidRPr="006C6AEA">
              <w:rPr>
                <w:b/>
                <w:sz w:val="28"/>
                <w:szCs w:val="28"/>
              </w:rPr>
              <w:t>Ngày bắt đầu</w:t>
            </w:r>
          </w:p>
        </w:tc>
        <w:tc>
          <w:tcPr>
            <w:tcW w:w="1560" w:type="pct"/>
            <w:shd w:val="clear" w:color="auto" w:fill="auto"/>
            <w:vAlign w:val="center"/>
          </w:tcPr>
          <w:p w:rsidR="00226506" w:rsidRPr="006C6AEA" w:rsidRDefault="00226506" w:rsidP="004B7597">
            <w:pPr>
              <w:widowControl w:val="0"/>
              <w:tabs>
                <w:tab w:val="left" w:pos="1418"/>
              </w:tabs>
              <w:spacing w:before="120" w:after="120" w:line="264" w:lineRule="auto"/>
              <w:jc w:val="center"/>
              <w:rPr>
                <w:b/>
                <w:sz w:val="28"/>
                <w:szCs w:val="28"/>
                <w:lang w:val="en-GB"/>
              </w:rPr>
            </w:pPr>
            <w:r w:rsidRPr="006C6AEA">
              <w:rPr>
                <w:b/>
                <w:sz w:val="28"/>
                <w:szCs w:val="28"/>
              </w:rPr>
              <w:t>Ngày hoàn thành</w:t>
            </w:r>
          </w:p>
        </w:tc>
      </w:tr>
      <w:tr w:rsidR="00226506" w:rsidRPr="006C6AEA" w:rsidTr="004B7597">
        <w:tc>
          <w:tcPr>
            <w:tcW w:w="552" w:type="pct"/>
            <w:vAlign w:val="center"/>
          </w:tcPr>
          <w:p w:rsidR="00226506" w:rsidRPr="006C6AEA" w:rsidRDefault="00226506" w:rsidP="004B7597">
            <w:pPr>
              <w:widowControl w:val="0"/>
              <w:tabs>
                <w:tab w:val="left" w:pos="1418"/>
              </w:tabs>
              <w:spacing w:before="120" w:after="120" w:line="264" w:lineRule="auto"/>
              <w:jc w:val="center"/>
              <w:rPr>
                <w:sz w:val="28"/>
                <w:szCs w:val="28"/>
                <w:lang w:val="en-GB"/>
              </w:rPr>
            </w:pPr>
            <w:r w:rsidRPr="006C6AEA">
              <w:rPr>
                <w:sz w:val="28"/>
                <w:szCs w:val="28"/>
                <w:lang w:val="en-GB"/>
              </w:rPr>
              <w:t>1</w:t>
            </w:r>
          </w:p>
        </w:tc>
        <w:tc>
          <w:tcPr>
            <w:tcW w:w="1615" w:type="pct"/>
            <w:vAlign w:val="center"/>
          </w:tcPr>
          <w:p w:rsidR="00226506" w:rsidRPr="006C6AEA" w:rsidRDefault="00226506" w:rsidP="004B7597">
            <w:pPr>
              <w:widowControl w:val="0"/>
              <w:tabs>
                <w:tab w:val="left" w:pos="1418"/>
              </w:tabs>
              <w:spacing w:before="120" w:after="120" w:line="264" w:lineRule="auto"/>
              <w:rPr>
                <w:sz w:val="28"/>
                <w:szCs w:val="28"/>
                <w:lang w:val="en-GB"/>
              </w:rPr>
            </w:pPr>
            <w:r w:rsidRPr="006C6AEA">
              <w:rPr>
                <w:sz w:val="28"/>
                <w:szCs w:val="28"/>
                <w:lang w:val="en-GB"/>
              </w:rPr>
              <w:t>Toàn bộ các hạng mục công việc</w:t>
            </w:r>
          </w:p>
        </w:tc>
        <w:tc>
          <w:tcPr>
            <w:tcW w:w="1273" w:type="pct"/>
            <w:vAlign w:val="center"/>
          </w:tcPr>
          <w:p w:rsidR="00226506" w:rsidRPr="006C6AEA" w:rsidRDefault="00226506" w:rsidP="004B7597">
            <w:pPr>
              <w:widowControl w:val="0"/>
              <w:tabs>
                <w:tab w:val="left" w:pos="1418"/>
              </w:tabs>
              <w:spacing w:before="120" w:after="120" w:line="264" w:lineRule="auto"/>
              <w:rPr>
                <w:sz w:val="28"/>
                <w:szCs w:val="28"/>
                <w:lang w:val="en-GB"/>
              </w:rPr>
            </w:pPr>
            <w:r w:rsidRPr="006C6AEA">
              <w:rPr>
                <w:sz w:val="28"/>
                <w:szCs w:val="28"/>
                <w:lang w:val="en-GB"/>
              </w:rPr>
              <w:t>Theo tiến độ thi công đề xuất</w:t>
            </w:r>
          </w:p>
        </w:tc>
        <w:tc>
          <w:tcPr>
            <w:tcW w:w="1560" w:type="pct"/>
            <w:vAlign w:val="center"/>
          </w:tcPr>
          <w:p w:rsidR="00226506" w:rsidRPr="006C6AEA" w:rsidRDefault="00226506" w:rsidP="004B7597">
            <w:pPr>
              <w:widowControl w:val="0"/>
              <w:tabs>
                <w:tab w:val="left" w:pos="1418"/>
              </w:tabs>
              <w:spacing w:before="120" w:after="120" w:line="264" w:lineRule="auto"/>
              <w:rPr>
                <w:sz w:val="28"/>
                <w:szCs w:val="28"/>
                <w:lang w:val="en-GB"/>
              </w:rPr>
            </w:pPr>
            <w:r w:rsidRPr="006C6AEA">
              <w:rPr>
                <w:sz w:val="28"/>
                <w:szCs w:val="28"/>
                <w:lang w:val="en-GB"/>
              </w:rPr>
              <w:t>Theo tiến độ thi công đề xuất</w:t>
            </w:r>
          </w:p>
        </w:tc>
      </w:tr>
    </w:tbl>
    <w:p w:rsidR="00226506" w:rsidRPr="00E073DE" w:rsidRDefault="00226506" w:rsidP="00226506">
      <w:pPr>
        <w:widowControl w:val="0"/>
        <w:tabs>
          <w:tab w:val="left" w:pos="700"/>
          <w:tab w:val="left" w:pos="1418"/>
        </w:tabs>
        <w:spacing w:before="80" w:after="80"/>
        <w:ind w:firstLine="567"/>
        <w:rPr>
          <w:b/>
          <w:bCs/>
          <w:sz w:val="28"/>
          <w:szCs w:val="28"/>
        </w:rPr>
      </w:pPr>
      <w:r w:rsidRPr="00E073DE">
        <w:rPr>
          <w:b/>
          <w:bCs/>
          <w:sz w:val="28"/>
          <w:szCs w:val="28"/>
        </w:rPr>
        <w:t>III. Yêu cầu về kỹ thuật/chỉ dẫn kỹ thuật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1. Yêu cầu về trình tự thi công, lắp đặt: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Tổ chức thi công áp dụng tiêu chuẩn TCVN 4055:2012. Tiến độ thi công được lập cụ thể cho từng công việc để đảm bảo được kế hoạch;</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Giám sát kỹ thuật và nghiệm thu chặt chẽ từng phần các công đoạn trong công nghệ thi công;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Chấp hành các quy phạm kỹ thuật nghiêm túc và xem xét, phản ánh kịp thời sự phù hợp thực từ công trường và bản vẽ thiết kế, kể cả vật liệu kiến trúc;</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Thi công thủ công kết hợp với cơ giới;</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Yêu cầu thi công gọn, dứt điểm từng phần việc.</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2. Yêu cầu về vận hành thủ nghiệm, an toàn:</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2.1. Phòng thí nghiệm:</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Nhà thầu phải cung cấp tất cả các trang thiết bị ban đầu, vật liệu, công trình, lao động, dịch vụ và các khoản mục cần thiết khác để thực hiện công việc thử nghiệm sẽ do nhà thầu thực hiện dưới sự chỉ đạo và giám sát của Kỹ sư giám sát. Các yêu cầu đối với thiết bị thí nghiệm để thực hiện các thí nghiệm, nếu nhà thầu không bảo đảm được phòng thí nghiệm thì có thể thuê cơ quan, đơn vị có đủ thiết bị thí nghiệm để thực hiện các thí nghiệm:</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Cán bộ thí nghiệm: Theo các dữ liệu nói trên, trình một danh sách cùng với lý lịch với tất cả cán bộ kỹ sư giám sát thi công của nhà thầu đảm nhận công việc thử nghiệm trong hợp đồng này.</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Lịch thí nghiệm: Chuẩn bị một lịch tổng quát cho tất cả các danh mục cần phải thử nghiệm phối hợp với lịch xây dựng để dự kiến thời gian sẽ tiến hành các thí nghiệm này.</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Các mẫu biểu thử nghiệm: Trong vòng 15 ngày kể từ khi Chủ đầu tư ra lệnh khởi công bằng văn bản, nhà thầu phải đệ trình các mẫu biểu tiêu chuẩn thử nghiệm sẽ được sử dụng trong hợp đồng cho các thí nghiệm theo quy định được Kỹ sư giám sát thông qua.</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lastRenderedPageBreak/>
        <w:t>2.2. Thực hiện thí nghiệm:</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Quy trình và tiêu chuẩn: công việc thí nghiệm phải được thí nghiệm một cách chặt chẽ, chính xác theo quy định và tiêu chuẩn đề ra.</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Nhân sự: người làm thí nghiệm phải đủ kinh nghiệm, có giấy chứng nhận thí</w:t>
      </w:r>
      <w:r w:rsidRPr="00E073DE">
        <w:rPr>
          <w:bCs/>
          <w:sz w:val="28"/>
          <w:szCs w:val="28"/>
        </w:rPr>
        <w:br/>
        <w:t>nghiệm viên, thông thạo kỹ thuật.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Mẫu: đối với các thử nghiệm thực tế và báo cáo các kết quả thử nghiệm thì chỉ những mẫu thử nghiệm nào được Kỹ sư giám sát chấp thuận trước mới được chấp thuận.</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Thông báo: để Kỹ sư giám sát hoặc đại diện của Kỹ sư giám sát làm nhân chứng cho bất kỳ thí nghiệm không thường kỳ nào thì thông báo thời gian thử nghiệm dự kiến ít nhất 1 giờ trước khi thực hiện.</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Phân phát: các báo cáo thí nghiệm phải được xử lý nhanh chóng và chuyển đi ngay để đảm bảo rằng các thí nghiệm lại, thay thế vật liệu, hoặc việc đầm nén lại vật liệu nêu được yêu cầu thì có thể được thực hiện mà ít gây chậm trễ nhất cho công việc.</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3. Yêu cầu về phòng chống cháy, nổ:</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Nhà thầu cần phải tổ chức mặt bằng công trình khoa học, đảm bảo thuận tiện cho xe chữa cháy và xe cứu thương ra vào khi có sự cố cháy nổ xảy ra;</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Không được dùng các vật liệu dễ cháy nổ để thi công công trình;</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Các chất dễ cháy như xăng dầu, mỡ cho thiết bị thi công cần phải được bố trí kho riêng cách xa vị trí thi công, các nguồn gây cháy với các nội quy, biển báo được niêm yết công khai rõ ràng tại vị trí dễ thấy và được bảo quản một cách đặc biệt. Các vật liệu dễ cháy cần được bảo quản đặc biệt, phân cấp trách nhiệm rõ ràng, có nội qui cụ thể. Xăng dầu và các vật liệu trên được đáp ứng theo nguyên tắc sử dụng đến đâu đưa về đến đó vừa đủ đáp ứng tiến độ thi công;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Hệ thống điện cho thi công được thiết kế hợp lý có các hệ thống cầu dao, aptomat bảo vệ quá tải hoặc sự cố. Cấp điện chiếu sáng phục vụ thi công phải được thiết kế đúng, đủ công suất và phải dùng loại cáp bọc không đứt gẫy, phải được treo cao trên các cột tạm chắc chắn. Tại các vị trí đấu nối và vị trí đầu vào phụ tải thiết bị đều phải được dùng băng keo cách điện bọc kín. Tại kho xăng dầu phải dùng hệ thống chiếu sáng chống nổ có chụp bảo vệ;</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Nghiêm cấm việc đun nấu, sử dụng điện và dùng điện đun nấu tại hiện trường;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Các nội quy, quy định, các biển báo phải được thiết lập và niêm yết tại các vị trí dễ thấy và dễ gây nên sự cố;</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Nhà thầu có trách nhiệm thường xuyên kiểm tra toàn, kiểm tra các dụng cụ, phương tiện PCCC được trang bị.</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4. Yêu cầu về vệ sinh môi trường: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a) Tổng quát: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xml:space="preserve">Trong thời gian thi công nhà thầu phải bảo quản các công trình không để đọng rác rưởi, vật phế thải do các hoạt động thi công gây ra. Khi hoàn thành công trình, mọi vật </w:t>
      </w:r>
      <w:r w:rsidRPr="00E073DE">
        <w:rPr>
          <w:bCs/>
          <w:sz w:val="28"/>
          <w:szCs w:val="28"/>
        </w:rPr>
        <w:lastRenderedPageBreak/>
        <w:t>liệu thừa, rác, các dụng cụ, thiết bị và máy móc phải được rời đi, mọi bề mặt nhìn thấy phải được làm sạch và phải ở tình trạng sẵn sàng để được tiếp quản dưới sự chấp thuận của Kỹ sư giám sát.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b) Trong khi thi công, nhà thầu phải:</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Thường xuyên thu dọn để đảm bảo cho công trình không bị ứ đọng các đống phế thải, rác và các mảnh vụn do các hoạt động thi công ở hiện trường gây ra, giữ gìn công trình luôn sạch sẽ, ngăn nắp.</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Khi cần thiết phải tiến hành tưới nước cho các vật liệu khô và rác để chúng khỏi bị gió thổi bay đi.</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Cung cấp các thùng chứa phế thải, rác và các mảnh vụn trong khi chờ di chuyển ra khỏi công trường.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Nếu nhà thầu nhận thấy các rãnh thoát nước và các công trình thoát nước khác bị xử lý để thoát bất kỳ thứ gì không phải là nước mặt thì phải báo cáo ngay cho Kỹ sư giám sát biết và làm theo các chỉ dẫn của Kỹ sư giám sát để ngăn ngừa không xảy ra ô nhiễm sau này.</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5. Yêu cầu về an toàn lao động: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Mục tiêu hàng đầu của công trình an toàn này là hạn chế số vụ tai nạn và mức độ thiệt hại cũng như bệnh tật cho nhà thầu, Kỹ sư và các cán bộ, công nhân làm việc trong dự án, hạn chế thương vong cho những người khác có thể bị ảnh hưởng do các hoạt động xây dựng gây nên. Nhà thầu cần phải quan tâm tổ chức thực hiện các công tác sau:</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Công tác an toàn lao động chung và xây dựng hệ thống kiểm tra công tác an toàn: CBCN toàn công trường cần được học tập an toàn lao động theo các nội dung như: Phổ biến Nghị định thông tư của Chính phủ qui định về An toàn lao động - Vệ sinh lao động;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Những vấn đề cơ bản về công tác an toàn vệ sinh lao động; phổ biến quy phạm kỹ thuật an toàn trong xây dựng; hướng dẫn xử lý khi xảy ra mất an toàn.</w:t>
      </w:r>
      <w:r w:rsidRPr="00E073DE">
        <w:rPr>
          <w:bCs/>
          <w:sz w:val="28"/>
          <w:szCs w:val="28"/>
        </w:rPr>
        <w:br/>
        <w:t>Thành lập ban an toàn công trường, phân công nhiệm vụ cụ thể từng người từ BCH</w:t>
      </w:r>
      <w:r w:rsidRPr="00E073DE">
        <w:rPr>
          <w:bCs/>
          <w:sz w:val="28"/>
          <w:szCs w:val="28"/>
        </w:rPr>
        <w:br/>
        <w:t>công trường đến các tổ đội sản xuất;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xml:space="preserve">- Đối với người lao động: Nhà thầu chịu trách nhiệm nộp đúng, đủ bảo hiểm cho người lao động; nhân viên, công nhân được học về công tác an toàn lao động một cách định kỳ. Trước khi triển khai thi công công trình việc học được thực hiện với những yêu cầu chi tiết, cụ thể và phù hợp với công trình; trang bị bảo hộ lao động cho người lao động như quần áo, giầy, kính, mũ, găng tay. Yêu cầu bắt buộc tất cả các cán bộ công nhân viên trên công trường phải đội mũ bảo hộ và đi giầy trong quá trình làm việc. Trang bị dây đai an toàn cho từng người và dùng lưới an toàn cho thi công trên cao và bên mặt ngoài công trình. Xây dựng các nội quy, quy chế về công tác an toàn vệ sinh lao động phù hợp với yêu cầu của chủ đầu tư, quy phạm an toàn lao động và được niêm yết công khai. Thường xuyên đôn đốc kiểm tra giám sát chặt chẽ việc thực hiện các nội </w:t>
      </w:r>
      <w:r w:rsidRPr="00E073DE">
        <w:rPr>
          <w:bCs/>
          <w:sz w:val="28"/>
          <w:szCs w:val="28"/>
        </w:rPr>
        <w:lastRenderedPageBreak/>
        <w:t>quy về vệ sinh, an toàn lao động.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Đối với thiết bị: các thiết bị của nhà thầu huy động cho công trình phải đảm bảo công suất, tính năng kỹ thuật phù hợp công việc và phải đảm bảo an toàn vận hành một cách liên tục. Công tác kiểm tra, duy tu, bảo dưỡng thiết bị phải được thực hiện trước khi đưa vào công trình.Các quy trình kiểm tra, bảo dưỡng, vệ sinh trước và sau mỗi ca làm việc phải được thực hiện một cách nghiêm túc. Các nội quy, quy trình vận hành thiết bị đảm bảo sự hoạt động của thiết bị và các biện pháp thi công phải được nêu, niêm yết công khai. Công nhân vận hành thiết bị đều phải được đào tạo cơ bản, có bằng cấp chuyên môn và tay nghề cao, đáp ứng được mọi yêu cầu cầu pháp luật và điều kiện cụ thể của công trường.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Công tác sơ cấp cứu và đảm bảo vệ sinh: Trên công trường cần có bộ phận chuyên trách công tác sơ cấp cứu và đảm bảo vệ sinh tại hiện trường; Các biện pháp và phác đồ sơ cấp cứu trong các trường hợp phải được truyền đạt đến từng người lao động; Các phương tiện và các phác đồ sơ cấp cứu ở công trường cần được trang bị đầy đủ (túi, tủ thuốc, băng ca, nẹp...vv). Công tác vệ sinh, ăn ở sinh hoạt của người lao động tại hiện trường cũng được quy định cụ thể chi tiết phù hợp với điều kiện địa phương và công trường. Đặc biệt nghiêm cấm dùng rượu, chất kích thích trong quá trình thi công tại hiện trường.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6. Yêu cầu về quản lý chất lượng, bảo hành của nhà thầu:</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Tổ chức quản lý chất lượng thi công xây dựng công trình của nhà thầu theo Nghị định 06/2021/NĐ-CP.</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Thực hiện việc giám sát chất lượng thi công xây dựng công trình đối với nhà thầu phụ và các thành viên liên danh (nếu có) theo Nghị định 06/2021/NĐ-CP.</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Nhà thàu tự tổ chức nghiệm thu các công việc thi công xây dựng, cung cấp và lắp đặt thiết bị công trình, lập phiếu yêu cầu nghiệm thu gửi đến chủ đầu tư, tổ chức tư vấn giám sát độc lập yêu cầu nghiệm thu các công việc, các hạng mục, bộ phận bị che khuất,..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Chỉ được nghiệm thu khi đối tượng nghiệm thu đó hoàn thành và có đủ hồ sơ theo quy định.</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Công trình chỉ được nghiệm thu đưa vào sử dụng khi đảm bảo đúng yêu cầu thiết kế, bảo đảm chất lượng và đạt các tiêu chuẩn theo quy định.</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Bàn giao công trình xây dựng: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Bảo đảm các yêu cầu về nguyên tắc, nội dung và trình tự bàn giao công trình đó xây dựng xong đưa vào sử dụng theo quy định của pháp luật về xây dựng.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Bảo đảm an toàn về vận hành, khai thác khi đưa công trình vào sử dụng.</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Bảo hành công trình xây dựng, hướng dẫn đào tạo chuyển giao công nghệ:</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Nhà thầu có trách nhiệm bảo hành công trình xây dựng và thiêt bị công trình đưa vào lắp đặt.</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lastRenderedPageBreak/>
        <w:t>+ Nội dung bảo hành bao gồm: khắc phục, sửa chữa, thay thế thiết bị hư hỏng, khiếm khuyết hoặc khi công trình vận hành, sử dụng Không bình thường do lỗi của nhà thầu gây ra.</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Thời gian bảo hành theo quy định của Nhà nước.</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Yêu cầu đối với nhà thầu phụ:</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Tổng thầu phải ghi danh sách các nhà thầu phụ trong hồ sơ dự thầu. Việc ký kết hợp đồng thầu phụ giữa tổng thầu và nhà thầu phụ phải phù hợp với nội dung của hợp đồng tổng thầu và các quy định của pháp luật về hợp đồng kinh tế. Trong phạm vi thực hiện công việc của hợp đồng tổng thầu, nhà thầu phụ không có quan hệ hợp đồng trực tiếp với chủ đầu tư và chỉ chịu trách nhiệm trước tổng thầu về phần công việc thực hiện theo hợp đồng thầu phụ. Tổng thầu phải chịu trách nhiệm trước chủ đầu tư về mọi công việc thực hiện theo hợp đồng tổng thầu, kể cả về phần việc do thầu phụ thực hiện.</w:t>
      </w:r>
    </w:p>
    <w:p w:rsidR="00226506" w:rsidRPr="00E073DE" w:rsidRDefault="00226506" w:rsidP="00226506">
      <w:pPr>
        <w:widowControl w:val="0"/>
        <w:tabs>
          <w:tab w:val="left" w:pos="1418"/>
        </w:tabs>
        <w:spacing w:before="80" w:after="80"/>
        <w:ind w:firstLine="567"/>
        <w:rPr>
          <w:bCs/>
          <w:sz w:val="28"/>
          <w:szCs w:val="28"/>
        </w:rPr>
      </w:pPr>
      <w:r w:rsidRPr="00E073DE">
        <w:rPr>
          <w:bCs/>
          <w:sz w:val="28"/>
          <w:szCs w:val="28"/>
        </w:rPr>
        <w:t>+ Việc giao thầu phụ đối với các nhà thầu phụ khác không có danh sách trong hồ sơ dự thầu phải được chủ đầu tư chấp thuận bằng văn bản và chủ đầu tư không được từ chối ra văn bản chấp thuận nếu không có lý do xác đáng.</w:t>
      </w:r>
    </w:p>
    <w:p w:rsidR="00226506" w:rsidRPr="00E073DE" w:rsidRDefault="00226506" w:rsidP="00226506">
      <w:pPr>
        <w:widowControl w:val="0"/>
        <w:tabs>
          <w:tab w:val="left" w:pos="1418"/>
        </w:tabs>
        <w:spacing w:before="120" w:after="120" w:line="264" w:lineRule="auto"/>
        <w:ind w:firstLine="709"/>
        <w:rPr>
          <w:b/>
          <w:sz w:val="28"/>
          <w:szCs w:val="28"/>
          <w:lang w:val="vi-VN"/>
        </w:rPr>
      </w:pPr>
      <w:r w:rsidRPr="00E073DE">
        <w:rPr>
          <w:b/>
          <w:sz w:val="28"/>
          <w:szCs w:val="28"/>
          <w:lang w:val="vi-VN"/>
        </w:rPr>
        <w:t>IV. Các bản vẽ</w:t>
      </w:r>
    </w:p>
    <w:p w:rsidR="00226506" w:rsidRPr="00E073DE" w:rsidRDefault="00226506" w:rsidP="00226506">
      <w:pPr>
        <w:widowControl w:val="0"/>
        <w:tabs>
          <w:tab w:val="left" w:pos="1418"/>
        </w:tabs>
        <w:spacing w:before="120" w:after="120" w:line="264" w:lineRule="auto"/>
        <w:ind w:firstLine="709"/>
        <w:rPr>
          <w:sz w:val="28"/>
          <w:szCs w:val="28"/>
          <w:lang w:val="vi-VN"/>
        </w:rPr>
      </w:pPr>
      <w:r w:rsidRPr="00E073DE">
        <w:rPr>
          <w:spacing w:val="-4"/>
          <w:sz w:val="28"/>
          <w:szCs w:val="28"/>
          <w:lang w:val="vi-VN"/>
        </w:rPr>
        <w:t>E-HSMT này gồm có các bản vẽ trong danh mục sau đây:</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2319"/>
        <w:gridCol w:w="2572"/>
        <w:gridCol w:w="3836"/>
      </w:tblGrid>
      <w:tr w:rsidR="00226506" w:rsidRPr="00147860" w:rsidTr="00BA31EE">
        <w:trPr>
          <w:trHeight w:val="70"/>
        </w:trPr>
        <w:tc>
          <w:tcPr>
            <w:tcW w:w="491" w:type="pct"/>
            <w:shd w:val="clear" w:color="auto" w:fill="auto"/>
            <w:vAlign w:val="center"/>
          </w:tcPr>
          <w:p w:rsidR="00226506" w:rsidRPr="00147860" w:rsidRDefault="00226506" w:rsidP="004B7597">
            <w:pPr>
              <w:widowControl w:val="0"/>
              <w:tabs>
                <w:tab w:val="left" w:pos="1418"/>
              </w:tabs>
              <w:spacing w:before="120" w:after="120" w:line="264" w:lineRule="auto"/>
              <w:jc w:val="center"/>
              <w:rPr>
                <w:b/>
                <w:sz w:val="28"/>
                <w:szCs w:val="28"/>
                <w:lang w:val="en-GB"/>
              </w:rPr>
            </w:pPr>
            <w:r w:rsidRPr="00147860">
              <w:rPr>
                <w:b/>
                <w:sz w:val="28"/>
                <w:szCs w:val="28"/>
                <w:lang w:val="en-GB"/>
              </w:rPr>
              <w:t>STT</w:t>
            </w:r>
          </w:p>
        </w:tc>
        <w:tc>
          <w:tcPr>
            <w:tcW w:w="1198" w:type="pct"/>
            <w:shd w:val="clear" w:color="auto" w:fill="auto"/>
            <w:vAlign w:val="center"/>
          </w:tcPr>
          <w:p w:rsidR="00226506" w:rsidRPr="00147860" w:rsidRDefault="00226506" w:rsidP="004B7597">
            <w:pPr>
              <w:widowControl w:val="0"/>
              <w:tabs>
                <w:tab w:val="left" w:pos="1418"/>
              </w:tabs>
              <w:spacing w:before="120" w:after="120" w:line="264" w:lineRule="auto"/>
              <w:jc w:val="center"/>
              <w:rPr>
                <w:b/>
                <w:sz w:val="28"/>
                <w:szCs w:val="28"/>
                <w:lang w:val="en-GB"/>
              </w:rPr>
            </w:pPr>
            <w:r w:rsidRPr="00147860">
              <w:rPr>
                <w:b/>
                <w:sz w:val="28"/>
                <w:szCs w:val="28"/>
                <w:lang w:val="en-GB"/>
              </w:rPr>
              <w:t>Ký hiệu</w:t>
            </w:r>
          </w:p>
        </w:tc>
        <w:tc>
          <w:tcPr>
            <w:tcW w:w="1329" w:type="pct"/>
            <w:shd w:val="clear" w:color="auto" w:fill="auto"/>
            <w:vAlign w:val="center"/>
          </w:tcPr>
          <w:p w:rsidR="00226506" w:rsidRPr="00147860" w:rsidRDefault="00226506" w:rsidP="004B7597">
            <w:pPr>
              <w:widowControl w:val="0"/>
              <w:tabs>
                <w:tab w:val="left" w:pos="1418"/>
              </w:tabs>
              <w:spacing w:before="120" w:after="120" w:line="264" w:lineRule="auto"/>
              <w:jc w:val="center"/>
              <w:rPr>
                <w:b/>
                <w:sz w:val="28"/>
                <w:szCs w:val="28"/>
                <w:lang w:val="en-GB"/>
              </w:rPr>
            </w:pPr>
            <w:r w:rsidRPr="00147860">
              <w:rPr>
                <w:b/>
                <w:sz w:val="28"/>
                <w:szCs w:val="28"/>
                <w:lang w:val="en-GB"/>
              </w:rPr>
              <w:t>Tên bản vẽ</w:t>
            </w:r>
          </w:p>
        </w:tc>
        <w:tc>
          <w:tcPr>
            <w:tcW w:w="1981" w:type="pct"/>
            <w:shd w:val="clear" w:color="auto" w:fill="auto"/>
            <w:vAlign w:val="center"/>
          </w:tcPr>
          <w:p w:rsidR="00226506" w:rsidRPr="00147860" w:rsidRDefault="00226506" w:rsidP="004B7597">
            <w:pPr>
              <w:widowControl w:val="0"/>
              <w:tabs>
                <w:tab w:val="left" w:pos="1418"/>
              </w:tabs>
              <w:spacing w:before="120" w:after="120" w:line="264" w:lineRule="auto"/>
              <w:jc w:val="center"/>
              <w:rPr>
                <w:b/>
                <w:sz w:val="28"/>
                <w:szCs w:val="28"/>
                <w:lang w:val="en-GB"/>
              </w:rPr>
            </w:pPr>
            <w:r w:rsidRPr="00147860">
              <w:rPr>
                <w:b/>
                <w:sz w:val="28"/>
                <w:szCs w:val="28"/>
                <w:lang w:val="en-GB"/>
              </w:rPr>
              <w:t>Phiên bản/ngày phát hành</w:t>
            </w:r>
          </w:p>
        </w:tc>
      </w:tr>
      <w:tr w:rsidR="00226506" w:rsidRPr="00147860" w:rsidTr="00BA31EE">
        <w:trPr>
          <w:trHeight w:val="70"/>
        </w:trPr>
        <w:tc>
          <w:tcPr>
            <w:tcW w:w="491" w:type="pct"/>
            <w:shd w:val="clear" w:color="auto" w:fill="auto"/>
            <w:vAlign w:val="center"/>
          </w:tcPr>
          <w:p w:rsidR="00226506" w:rsidRPr="00147860" w:rsidRDefault="00226506" w:rsidP="004B7597">
            <w:pPr>
              <w:widowControl w:val="0"/>
              <w:tabs>
                <w:tab w:val="left" w:pos="1418"/>
              </w:tabs>
              <w:spacing w:before="120" w:after="120" w:line="264" w:lineRule="auto"/>
              <w:jc w:val="center"/>
              <w:rPr>
                <w:sz w:val="28"/>
                <w:szCs w:val="28"/>
                <w:lang w:val="en-GB"/>
              </w:rPr>
            </w:pPr>
            <w:r w:rsidRPr="00147860">
              <w:rPr>
                <w:sz w:val="28"/>
                <w:szCs w:val="28"/>
                <w:lang w:val="en-GB"/>
              </w:rPr>
              <w:t>1</w:t>
            </w:r>
          </w:p>
        </w:tc>
        <w:tc>
          <w:tcPr>
            <w:tcW w:w="4509" w:type="pct"/>
            <w:gridSpan w:val="3"/>
            <w:shd w:val="clear" w:color="auto" w:fill="auto"/>
            <w:vAlign w:val="center"/>
          </w:tcPr>
          <w:p w:rsidR="00226506" w:rsidRPr="00147860" w:rsidRDefault="00226506" w:rsidP="004B7597">
            <w:pPr>
              <w:widowControl w:val="0"/>
              <w:tabs>
                <w:tab w:val="left" w:pos="1418"/>
              </w:tabs>
              <w:spacing w:before="120" w:after="120" w:line="264" w:lineRule="auto"/>
              <w:rPr>
                <w:sz w:val="28"/>
                <w:szCs w:val="28"/>
                <w:lang w:val="en-GB"/>
              </w:rPr>
            </w:pPr>
            <w:r w:rsidRPr="00147860">
              <w:rPr>
                <w:sz w:val="28"/>
                <w:szCs w:val="28"/>
                <w:lang w:val="en-GB"/>
              </w:rPr>
              <w:t>Toàn bộ hồ sơ thiết kế bản vẽ thi công được phê duyệt tại Quyết định số 18/QĐ-UBND ngày 06/5/2025.</w:t>
            </w:r>
          </w:p>
        </w:tc>
      </w:tr>
    </w:tbl>
    <w:p w:rsidR="00977593" w:rsidRDefault="00977593"/>
    <w:sectPr w:rsidR="00977593" w:rsidSect="0022650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6"/>
    <w:rsid w:val="00226506"/>
    <w:rsid w:val="00977593"/>
    <w:rsid w:val="00BA31EE"/>
    <w:rsid w:val="00E0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49B9"/>
  <w15:chartTrackingRefBased/>
  <w15:docId w15:val="{AC11B807-D1E3-4746-BA67-7ED55080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0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26506"/>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1896</Words>
  <Characters>10813</Characters>
  <Application>Microsoft Office Word</Application>
  <DocSecurity>0</DocSecurity>
  <Lines>90</Lines>
  <Paragraphs>25</Paragraphs>
  <ScaleCrop>false</ScaleCrop>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2025-08-12T07:18:00Z</dcterms:created>
  <dcterms:modified xsi:type="dcterms:W3CDTF">2025-08-12T07:20:00Z</dcterms:modified>
</cp:coreProperties>
</file>