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F26B" w14:textId="2239D22F" w:rsidR="00813438" w:rsidRPr="00C4630E" w:rsidRDefault="00813438" w:rsidP="00813438">
      <w:pPr>
        <w:spacing w:line="312" w:lineRule="auto"/>
        <w:ind w:firstLine="426"/>
        <w:rPr>
          <w:b/>
          <w:bCs/>
          <w:sz w:val="26"/>
          <w:szCs w:val="26"/>
        </w:rPr>
      </w:pPr>
      <w:r w:rsidRPr="00C4630E">
        <w:rPr>
          <w:b/>
          <w:bCs/>
          <w:sz w:val="26"/>
          <w:szCs w:val="26"/>
          <w:lang w:val="vi-VN"/>
        </w:rPr>
        <w:t xml:space="preserve">Tệp tin đính kèm: Muc 3 - Tieu chuan KT - </w:t>
      </w:r>
      <w:r w:rsidR="000C5341">
        <w:rPr>
          <w:b/>
          <w:bCs/>
          <w:sz w:val="26"/>
          <w:szCs w:val="26"/>
        </w:rPr>
        <w:t>GELCARD</w:t>
      </w:r>
      <w:r w:rsidRPr="00C4630E">
        <w:rPr>
          <w:b/>
          <w:bCs/>
          <w:sz w:val="26"/>
          <w:szCs w:val="26"/>
          <w:lang w:val="vi-VN"/>
        </w:rPr>
        <w:t>.docx</w:t>
      </w:r>
    </w:p>
    <w:p w14:paraId="7361C9DC" w14:textId="77777777" w:rsidR="00813438" w:rsidRPr="00C4630E" w:rsidRDefault="00813438" w:rsidP="00813438">
      <w:pPr>
        <w:pStyle w:val="ListParagraph"/>
        <w:numPr>
          <w:ilvl w:val="0"/>
          <w:numId w:val="1"/>
        </w:numPr>
        <w:tabs>
          <w:tab w:val="left" w:pos="426"/>
        </w:tabs>
        <w:spacing w:line="312" w:lineRule="auto"/>
        <w:ind w:left="0" w:firstLine="0"/>
        <w:rPr>
          <w:sz w:val="26"/>
          <w:szCs w:val="26"/>
          <w:lang w:val="es-ES"/>
        </w:rPr>
      </w:pPr>
      <w:r w:rsidRPr="00C4630E">
        <w:rPr>
          <w:sz w:val="26"/>
          <w:szCs w:val="26"/>
          <w:lang w:val="es-ES"/>
        </w:rPr>
        <w:t>Tất cả các tài liệu nhà thầu cung cấp để chứng minh E-HSDT đáp ứng các tiêu chuẩn đánh giá về kỹ thuật phải còn hiệu lực đến thời điểm đóng thầu và là bản scan bản gốc hoặc bản sao có chứng thực. Các tài liệu bằng tiếng nước ngoài phải được hợp pháp hóa lãnh sự; dịch sang tiếng Việt và được chứng thực bản dịch, trừ các trường hợp bất khả kháng. Các tài liệu kỹ thuật/ Catalog của hãng sản xuất phải có đầy đủ nội dung chứng minh thông số kỹ thuật đối với các hàng hóa tham dự thầu theo yêu cầu của E-HSMT. Nhà thầu phải chuẩn bị sẵn sàng các tài liệu gốc để phục vụ việc xác minh khi có yêu cầu của Chủ đầu tư.</w:t>
      </w:r>
    </w:p>
    <w:p w14:paraId="0989F8B5" w14:textId="77777777" w:rsidR="00813438" w:rsidRPr="00C4630E" w:rsidRDefault="00813438" w:rsidP="00813438">
      <w:pPr>
        <w:pStyle w:val="ListParagraph"/>
        <w:numPr>
          <w:ilvl w:val="0"/>
          <w:numId w:val="1"/>
        </w:numPr>
        <w:tabs>
          <w:tab w:val="left" w:pos="426"/>
        </w:tabs>
        <w:spacing w:line="312" w:lineRule="auto"/>
        <w:ind w:left="0" w:firstLine="0"/>
        <w:rPr>
          <w:sz w:val="26"/>
          <w:szCs w:val="26"/>
        </w:rPr>
      </w:pPr>
      <w:r w:rsidRPr="00C4630E">
        <w:rPr>
          <w:sz w:val="26"/>
          <w:szCs w:val="26"/>
          <w:lang w:val="es-ES"/>
        </w:rPr>
        <w:t>Nhà thầu đề xuất cụ thể ký mã hiệu, nhãn hiệu, xuất xứ, hãng sản xuất của từng hàng hóa dự thầu. Thông tin kê khai và thông tin trên các tài liệu sản phẩm phải thống nhất với nhau. Trường hợp nhà thầu không đề xuất cụ thể các thông tin ký mã hiệu, nhãn hiệu, xuất xứ, hãng sản xuất thì hàng hóa dự thầu sẽ không được xem xét đánh giá. Đối với bộ sản phẩm có các ký mã hiệu riêng cho bộ phận chính và phụ kiện, nhà thầu kê khai tương ứng phù hợp với tài liệu lưu hành.</w:t>
      </w:r>
    </w:p>
    <w:p w14:paraId="6B4E2590" w14:textId="080B8A8B" w:rsidR="00813438" w:rsidRPr="00C4630E" w:rsidRDefault="00813438" w:rsidP="00813438">
      <w:pPr>
        <w:pStyle w:val="ListParagraph"/>
        <w:numPr>
          <w:ilvl w:val="0"/>
          <w:numId w:val="1"/>
        </w:numPr>
        <w:tabs>
          <w:tab w:val="left" w:pos="426"/>
        </w:tabs>
        <w:spacing w:line="312" w:lineRule="auto"/>
        <w:ind w:left="0" w:firstLine="0"/>
        <w:rPr>
          <w:sz w:val="26"/>
          <w:szCs w:val="26"/>
          <w:lang w:val="es-ES"/>
        </w:rPr>
      </w:pPr>
      <w:r w:rsidRPr="00C4630E">
        <w:rPr>
          <w:sz w:val="26"/>
          <w:szCs w:val="26"/>
          <w:lang w:val="es-ES"/>
        </w:rPr>
        <w:t>Nhà thầu chịu trách nhiệm về tính chính xác, hợp lệ tài liệu kỹ thuật của hàng hóa dự thầu. Trường hợp Chủ đầu tư</w:t>
      </w:r>
      <w:r w:rsidRPr="00C4630E">
        <w:rPr>
          <w:sz w:val="26"/>
          <w:szCs w:val="26"/>
          <w:lang w:val="pl-PL"/>
        </w:rPr>
        <w:t xml:space="preserve"> </w:t>
      </w:r>
      <w:r w:rsidRPr="00C4630E">
        <w:rPr>
          <w:sz w:val="26"/>
          <w:szCs w:val="26"/>
          <w:lang w:val="es-ES"/>
        </w:rPr>
        <w:t xml:space="preserve">phát hiện tài liệu kỹ thuật được làm giả, hoặc trong trường hợp trúng thầu hàng hóa cung cấp có các thông số không đúng theo tài liệu đã cung cấp, nhà thầu bị coi là có hành vi gian lận và </w:t>
      </w:r>
      <w:r w:rsidR="009A7F1A" w:rsidRPr="00C4630E">
        <w:rPr>
          <w:sz w:val="26"/>
          <w:szCs w:val="26"/>
          <w:lang w:val="es-ES"/>
        </w:rPr>
        <w:t>bị xử lý theo quy định tại điểm a khoản 1 Điều 133 của Nghị định 214/2025/NĐ-CP.</w:t>
      </w:r>
    </w:p>
    <w:p w14:paraId="65126DF3" w14:textId="77777777" w:rsidR="00B33EF7" w:rsidRPr="00C4630E" w:rsidRDefault="00B33EF7">
      <w:pPr>
        <w:rPr>
          <w:sz w:val="26"/>
          <w:szCs w:val="26"/>
        </w:rPr>
      </w:pPr>
    </w:p>
    <w:tbl>
      <w:tblPr>
        <w:tblStyle w:val="TableGrid"/>
        <w:tblW w:w="10627" w:type="dxa"/>
        <w:jc w:val="center"/>
        <w:tblLook w:val="04A0" w:firstRow="1" w:lastRow="0" w:firstColumn="1" w:lastColumn="0" w:noHBand="0" w:noVBand="1"/>
      </w:tblPr>
      <w:tblGrid>
        <w:gridCol w:w="6658"/>
        <w:gridCol w:w="1984"/>
        <w:gridCol w:w="1985"/>
      </w:tblGrid>
      <w:tr w:rsidR="00C4630E" w:rsidRPr="00C4630E" w14:paraId="317CDD86" w14:textId="77777777" w:rsidTr="00813438">
        <w:trPr>
          <w:trHeight w:val="386"/>
          <w:tblHeader/>
          <w:jc w:val="center"/>
        </w:trPr>
        <w:tc>
          <w:tcPr>
            <w:tcW w:w="6658" w:type="dxa"/>
            <w:vMerge w:val="restart"/>
            <w:vAlign w:val="center"/>
          </w:tcPr>
          <w:p w14:paraId="25987064" w14:textId="77777777" w:rsidR="00813438" w:rsidRPr="00C4630E" w:rsidRDefault="00813438" w:rsidP="00F64107">
            <w:pPr>
              <w:tabs>
                <w:tab w:val="left" w:pos="851"/>
              </w:tabs>
              <w:jc w:val="center"/>
              <w:rPr>
                <w:rFonts w:ascii="Times New Roman" w:hAnsi="Times New Roman"/>
                <w:sz w:val="26"/>
                <w:szCs w:val="26"/>
              </w:rPr>
            </w:pPr>
            <w:r w:rsidRPr="00C4630E">
              <w:rPr>
                <w:rFonts w:ascii="Times New Roman" w:hAnsi="Times New Roman"/>
                <w:sz w:val="26"/>
                <w:szCs w:val="26"/>
                <w:lang w:val="es-ES"/>
              </w:rPr>
              <w:br w:type="page"/>
            </w:r>
            <w:r w:rsidRPr="00C4630E">
              <w:rPr>
                <w:rFonts w:ascii="Times New Roman" w:hAnsi="Times New Roman"/>
                <w:b/>
                <w:bCs/>
                <w:sz w:val="26"/>
                <w:szCs w:val="26"/>
              </w:rPr>
              <w:t>YÊU CẦU KỸ THUẬT</w:t>
            </w:r>
          </w:p>
        </w:tc>
        <w:tc>
          <w:tcPr>
            <w:tcW w:w="3969" w:type="dxa"/>
            <w:gridSpan w:val="2"/>
            <w:vAlign w:val="center"/>
          </w:tcPr>
          <w:p w14:paraId="641C6C8A" w14:textId="77777777" w:rsidR="00813438" w:rsidRPr="00C4630E" w:rsidRDefault="00813438" w:rsidP="00F64107">
            <w:pPr>
              <w:tabs>
                <w:tab w:val="left" w:pos="851"/>
              </w:tabs>
              <w:jc w:val="center"/>
              <w:rPr>
                <w:rFonts w:ascii="Times New Roman" w:hAnsi="Times New Roman"/>
                <w:sz w:val="26"/>
                <w:szCs w:val="26"/>
              </w:rPr>
            </w:pPr>
            <w:r w:rsidRPr="00C4630E">
              <w:rPr>
                <w:rFonts w:ascii="Times New Roman" w:hAnsi="Times New Roman"/>
                <w:b/>
                <w:bCs/>
                <w:sz w:val="26"/>
                <w:szCs w:val="26"/>
              </w:rPr>
              <w:t>ĐÁNH GIÁ</w:t>
            </w:r>
          </w:p>
        </w:tc>
      </w:tr>
      <w:tr w:rsidR="00C4630E" w:rsidRPr="00C4630E" w14:paraId="61E85CCF" w14:textId="77777777" w:rsidTr="00813438">
        <w:trPr>
          <w:trHeight w:val="63"/>
          <w:tblHeader/>
          <w:jc w:val="center"/>
        </w:trPr>
        <w:tc>
          <w:tcPr>
            <w:tcW w:w="6658" w:type="dxa"/>
            <w:vMerge/>
            <w:vAlign w:val="center"/>
          </w:tcPr>
          <w:p w14:paraId="1E4B2D08" w14:textId="77777777" w:rsidR="00813438" w:rsidRPr="00C4630E" w:rsidRDefault="00813438" w:rsidP="00F64107">
            <w:pPr>
              <w:tabs>
                <w:tab w:val="left" w:pos="851"/>
              </w:tabs>
              <w:jc w:val="center"/>
              <w:rPr>
                <w:rFonts w:ascii="Times New Roman" w:hAnsi="Times New Roman"/>
                <w:sz w:val="26"/>
                <w:szCs w:val="26"/>
              </w:rPr>
            </w:pPr>
          </w:p>
        </w:tc>
        <w:tc>
          <w:tcPr>
            <w:tcW w:w="1984" w:type="dxa"/>
            <w:vAlign w:val="center"/>
          </w:tcPr>
          <w:p w14:paraId="450B4D18" w14:textId="77777777" w:rsidR="00813438" w:rsidRPr="00C4630E" w:rsidRDefault="00813438" w:rsidP="00F64107">
            <w:pPr>
              <w:jc w:val="center"/>
              <w:rPr>
                <w:rFonts w:ascii="Times New Roman" w:hAnsi="Times New Roman"/>
                <w:b/>
                <w:bCs/>
                <w:sz w:val="26"/>
                <w:szCs w:val="26"/>
              </w:rPr>
            </w:pPr>
            <w:r w:rsidRPr="00C4630E">
              <w:rPr>
                <w:rFonts w:ascii="Times New Roman" w:hAnsi="Times New Roman"/>
                <w:b/>
                <w:bCs/>
                <w:sz w:val="26"/>
                <w:szCs w:val="26"/>
              </w:rPr>
              <w:t>ĐẠT</w:t>
            </w:r>
          </w:p>
        </w:tc>
        <w:tc>
          <w:tcPr>
            <w:tcW w:w="1985" w:type="dxa"/>
            <w:vAlign w:val="center"/>
          </w:tcPr>
          <w:p w14:paraId="5D996C9B" w14:textId="77777777" w:rsidR="00813438" w:rsidRPr="00C4630E" w:rsidRDefault="00813438" w:rsidP="00F64107">
            <w:pPr>
              <w:jc w:val="center"/>
              <w:rPr>
                <w:rFonts w:ascii="Times New Roman" w:hAnsi="Times New Roman"/>
                <w:b/>
                <w:bCs/>
                <w:sz w:val="26"/>
                <w:szCs w:val="26"/>
              </w:rPr>
            </w:pPr>
            <w:r w:rsidRPr="00C4630E">
              <w:rPr>
                <w:rFonts w:ascii="Times New Roman" w:hAnsi="Times New Roman"/>
                <w:b/>
                <w:bCs/>
                <w:sz w:val="26"/>
                <w:szCs w:val="26"/>
              </w:rPr>
              <w:t>KHÔNG ĐẠT</w:t>
            </w:r>
          </w:p>
        </w:tc>
      </w:tr>
      <w:tr w:rsidR="00C4630E" w:rsidRPr="00C4630E" w14:paraId="0F2B3516" w14:textId="77777777" w:rsidTr="00813438">
        <w:trPr>
          <w:trHeight w:val="488"/>
          <w:jc w:val="center"/>
        </w:trPr>
        <w:tc>
          <w:tcPr>
            <w:tcW w:w="6658" w:type="dxa"/>
            <w:vAlign w:val="center"/>
          </w:tcPr>
          <w:p w14:paraId="2A3D5D9F" w14:textId="77777777" w:rsidR="00813438" w:rsidRPr="00C4630E" w:rsidRDefault="00813438" w:rsidP="00F64107">
            <w:pPr>
              <w:tabs>
                <w:tab w:val="left" w:pos="851"/>
              </w:tabs>
              <w:rPr>
                <w:rFonts w:ascii="Times New Roman" w:hAnsi="Times New Roman"/>
                <w:sz w:val="26"/>
                <w:szCs w:val="26"/>
              </w:rPr>
            </w:pPr>
            <w:r w:rsidRPr="00C4630E">
              <w:rPr>
                <w:rFonts w:ascii="Times New Roman" w:hAnsi="Times New Roman"/>
                <w:b/>
                <w:bCs/>
                <w:sz w:val="26"/>
                <w:szCs w:val="26"/>
              </w:rPr>
              <w:t>I. YÊU CẦU CHUNG</w:t>
            </w:r>
          </w:p>
        </w:tc>
        <w:tc>
          <w:tcPr>
            <w:tcW w:w="1984" w:type="dxa"/>
            <w:vAlign w:val="center"/>
          </w:tcPr>
          <w:p w14:paraId="0F3D703C" w14:textId="77777777" w:rsidR="00813438" w:rsidRPr="00C4630E" w:rsidRDefault="00813438" w:rsidP="00F64107">
            <w:pPr>
              <w:tabs>
                <w:tab w:val="left" w:pos="851"/>
              </w:tabs>
              <w:jc w:val="center"/>
              <w:rPr>
                <w:rFonts w:ascii="Times New Roman" w:hAnsi="Times New Roman"/>
                <w:sz w:val="26"/>
                <w:szCs w:val="26"/>
              </w:rPr>
            </w:pPr>
          </w:p>
        </w:tc>
        <w:tc>
          <w:tcPr>
            <w:tcW w:w="1985" w:type="dxa"/>
            <w:vAlign w:val="center"/>
          </w:tcPr>
          <w:p w14:paraId="43076E9C" w14:textId="77777777" w:rsidR="00813438" w:rsidRPr="00C4630E" w:rsidRDefault="00813438" w:rsidP="00F64107">
            <w:pPr>
              <w:tabs>
                <w:tab w:val="left" w:pos="851"/>
              </w:tabs>
              <w:jc w:val="center"/>
              <w:rPr>
                <w:rFonts w:ascii="Times New Roman" w:hAnsi="Times New Roman"/>
                <w:sz w:val="26"/>
                <w:szCs w:val="26"/>
              </w:rPr>
            </w:pPr>
          </w:p>
        </w:tc>
      </w:tr>
      <w:tr w:rsidR="00C4630E" w:rsidRPr="00C4630E" w14:paraId="2A75FE76" w14:textId="77777777" w:rsidTr="00813438">
        <w:trPr>
          <w:trHeight w:val="2834"/>
          <w:jc w:val="center"/>
        </w:trPr>
        <w:tc>
          <w:tcPr>
            <w:tcW w:w="6658" w:type="dxa"/>
            <w:vAlign w:val="center"/>
          </w:tcPr>
          <w:p w14:paraId="07A03B60" w14:textId="77777777" w:rsidR="00813438" w:rsidRPr="00C4630E" w:rsidRDefault="00813438" w:rsidP="00F64107">
            <w:pPr>
              <w:rPr>
                <w:rFonts w:ascii="Times New Roman" w:hAnsi="Times New Roman"/>
                <w:sz w:val="26"/>
                <w:szCs w:val="26"/>
              </w:rPr>
            </w:pPr>
            <w:r w:rsidRPr="00C4630E">
              <w:rPr>
                <w:rFonts w:ascii="Times New Roman" w:hAnsi="Times New Roman"/>
                <w:b/>
                <w:sz w:val="26"/>
                <w:szCs w:val="26"/>
              </w:rPr>
              <w:t>1. Nhà thầu:</w:t>
            </w:r>
            <w:r w:rsidRPr="00C4630E">
              <w:rPr>
                <w:rFonts w:ascii="Times New Roman" w:hAnsi="Times New Roman"/>
                <w:sz w:val="26"/>
                <w:szCs w:val="26"/>
              </w:rPr>
              <w:t xml:space="preserve"> phải đủ điều kiện mua bán thiết bị y tế (trong trường hợp hàng hóa dự thầu của nhà thầu là thiết bị y tế loại B, C, D – trừ các thiết bị y tế thuộc danh mục do Bộ trưởng Bộ Y tế ban hành được mua, bán như các hàng hóa thông thường).</w:t>
            </w:r>
          </w:p>
          <w:p w14:paraId="29129610" w14:textId="77777777" w:rsidR="00813438" w:rsidRPr="00C4630E" w:rsidRDefault="00813438" w:rsidP="00F64107">
            <w:pPr>
              <w:tabs>
                <w:tab w:val="left" w:pos="851"/>
              </w:tabs>
              <w:rPr>
                <w:rFonts w:ascii="Times New Roman" w:hAnsi="Times New Roman"/>
                <w:sz w:val="26"/>
                <w:szCs w:val="26"/>
              </w:rPr>
            </w:pPr>
            <w:r w:rsidRPr="00C4630E">
              <w:rPr>
                <w:rFonts w:ascii="Times New Roman" w:hAnsi="Times New Roman"/>
                <w:sz w:val="26"/>
                <w:szCs w:val="26"/>
              </w:rPr>
              <w:t xml:space="preserve">Tài liệu chứng minh: </w:t>
            </w:r>
          </w:p>
          <w:p w14:paraId="4913A287" w14:textId="77777777" w:rsidR="00813438" w:rsidRPr="00C4630E" w:rsidRDefault="00813438" w:rsidP="00F64107">
            <w:pPr>
              <w:tabs>
                <w:tab w:val="left" w:pos="851"/>
              </w:tabs>
              <w:rPr>
                <w:rFonts w:ascii="Times New Roman" w:hAnsi="Times New Roman"/>
                <w:sz w:val="26"/>
                <w:szCs w:val="26"/>
              </w:rPr>
            </w:pPr>
            <w:r w:rsidRPr="00C4630E">
              <w:rPr>
                <w:rFonts w:ascii="Times New Roman" w:hAnsi="Times New Roman"/>
                <w:sz w:val="26"/>
                <w:szCs w:val="26"/>
              </w:rPr>
              <w:t>Nhà thầu có: Phiếu tiếp nhận hồ sơ công bố đủ điều kiện mua bán thiết bị y tế hoặc văn bản công bố đủ điều kiện mua bán thiết bị y tế (kèm danh sách trang thiết bị đủ điều kiện theo danh mục đã đăng ký thầu)</w:t>
            </w:r>
          </w:p>
        </w:tc>
        <w:tc>
          <w:tcPr>
            <w:tcW w:w="1984" w:type="dxa"/>
            <w:vAlign w:val="center"/>
          </w:tcPr>
          <w:p w14:paraId="114EF029"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1C600394"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C4630E" w:rsidRPr="00C4630E" w14:paraId="293391EF" w14:textId="77777777" w:rsidTr="00813438">
        <w:trPr>
          <w:trHeight w:val="3438"/>
          <w:jc w:val="center"/>
        </w:trPr>
        <w:tc>
          <w:tcPr>
            <w:tcW w:w="6658" w:type="dxa"/>
            <w:vAlign w:val="center"/>
          </w:tcPr>
          <w:p w14:paraId="0BAFC977" w14:textId="77777777" w:rsidR="00813438" w:rsidRPr="00C4630E" w:rsidRDefault="00813438" w:rsidP="00F64107">
            <w:pPr>
              <w:pBdr>
                <w:top w:val="nil"/>
                <w:left w:val="nil"/>
                <w:bottom w:val="nil"/>
                <w:right w:val="nil"/>
                <w:between w:val="nil"/>
              </w:pBdr>
              <w:rPr>
                <w:rFonts w:ascii="Times New Roman" w:hAnsi="Times New Roman"/>
                <w:b/>
                <w:sz w:val="26"/>
                <w:szCs w:val="26"/>
              </w:rPr>
            </w:pPr>
            <w:r w:rsidRPr="00C4630E">
              <w:rPr>
                <w:rFonts w:ascii="Times New Roman" w:hAnsi="Times New Roman"/>
                <w:b/>
                <w:sz w:val="26"/>
                <w:szCs w:val="26"/>
                <w:lang w:val="es-ES"/>
              </w:rPr>
              <w:lastRenderedPageBreak/>
              <w:t xml:space="preserve">2. </w:t>
            </w:r>
            <w:r w:rsidRPr="00C4630E">
              <w:rPr>
                <w:rFonts w:ascii="Times New Roman" w:hAnsi="Times New Roman"/>
                <w:b/>
                <w:sz w:val="26"/>
                <w:szCs w:val="26"/>
              </w:rPr>
              <w:t xml:space="preserve">Điều kiện lưu hành của </w:t>
            </w:r>
            <w:r w:rsidRPr="00C4630E">
              <w:rPr>
                <w:rFonts w:ascii="Times New Roman" w:hAnsi="Times New Roman"/>
                <w:b/>
                <w:sz w:val="26"/>
                <w:szCs w:val="26"/>
                <w:lang w:val="es-ES"/>
              </w:rPr>
              <w:t xml:space="preserve">Hàng hóa dự thầu </w:t>
            </w:r>
            <w:r w:rsidRPr="00C4630E">
              <w:rPr>
                <w:rFonts w:ascii="Times New Roman" w:hAnsi="Times New Roman"/>
                <w:b/>
                <w:sz w:val="26"/>
                <w:szCs w:val="26"/>
              </w:rPr>
              <w:t>trên thị trường</w:t>
            </w:r>
          </w:p>
          <w:p w14:paraId="71D0907A" w14:textId="77777777" w:rsidR="00813438" w:rsidRPr="00C4630E" w:rsidRDefault="00813438" w:rsidP="00F64107">
            <w:pPr>
              <w:pBdr>
                <w:top w:val="nil"/>
                <w:left w:val="nil"/>
                <w:bottom w:val="nil"/>
                <w:right w:val="nil"/>
                <w:between w:val="nil"/>
              </w:pBdr>
              <w:rPr>
                <w:rFonts w:ascii="Times New Roman" w:hAnsi="Times New Roman"/>
                <w:sz w:val="26"/>
                <w:szCs w:val="26"/>
              </w:rPr>
            </w:pPr>
            <w:r w:rsidRPr="00C4630E">
              <w:rPr>
                <w:rFonts w:ascii="Times New Roman" w:hAnsi="Times New Roman"/>
                <w:sz w:val="26"/>
                <w:szCs w:val="26"/>
              </w:rPr>
              <w:t>2. 1 Hàng hóa dự thầu là thiết bị y tế</w:t>
            </w:r>
          </w:p>
          <w:p w14:paraId="694385A3" w14:textId="77777777" w:rsidR="00813438" w:rsidRPr="00C4630E" w:rsidRDefault="00813438" w:rsidP="00F64107">
            <w:pPr>
              <w:rPr>
                <w:rFonts w:ascii="Times New Roman" w:hAnsi="Times New Roman"/>
                <w:sz w:val="26"/>
                <w:szCs w:val="26"/>
              </w:rPr>
            </w:pPr>
            <w:r w:rsidRPr="00C4630E">
              <w:rPr>
                <w:rFonts w:ascii="Times New Roman" w:hAnsi="Times New Roman"/>
                <w:sz w:val="26"/>
                <w:szCs w:val="26"/>
              </w:rPr>
              <w:t>- Có bản phân loại thiết bị y tế (A, B, C, D).</w:t>
            </w:r>
          </w:p>
          <w:p w14:paraId="5E6ABF04" w14:textId="77777777" w:rsidR="00813438" w:rsidRPr="00C4630E" w:rsidRDefault="00813438" w:rsidP="00F64107">
            <w:pPr>
              <w:rPr>
                <w:rFonts w:ascii="Times New Roman" w:hAnsi="Times New Roman"/>
                <w:sz w:val="26"/>
                <w:szCs w:val="26"/>
              </w:rPr>
            </w:pPr>
            <w:r w:rsidRPr="00C4630E">
              <w:rPr>
                <w:rFonts w:ascii="Times New Roman" w:hAnsi="Times New Roman"/>
                <w:sz w:val="26"/>
                <w:szCs w:val="26"/>
              </w:rPr>
              <w:t>- Đối với thiết bị y tế thuộc loại A, B: Cung cấp phiếu tiếp nhận hồ sơ công bố tiêu chuẩn áp dụng.</w:t>
            </w:r>
          </w:p>
          <w:p w14:paraId="402EDF82" w14:textId="77777777" w:rsidR="00813438" w:rsidRPr="00C4630E" w:rsidRDefault="00813438" w:rsidP="00F64107">
            <w:pPr>
              <w:rPr>
                <w:rFonts w:ascii="Times New Roman" w:hAnsi="Times New Roman"/>
                <w:sz w:val="26"/>
                <w:szCs w:val="26"/>
              </w:rPr>
            </w:pPr>
            <w:r w:rsidRPr="00C4630E">
              <w:rPr>
                <w:rFonts w:ascii="Times New Roman" w:hAnsi="Times New Roman"/>
                <w:sz w:val="26"/>
                <w:szCs w:val="26"/>
              </w:rPr>
              <w:t>- Đối với thiết bị y tế thuộc loại C, D: Cung cấp giấy chứng nhận đăng ký lưu hành/ Giấy phép nhập khẩu,…</w:t>
            </w:r>
          </w:p>
          <w:p w14:paraId="61415D02" w14:textId="77777777" w:rsidR="00813438" w:rsidRPr="00C4630E" w:rsidRDefault="00813438" w:rsidP="00F64107">
            <w:pPr>
              <w:rPr>
                <w:rFonts w:ascii="Times New Roman" w:hAnsi="Times New Roman"/>
                <w:sz w:val="26"/>
                <w:szCs w:val="26"/>
              </w:rPr>
            </w:pPr>
            <w:r w:rsidRPr="00C4630E">
              <w:rPr>
                <w:rFonts w:ascii="Times New Roman" w:hAnsi="Times New Roman"/>
                <w:sz w:val="26"/>
                <w:szCs w:val="26"/>
              </w:rPr>
              <w:t>2.2 Hàng hóa dự thầu không phải là thiết bị y tế</w:t>
            </w:r>
          </w:p>
          <w:p w14:paraId="239A0D50" w14:textId="77777777" w:rsidR="00813438" w:rsidRPr="00C4630E" w:rsidRDefault="00813438" w:rsidP="00F64107">
            <w:pPr>
              <w:rPr>
                <w:rFonts w:ascii="Times New Roman" w:hAnsi="Times New Roman"/>
                <w:sz w:val="26"/>
                <w:szCs w:val="26"/>
              </w:rPr>
            </w:pPr>
            <w:r w:rsidRPr="00C4630E">
              <w:rPr>
                <w:rFonts w:ascii="Times New Roman" w:hAnsi="Times New Roman"/>
                <w:sz w:val="26"/>
                <w:szCs w:val="26"/>
              </w:rPr>
              <w:t>- Có tài liệu lưu hành hàng hoá tại Việt Nam: Tiêu chuẩn cơ sở hoặc Phiếu công bố sản phẩm hoặc Tờ khai nhập khẩu chứng minh hàng hóa được nhập khẩu hợp pháp vào thị trường Việt Nam hoặc tài liệu tương đương.</w:t>
            </w:r>
          </w:p>
        </w:tc>
        <w:tc>
          <w:tcPr>
            <w:tcW w:w="1984" w:type="dxa"/>
            <w:vAlign w:val="center"/>
          </w:tcPr>
          <w:p w14:paraId="67FD8C01"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04F0E952"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C4630E" w:rsidRPr="00C4630E" w14:paraId="2F4DBDC6" w14:textId="77777777" w:rsidTr="00813438">
        <w:trPr>
          <w:trHeight w:val="68"/>
          <w:jc w:val="center"/>
        </w:trPr>
        <w:tc>
          <w:tcPr>
            <w:tcW w:w="6658" w:type="dxa"/>
            <w:vAlign w:val="center"/>
          </w:tcPr>
          <w:p w14:paraId="3A723892" w14:textId="77777777" w:rsidR="00813438" w:rsidRPr="00C4630E" w:rsidRDefault="00813438" w:rsidP="00F64107">
            <w:pPr>
              <w:tabs>
                <w:tab w:val="left" w:pos="851"/>
              </w:tabs>
              <w:rPr>
                <w:rFonts w:ascii="Times New Roman" w:hAnsi="Times New Roman"/>
                <w:b/>
                <w:sz w:val="26"/>
                <w:szCs w:val="26"/>
              </w:rPr>
            </w:pPr>
            <w:r w:rsidRPr="00C4630E">
              <w:rPr>
                <w:rFonts w:ascii="Times New Roman" w:hAnsi="Times New Roman"/>
                <w:b/>
                <w:bCs/>
                <w:sz w:val="26"/>
                <w:szCs w:val="26"/>
              </w:rPr>
              <w:t>II. YÊU CẦU CỤ THỂ</w:t>
            </w:r>
          </w:p>
        </w:tc>
        <w:tc>
          <w:tcPr>
            <w:tcW w:w="1984" w:type="dxa"/>
            <w:vAlign w:val="center"/>
          </w:tcPr>
          <w:p w14:paraId="4AF0FC19" w14:textId="77777777" w:rsidR="00813438" w:rsidRPr="00C4630E" w:rsidRDefault="00813438" w:rsidP="00F64107">
            <w:pPr>
              <w:jc w:val="center"/>
              <w:rPr>
                <w:rFonts w:ascii="Times New Roman" w:hAnsi="Times New Roman"/>
                <w:sz w:val="26"/>
                <w:szCs w:val="26"/>
              </w:rPr>
            </w:pPr>
          </w:p>
        </w:tc>
        <w:tc>
          <w:tcPr>
            <w:tcW w:w="1985" w:type="dxa"/>
            <w:vAlign w:val="center"/>
          </w:tcPr>
          <w:p w14:paraId="1A043ABA" w14:textId="77777777" w:rsidR="00813438" w:rsidRPr="00C4630E" w:rsidRDefault="00813438" w:rsidP="00F64107">
            <w:pPr>
              <w:jc w:val="center"/>
              <w:rPr>
                <w:rFonts w:ascii="Times New Roman" w:hAnsi="Times New Roman"/>
                <w:sz w:val="26"/>
                <w:szCs w:val="26"/>
              </w:rPr>
            </w:pPr>
          </w:p>
        </w:tc>
      </w:tr>
      <w:tr w:rsidR="00C4630E" w:rsidRPr="00C4630E" w14:paraId="3B6CD03D" w14:textId="77777777" w:rsidTr="00813438">
        <w:trPr>
          <w:trHeight w:val="1553"/>
          <w:jc w:val="center"/>
        </w:trPr>
        <w:tc>
          <w:tcPr>
            <w:tcW w:w="6658" w:type="dxa"/>
            <w:vAlign w:val="center"/>
          </w:tcPr>
          <w:p w14:paraId="5476245A" w14:textId="77777777" w:rsidR="00813438" w:rsidRPr="00C4630E" w:rsidRDefault="00813438" w:rsidP="00F64107">
            <w:pPr>
              <w:rPr>
                <w:rFonts w:ascii="Times New Roman" w:eastAsia="SimSun" w:hAnsi="Times New Roman"/>
                <w:sz w:val="26"/>
                <w:szCs w:val="26"/>
              </w:rPr>
            </w:pPr>
            <w:r w:rsidRPr="00C4630E">
              <w:rPr>
                <w:rFonts w:ascii="Times New Roman" w:eastAsia="SimSun" w:hAnsi="Times New Roman"/>
                <w:sz w:val="26"/>
                <w:szCs w:val="26"/>
              </w:rPr>
              <w:t>1. Có bảng mô tả, liệt kê, so sánh đặc tính thông số kỹ thuật của hàng hóa.</w:t>
            </w:r>
          </w:p>
          <w:p w14:paraId="535D7F37" w14:textId="77777777" w:rsidR="00813438" w:rsidRPr="00C4630E" w:rsidRDefault="00813438" w:rsidP="00F64107">
            <w:pPr>
              <w:rPr>
                <w:rFonts w:ascii="Times New Roman" w:eastAsia="SimSun" w:hAnsi="Times New Roman"/>
                <w:sz w:val="26"/>
                <w:szCs w:val="26"/>
              </w:rPr>
            </w:pPr>
            <w:r w:rsidRPr="00C4630E">
              <w:rPr>
                <w:rFonts w:ascii="Times New Roman" w:eastAsia="SimSun" w:hAnsi="Times New Roman"/>
                <w:sz w:val="26"/>
                <w:szCs w:val="26"/>
              </w:rPr>
              <w:t>Có bảng mô tả hàng hoá dự thầu bao gồm liệt kê: Tên thương mại, đặc tính kỹ thuật, quy cách đóng gói, xuất xứ (nước sx, hãng sx…) – so sánh tương ứng với tên hàng hoá, đặc tính kỹ thuật của Chủ đầu tư.</w:t>
            </w:r>
          </w:p>
        </w:tc>
        <w:tc>
          <w:tcPr>
            <w:tcW w:w="1984" w:type="dxa"/>
            <w:vAlign w:val="center"/>
          </w:tcPr>
          <w:p w14:paraId="44E637BF"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4EF58143"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C4630E" w:rsidRPr="00C4630E" w14:paraId="12771CCA" w14:textId="77777777" w:rsidTr="00813438">
        <w:trPr>
          <w:trHeight w:val="3188"/>
          <w:jc w:val="center"/>
        </w:trPr>
        <w:tc>
          <w:tcPr>
            <w:tcW w:w="6658" w:type="dxa"/>
            <w:vAlign w:val="center"/>
          </w:tcPr>
          <w:p w14:paraId="587D9963" w14:textId="77777777" w:rsidR="00813438" w:rsidRPr="00C4630E" w:rsidRDefault="00813438" w:rsidP="00F64107">
            <w:pPr>
              <w:rPr>
                <w:rFonts w:ascii="Times New Roman" w:eastAsia="SimSun" w:hAnsi="Times New Roman"/>
                <w:sz w:val="26"/>
                <w:szCs w:val="26"/>
              </w:rPr>
            </w:pPr>
            <w:r w:rsidRPr="00C4630E">
              <w:rPr>
                <w:rFonts w:ascii="Times New Roman" w:eastAsia="SimSun" w:hAnsi="Times New Roman"/>
                <w:sz w:val="26"/>
                <w:szCs w:val="26"/>
              </w:rPr>
              <w:t xml:space="preserve">2. Hàng hóa dự thầu có đặc tính, thông số kỹ thuật, tiêu chuẩn chất lượng đáp ứng yêu cầu theo từng danh mục tại Mục 1.2 – Chương V. </w:t>
            </w:r>
          </w:p>
          <w:p w14:paraId="65725403" w14:textId="77777777" w:rsidR="00813438" w:rsidRPr="00C4630E" w:rsidRDefault="00813438" w:rsidP="00F64107">
            <w:pPr>
              <w:rPr>
                <w:rFonts w:ascii="Times New Roman" w:eastAsia="SimSun" w:hAnsi="Times New Roman"/>
                <w:sz w:val="26"/>
                <w:szCs w:val="26"/>
              </w:rPr>
            </w:pPr>
            <w:r w:rsidRPr="00C4630E">
              <w:rPr>
                <w:rFonts w:ascii="Times New Roman" w:eastAsia="SimSun" w:hAnsi="Times New Roman"/>
                <w:sz w:val="26"/>
                <w:szCs w:val="26"/>
              </w:rPr>
              <w:t>Yêu cầu về kỹ thuật: nhà thầu cung cấp các tài liệu hợp pháp để chứng minh bao gồm catalogue, đặc tính kỹ thuật của máy xét nghiệm tương ứng sử dụng hàng hoá dự thầu hoặc đường dẫn trên trang thông tin điện tử chính hãng (các tài liệu quan trọng, dịch sang tiếng việt cần có công chứng). Các tài liệu là nguyên bản full text, có trích dẫn không cắt dán gây nhầm lẫn</w:t>
            </w:r>
          </w:p>
        </w:tc>
        <w:tc>
          <w:tcPr>
            <w:tcW w:w="1984" w:type="dxa"/>
            <w:vAlign w:val="center"/>
          </w:tcPr>
          <w:p w14:paraId="6E0DEA41"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26E0A06C"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C4630E" w:rsidRPr="00C4630E" w14:paraId="42847CD4" w14:textId="77777777" w:rsidTr="00813438">
        <w:trPr>
          <w:trHeight w:val="1356"/>
          <w:jc w:val="center"/>
        </w:trPr>
        <w:tc>
          <w:tcPr>
            <w:tcW w:w="6658" w:type="dxa"/>
            <w:vAlign w:val="center"/>
          </w:tcPr>
          <w:p w14:paraId="7E9824C8" w14:textId="77777777" w:rsidR="00813438" w:rsidRPr="00C4630E" w:rsidRDefault="00813438" w:rsidP="00F64107">
            <w:pPr>
              <w:rPr>
                <w:rFonts w:ascii="Times New Roman" w:eastAsia="SimSun" w:hAnsi="Times New Roman"/>
                <w:sz w:val="26"/>
                <w:szCs w:val="26"/>
              </w:rPr>
            </w:pPr>
            <w:r w:rsidRPr="00C4630E">
              <w:rPr>
                <w:rFonts w:ascii="Times New Roman" w:eastAsia="SimSun" w:hAnsi="Times New Roman"/>
                <w:sz w:val="26"/>
                <w:szCs w:val="26"/>
              </w:rPr>
              <w:t>3. Có xuất xứ rõ ràng (Tên hàng hóa/ Nhãn hiệu; Mã Sản phẩm; Hãng/ Nước chủ sỡ hữu; Hãng/ Nước sản xuất, …</w:t>
            </w:r>
          </w:p>
          <w:p w14:paraId="2DC7FDB9" w14:textId="77777777" w:rsidR="00813438" w:rsidRPr="00C4630E" w:rsidRDefault="00813438" w:rsidP="00F64107">
            <w:pPr>
              <w:rPr>
                <w:rFonts w:ascii="Times New Roman" w:eastAsia="SimSun" w:hAnsi="Times New Roman"/>
                <w:sz w:val="26"/>
                <w:szCs w:val="26"/>
              </w:rPr>
            </w:pPr>
            <w:r w:rsidRPr="00C4630E">
              <w:rPr>
                <w:rFonts w:ascii="Times New Roman" w:eastAsia="SimSun" w:hAnsi="Times New Roman"/>
                <w:sz w:val="26"/>
                <w:szCs w:val="26"/>
              </w:rPr>
              <w:t>Xem ở bảng mô tả hàng hoá dự thầu</w:t>
            </w:r>
          </w:p>
        </w:tc>
        <w:tc>
          <w:tcPr>
            <w:tcW w:w="1984" w:type="dxa"/>
            <w:vAlign w:val="center"/>
          </w:tcPr>
          <w:p w14:paraId="6C5D7FCA"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59FC6390"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C4630E" w:rsidRPr="00C4630E" w14:paraId="420A4D03" w14:textId="77777777" w:rsidTr="00813438">
        <w:trPr>
          <w:trHeight w:val="1298"/>
          <w:jc w:val="center"/>
        </w:trPr>
        <w:tc>
          <w:tcPr>
            <w:tcW w:w="6658" w:type="dxa"/>
            <w:vAlign w:val="center"/>
          </w:tcPr>
          <w:p w14:paraId="6FB5B1F8" w14:textId="77777777" w:rsidR="00813438" w:rsidRPr="00C4630E" w:rsidRDefault="00813438" w:rsidP="00F64107">
            <w:pPr>
              <w:rPr>
                <w:rFonts w:ascii="Times New Roman" w:hAnsi="Times New Roman"/>
                <w:b/>
                <w:bCs/>
                <w:sz w:val="26"/>
                <w:szCs w:val="26"/>
              </w:rPr>
            </w:pPr>
            <w:r w:rsidRPr="00C4630E">
              <w:rPr>
                <w:rFonts w:ascii="Times New Roman" w:eastAsia="SimSun" w:hAnsi="Times New Roman"/>
                <w:sz w:val="26"/>
                <w:szCs w:val="26"/>
              </w:rPr>
              <w:t>4. Đáp ứng đầy đủ Số lượng của từng chủng loại hàng hóa theo Biểu phạm vi cung cấp hàng hóa thuộc chương IV của E-HSMT.</w:t>
            </w:r>
          </w:p>
        </w:tc>
        <w:tc>
          <w:tcPr>
            <w:tcW w:w="1984" w:type="dxa"/>
            <w:vAlign w:val="center"/>
          </w:tcPr>
          <w:p w14:paraId="287978F2"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5721AD83"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C4630E" w:rsidRPr="00C4630E" w14:paraId="374834F9" w14:textId="77777777" w:rsidTr="00813438">
        <w:trPr>
          <w:trHeight w:val="698"/>
          <w:jc w:val="center"/>
        </w:trPr>
        <w:tc>
          <w:tcPr>
            <w:tcW w:w="6658" w:type="dxa"/>
            <w:vAlign w:val="center"/>
          </w:tcPr>
          <w:p w14:paraId="20393E70" w14:textId="77777777" w:rsidR="00813438" w:rsidRPr="00C4630E" w:rsidRDefault="00813438" w:rsidP="00F64107">
            <w:pPr>
              <w:rPr>
                <w:rFonts w:ascii="Times New Roman" w:hAnsi="Times New Roman"/>
                <w:b/>
                <w:sz w:val="26"/>
                <w:szCs w:val="26"/>
              </w:rPr>
            </w:pPr>
            <w:r w:rsidRPr="00C4630E">
              <w:rPr>
                <w:rFonts w:ascii="Times New Roman" w:hAnsi="Times New Roman"/>
                <w:b/>
                <w:bCs/>
                <w:sz w:val="26"/>
                <w:szCs w:val="26"/>
              </w:rPr>
              <w:t xml:space="preserve">III. TIÊU CHUẨN CHẤT LƯỢNG CỦA HÀNG HOÁ DỰ THẦU </w:t>
            </w:r>
            <w:r w:rsidRPr="00C4630E">
              <w:rPr>
                <w:rFonts w:ascii="Times New Roman" w:hAnsi="Times New Roman"/>
                <w:i/>
                <w:iCs/>
                <w:sz w:val="26"/>
                <w:szCs w:val="26"/>
              </w:rPr>
              <w:t>(đối với hàng hóa dự thầu là thiết bị y tế)</w:t>
            </w:r>
          </w:p>
        </w:tc>
        <w:tc>
          <w:tcPr>
            <w:tcW w:w="1984" w:type="dxa"/>
            <w:vAlign w:val="center"/>
          </w:tcPr>
          <w:p w14:paraId="4F1D1A11" w14:textId="77777777" w:rsidR="00813438" w:rsidRPr="00C4630E" w:rsidRDefault="00813438" w:rsidP="00F64107">
            <w:pPr>
              <w:jc w:val="center"/>
              <w:rPr>
                <w:rFonts w:ascii="Times New Roman" w:hAnsi="Times New Roman"/>
                <w:sz w:val="26"/>
                <w:szCs w:val="26"/>
              </w:rPr>
            </w:pPr>
          </w:p>
        </w:tc>
        <w:tc>
          <w:tcPr>
            <w:tcW w:w="1985" w:type="dxa"/>
            <w:vAlign w:val="center"/>
          </w:tcPr>
          <w:p w14:paraId="2A7DCDAD" w14:textId="77777777" w:rsidR="00813438" w:rsidRPr="00C4630E" w:rsidRDefault="00813438" w:rsidP="00F64107">
            <w:pPr>
              <w:jc w:val="center"/>
              <w:rPr>
                <w:rFonts w:ascii="Times New Roman" w:hAnsi="Times New Roman"/>
                <w:sz w:val="26"/>
                <w:szCs w:val="26"/>
              </w:rPr>
            </w:pPr>
          </w:p>
        </w:tc>
      </w:tr>
      <w:tr w:rsidR="00C4630E" w:rsidRPr="00C4630E" w14:paraId="6E17CFB1" w14:textId="77777777" w:rsidTr="00813438">
        <w:trPr>
          <w:trHeight w:val="20"/>
          <w:jc w:val="center"/>
        </w:trPr>
        <w:tc>
          <w:tcPr>
            <w:tcW w:w="6658" w:type="dxa"/>
            <w:vAlign w:val="center"/>
          </w:tcPr>
          <w:p w14:paraId="6825071A" w14:textId="77777777" w:rsidR="00813438" w:rsidRPr="00C4630E" w:rsidRDefault="00813438" w:rsidP="00F64107">
            <w:pPr>
              <w:rPr>
                <w:rFonts w:ascii="Times New Roman" w:eastAsia="SimSun" w:hAnsi="Times New Roman"/>
                <w:sz w:val="26"/>
                <w:szCs w:val="26"/>
              </w:rPr>
            </w:pPr>
            <w:r w:rsidRPr="00C4630E">
              <w:rPr>
                <w:rFonts w:ascii="Times New Roman" w:hAnsi="Times New Roman"/>
                <w:sz w:val="26"/>
                <w:szCs w:val="26"/>
              </w:rPr>
              <w:t>- Đ</w:t>
            </w:r>
            <w:r w:rsidRPr="00C4630E">
              <w:rPr>
                <w:rFonts w:ascii="Times New Roman" w:hAnsi="Times New Roman"/>
                <w:sz w:val="26"/>
                <w:szCs w:val="26"/>
                <w:lang w:val="vi-VN"/>
              </w:rPr>
              <w:t>ạt tiêu chuẩn quản lý ISO</w:t>
            </w:r>
            <w:r w:rsidRPr="00C4630E">
              <w:rPr>
                <w:rFonts w:ascii="Times New Roman" w:hAnsi="Times New Roman"/>
                <w:sz w:val="26"/>
                <w:szCs w:val="26"/>
              </w:rPr>
              <w:t>:</w:t>
            </w:r>
            <w:r w:rsidRPr="00C4630E">
              <w:rPr>
                <w:rFonts w:ascii="Times New Roman" w:hAnsi="Times New Roman"/>
                <w:sz w:val="26"/>
                <w:szCs w:val="26"/>
                <w:lang w:val="vi-VN"/>
              </w:rPr>
              <w:t>13485</w:t>
            </w:r>
            <w:r w:rsidRPr="00C4630E">
              <w:rPr>
                <w:rFonts w:ascii="Times New Roman" w:hAnsi="Times New Roman"/>
                <w:sz w:val="26"/>
                <w:szCs w:val="26"/>
              </w:rPr>
              <w:t>.</w:t>
            </w:r>
          </w:p>
        </w:tc>
        <w:tc>
          <w:tcPr>
            <w:tcW w:w="1984" w:type="dxa"/>
            <w:vAlign w:val="center"/>
          </w:tcPr>
          <w:p w14:paraId="6F8E57B2"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42C72D0B"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C4630E" w:rsidRPr="00C4630E" w14:paraId="0723CC65" w14:textId="77777777" w:rsidTr="00813438">
        <w:trPr>
          <w:trHeight w:val="707"/>
          <w:jc w:val="center"/>
        </w:trPr>
        <w:tc>
          <w:tcPr>
            <w:tcW w:w="6658" w:type="dxa"/>
            <w:vAlign w:val="center"/>
          </w:tcPr>
          <w:p w14:paraId="2287AB32" w14:textId="77777777" w:rsidR="00813438" w:rsidRPr="00C4630E" w:rsidRDefault="00813438" w:rsidP="00F64107">
            <w:pPr>
              <w:rPr>
                <w:rFonts w:ascii="Times New Roman" w:hAnsi="Times New Roman"/>
                <w:b/>
                <w:bCs/>
                <w:sz w:val="26"/>
                <w:szCs w:val="26"/>
                <w:lang w:val="es-ES"/>
              </w:rPr>
            </w:pPr>
            <w:r w:rsidRPr="00C4630E">
              <w:rPr>
                <w:rFonts w:ascii="Times New Roman" w:hAnsi="Times New Roman"/>
                <w:b/>
                <w:bCs/>
                <w:sz w:val="26"/>
                <w:szCs w:val="26"/>
              </w:rPr>
              <w:lastRenderedPageBreak/>
              <w:t>IV. TIẾN ĐỘ CUNG CẤP HÀNG HÓA</w:t>
            </w:r>
          </w:p>
        </w:tc>
        <w:tc>
          <w:tcPr>
            <w:tcW w:w="1984" w:type="dxa"/>
            <w:vAlign w:val="center"/>
          </w:tcPr>
          <w:p w14:paraId="49BF543C" w14:textId="77777777" w:rsidR="00813438" w:rsidRPr="00C4630E" w:rsidRDefault="00813438" w:rsidP="00F64107">
            <w:pPr>
              <w:jc w:val="center"/>
              <w:rPr>
                <w:rFonts w:ascii="Times New Roman" w:hAnsi="Times New Roman"/>
                <w:sz w:val="26"/>
                <w:szCs w:val="26"/>
              </w:rPr>
            </w:pPr>
          </w:p>
        </w:tc>
        <w:tc>
          <w:tcPr>
            <w:tcW w:w="1985" w:type="dxa"/>
            <w:vAlign w:val="center"/>
          </w:tcPr>
          <w:p w14:paraId="4C0F6F0B" w14:textId="77777777" w:rsidR="00813438" w:rsidRPr="00C4630E" w:rsidRDefault="00813438" w:rsidP="00F64107">
            <w:pPr>
              <w:jc w:val="center"/>
              <w:rPr>
                <w:rFonts w:ascii="Times New Roman" w:hAnsi="Times New Roman"/>
                <w:sz w:val="26"/>
                <w:szCs w:val="26"/>
              </w:rPr>
            </w:pPr>
          </w:p>
        </w:tc>
      </w:tr>
      <w:tr w:rsidR="00C4630E" w:rsidRPr="00C4630E" w14:paraId="7A1F2FAC" w14:textId="77777777" w:rsidTr="00813438">
        <w:trPr>
          <w:trHeight w:val="1256"/>
          <w:jc w:val="center"/>
        </w:trPr>
        <w:tc>
          <w:tcPr>
            <w:tcW w:w="6658" w:type="dxa"/>
            <w:vAlign w:val="center"/>
          </w:tcPr>
          <w:p w14:paraId="0A91EA86" w14:textId="77777777" w:rsidR="001F4C25" w:rsidRDefault="00813438" w:rsidP="00F64107">
            <w:pPr>
              <w:rPr>
                <w:rFonts w:ascii="Times New Roman" w:hAnsi="Times New Roman"/>
                <w:sz w:val="26"/>
                <w:szCs w:val="26"/>
              </w:rPr>
            </w:pPr>
            <w:r w:rsidRPr="00C4630E">
              <w:rPr>
                <w:rFonts w:ascii="Times New Roman" w:hAnsi="Times New Roman"/>
                <w:sz w:val="26"/>
                <w:szCs w:val="26"/>
              </w:rPr>
              <w:t>- Tiến độ cung cấp hàng hóa hợp lý, khả thi, phù hợp với đề xuất kỹ thuật và đáp ứng yêu cầu của E-HSMT</w:t>
            </w:r>
          </w:p>
          <w:p w14:paraId="51D4C267" w14:textId="6A32D8AF" w:rsidR="001F4C25" w:rsidRPr="001F4C25" w:rsidRDefault="001F4C25" w:rsidP="001F4C25">
            <w:pPr>
              <w:pStyle w:val="TableParagraph"/>
              <w:ind w:left="0" w:right="130" w:firstLine="200"/>
              <w:jc w:val="both"/>
              <w:rPr>
                <w:rFonts w:ascii="Times New Roman" w:hAnsi="Times New Roman"/>
                <w:sz w:val="26"/>
                <w:szCs w:val="26"/>
                <w:lang w:val="en-US"/>
              </w:rPr>
            </w:pPr>
            <w:r>
              <w:rPr>
                <w:rFonts w:ascii="Times New Roman" w:hAnsi="Times New Roman"/>
                <w:sz w:val="26"/>
                <w:szCs w:val="26"/>
                <w:lang w:val="en-US"/>
              </w:rPr>
              <w:t>(</w:t>
            </w:r>
            <w:r w:rsidRPr="001F4C25">
              <w:rPr>
                <w:rFonts w:ascii="Times New Roman" w:hAnsi="Times New Roman"/>
                <w:sz w:val="26"/>
                <w:szCs w:val="26"/>
              </w:rPr>
              <w:t xml:space="preserve">Cung cấp hàng hóa thành nhiều đợt trong vòng 365 ngày kể từ ngày hợp đồng có hiệu lực. </w:t>
            </w:r>
          </w:p>
          <w:p w14:paraId="615F1922" w14:textId="595CA28C" w:rsidR="001F4C25" w:rsidRPr="001F4C25" w:rsidRDefault="001F4C25" w:rsidP="001F4C25">
            <w:pPr>
              <w:pStyle w:val="TableParagraph"/>
              <w:ind w:left="0" w:right="130" w:firstLine="200"/>
              <w:jc w:val="both"/>
              <w:rPr>
                <w:rFonts w:ascii="Times New Roman" w:hAnsi="Times New Roman"/>
                <w:sz w:val="26"/>
                <w:szCs w:val="26"/>
              </w:rPr>
            </w:pPr>
            <w:r w:rsidRPr="001F4C25">
              <w:rPr>
                <w:rFonts w:ascii="Times New Roman" w:hAnsi="Times New Roman"/>
                <w:sz w:val="26"/>
                <w:szCs w:val="26"/>
              </w:rPr>
              <w:t>- Tiến độ mỗi đợt giao hàng căn cứ theo đơn đặt hàng của Bệnh viện:</w:t>
            </w:r>
          </w:p>
          <w:p w14:paraId="18541AAD" w14:textId="77777777" w:rsidR="001F4C25" w:rsidRPr="001F4C25" w:rsidRDefault="001F4C25" w:rsidP="001F4C25">
            <w:pPr>
              <w:pStyle w:val="TableParagraph"/>
              <w:ind w:left="0" w:right="130" w:firstLine="200"/>
              <w:jc w:val="both"/>
              <w:rPr>
                <w:rFonts w:ascii="Times New Roman" w:hAnsi="Times New Roman"/>
                <w:sz w:val="26"/>
                <w:szCs w:val="26"/>
              </w:rPr>
            </w:pPr>
            <w:r w:rsidRPr="001F4C25">
              <w:rPr>
                <w:rFonts w:ascii="Times New Roman" w:hAnsi="Times New Roman"/>
                <w:sz w:val="26"/>
                <w:szCs w:val="26"/>
              </w:rPr>
              <w:t>+ Trong vòng 03 - 05 ngày kể từ khi nhận được thông báo trong điều kiện bình thường;</w:t>
            </w:r>
          </w:p>
          <w:p w14:paraId="0364F88A" w14:textId="0336CA6C" w:rsidR="00813438" w:rsidRPr="001F4C25" w:rsidRDefault="001F4C25" w:rsidP="001F4C25">
            <w:pPr>
              <w:ind w:firstLine="200"/>
              <w:rPr>
                <w:rFonts w:ascii="Times New Roman" w:hAnsi="Times New Roman"/>
                <w:sz w:val="26"/>
                <w:szCs w:val="26"/>
              </w:rPr>
            </w:pPr>
            <w:r w:rsidRPr="001F4C25">
              <w:rPr>
                <w:rFonts w:ascii="Times New Roman" w:hAnsi="Times New Roman"/>
                <w:sz w:val="26"/>
                <w:szCs w:val="26"/>
              </w:rPr>
              <w:t>+ ≤ 24 giờ kể từ khi nhận được thông báo trong trường hợp khẩn cấp;</w:t>
            </w:r>
            <w:r>
              <w:rPr>
                <w:rFonts w:ascii="Times New Roman" w:hAnsi="Times New Roman"/>
                <w:sz w:val="26"/>
                <w:szCs w:val="26"/>
              </w:rPr>
              <w:t>)</w:t>
            </w:r>
          </w:p>
        </w:tc>
        <w:tc>
          <w:tcPr>
            <w:tcW w:w="1984" w:type="dxa"/>
            <w:vAlign w:val="center"/>
          </w:tcPr>
          <w:p w14:paraId="539F824D"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đáp ứng yêu cầu</w:t>
            </w:r>
          </w:p>
        </w:tc>
        <w:tc>
          <w:tcPr>
            <w:tcW w:w="1985" w:type="dxa"/>
            <w:vAlign w:val="center"/>
          </w:tcPr>
          <w:p w14:paraId="29569858" w14:textId="77777777" w:rsidR="00813438" w:rsidRPr="00C4630E" w:rsidRDefault="00813438" w:rsidP="00F64107">
            <w:pPr>
              <w:jc w:val="center"/>
              <w:rPr>
                <w:rFonts w:ascii="Times New Roman" w:hAnsi="Times New Roman"/>
                <w:sz w:val="26"/>
                <w:szCs w:val="26"/>
              </w:rPr>
            </w:pPr>
            <w:r w:rsidRPr="00C4630E">
              <w:rPr>
                <w:rFonts w:ascii="Times New Roman" w:hAnsi="Times New Roman"/>
                <w:sz w:val="26"/>
                <w:szCs w:val="26"/>
              </w:rPr>
              <w:t>Nội dung chứng minh không đáp ứng yêu cầu</w:t>
            </w:r>
          </w:p>
        </w:tc>
      </w:tr>
      <w:tr w:rsidR="00813438" w:rsidRPr="00C4630E" w14:paraId="4948DFF4" w14:textId="77777777" w:rsidTr="00813438">
        <w:trPr>
          <w:trHeight w:val="20"/>
          <w:jc w:val="center"/>
        </w:trPr>
        <w:tc>
          <w:tcPr>
            <w:tcW w:w="6658" w:type="dxa"/>
            <w:vAlign w:val="center"/>
          </w:tcPr>
          <w:p w14:paraId="1974D32C" w14:textId="77777777" w:rsidR="00813438" w:rsidRPr="00C4630E" w:rsidRDefault="00813438" w:rsidP="00F64107">
            <w:pPr>
              <w:widowControl w:val="0"/>
              <w:autoSpaceDE w:val="0"/>
              <w:autoSpaceDN w:val="0"/>
              <w:adjustRightInd w:val="0"/>
              <w:jc w:val="center"/>
              <w:rPr>
                <w:rFonts w:ascii="Times New Roman" w:hAnsi="Times New Roman"/>
                <w:sz w:val="26"/>
                <w:szCs w:val="26"/>
                <w:u w:color="0000FF"/>
              </w:rPr>
            </w:pPr>
            <w:r w:rsidRPr="00C4630E">
              <w:rPr>
                <w:rFonts w:ascii="Times New Roman" w:hAnsi="Times New Roman"/>
                <w:b/>
                <w:bCs/>
                <w:sz w:val="26"/>
                <w:szCs w:val="26"/>
                <w:u w:color="0000FF"/>
              </w:rPr>
              <w:t>KẾT LUẬN</w:t>
            </w:r>
          </w:p>
        </w:tc>
        <w:tc>
          <w:tcPr>
            <w:tcW w:w="1984" w:type="dxa"/>
          </w:tcPr>
          <w:p w14:paraId="31D5F1DD" w14:textId="77777777" w:rsidR="00813438" w:rsidRPr="00C4630E" w:rsidRDefault="00813438" w:rsidP="00F64107">
            <w:pPr>
              <w:ind w:left="-108" w:hanging="3"/>
              <w:jc w:val="center"/>
              <w:rPr>
                <w:rFonts w:ascii="Times New Roman" w:hAnsi="Times New Roman"/>
                <w:b/>
                <w:sz w:val="26"/>
                <w:szCs w:val="26"/>
              </w:rPr>
            </w:pPr>
            <w:r w:rsidRPr="00C4630E">
              <w:rPr>
                <w:rFonts w:ascii="Times New Roman" w:hAnsi="Times New Roman"/>
                <w:b/>
                <w:sz w:val="26"/>
                <w:szCs w:val="26"/>
              </w:rPr>
              <w:t>ĐẠT</w:t>
            </w:r>
          </w:p>
          <w:p w14:paraId="77AC6B92" w14:textId="77777777" w:rsidR="00813438" w:rsidRPr="00C4630E" w:rsidRDefault="00813438" w:rsidP="00F64107">
            <w:pPr>
              <w:ind w:left="-108" w:hanging="3"/>
              <w:jc w:val="center"/>
              <w:rPr>
                <w:rFonts w:ascii="Times New Roman" w:hAnsi="Times New Roman"/>
                <w:i/>
                <w:iCs/>
                <w:sz w:val="26"/>
                <w:szCs w:val="26"/>
              </w:rPr>
            </w:pPr>
            <w:r w:rsidRPr="00C4630E">
              <w:rPr>
                <w:rFonts w:ascii="Times New Roman" w:hAnsi="Times New Roman"/>
                <w:i/>
                <w:iCs/>
                <w:sz w:val="26"/>
                <w:szCs w:val="26"/>
              </w:rPr>
              <w:t>(Khi tất cả các nội dung đều đạt)</w:t>
            </w:r>
          </w:p>
        </w:tc>
        <w:tc>
          <w:tcPr>
            <w:tcW w:w="1985" w:type="dxa"/>
          </w:tcPr>
          <w:p w14:paraId="2CA7BA66" w14:textId="77777777" w:rsidR="00813438" w:rsidRPr="00C4630E" w:rsidRDefault="00813438" w:rsidP="00F64107">
            <w:pPr>
              <w:ind w:hanging="3"/>
              <w:jc w:val="center"/>
              <w:rPr>
                <w:rFonts w:ascii="Times New Roman" w:hAnsi="Times New Roman"/>
                <w:b/>
                <w:sz w:val="26"/>
                <w:szCs w:val="26"/>
              </w:rPr>
            </w:pPr>
            <w:r w:rsidRPr="00C4630E">
              <w:rPr>
                <w:rFonts w:ascii="Times New Roman" w:hAnsi="Times New Roman"/>
                <w:b/>
                <w:sz w:val="26"/>
                <w:szCs w:val="26"/>
              </w:rPr>
              <w:t>KHÔNG ĐẠT</w:t>
            </w:r>
          </w:p>
          <w:p w14:paraId="39A6A65C" w14:textId="77777777" w:rsidR="00813438" w:rsidRPr="00C4630E" w:rsidRDefault="00813438" w:rsidP="00F64107">
            <w:pPr>
              <w:ind w:hanging="3"/>
              <w:jc w:val="center"/>
              <w:rPr>
                <w:rFonts w:ascii="Times New Roman" w:hAnsi="Times New Roman"/>
                <w:i/>
                <w:iCs/>
                <w:sz w:val="26"/>
                <w:szCs w:val="26"/>
              </w:rPr>
            </w:pPr>
            <w:r w:rsidRPr="00C4630E">
              <w:rPr>
                <w:rFonts w:ascii="Times New Roman" w:hAnsi="Times New Roman"/>
                <w:i/>
                <w:iCs/>
                <w:sz w:val="26"/>
                <w:szCs w:val="26"/>
              </w:rPr>
              <w:t>(Có tối thiểu một nội dung được đánh giá không đạt)</w:t>
            </w:r>
          </w:p>
        </w:tc>
      </w:tr>
    </w:tbl>
    <w:p w14:paraId="204F8470" w14:textId="77777777" w:rsidR="00813438" w:rsidRPr="00C4630E" w:rsidRDefault="00813438">
      <w:pPr>
        <w:rPr>
          <w:sz w:val="26"/>
          <w:szCs w:val="26"/>
        </w:rPr>
      </w:pPr>
    </w:p>
    <w:sectPr w:rsidR="00813438" w:rsidRPr="00C4630E" w:rsidSect="0081343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16cid:durableId="33646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38"/>
    <w:rsid w:val="000C5341"/>
    <w:rsid w:val="001F4C25"/>
    <w:rsid w:val="002325D9"/>
    <w:rsid w:val="0025068E"/>
    <w:rsid w:val="00256A7F"/>
    <w:rsid w:val="002802F9"/>
    <w:rsid w:val="00413210"/>
    <w:rsid w:val="00511A4F"/>
    <w:rsid w:val="006E3371"/>
    <w:rsid w:val="007D48E6"/>
    <w:rsid w:val="00813438"/>
    <w:rsid w:val="00815E33"/>
    <w:rsid w:val="008E2654"/>
    <w:rsid w:val="009A7F1A"/>
    <w:rsid w:val="009E411A"/>
    <w:rsid w:val="00B33EF7"/>
    <w:rsid w:val="00B636BA"/>
    <w:rsid w:val="00C27827"/>
    <w:rsid w:val="00C4630E"/>
    <w:rsid w:val="00C5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BF9F"/>
  <w15:chartTrackingRefBased/>
  <w15:docId w15:val="{C76BC516-5EC0-4A31-B25C-43B3EFB0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438"/>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13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43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4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343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34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34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34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34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4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4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43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4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34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34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4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4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4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4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4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3438"/>
    <w:pPr>
      <w:spacing w:before="160"/>
      <w:jc w:val="center"/>
    </w:pPr>
    <w:rPr>
      <w:i/>
      <w:iCs/>
      <w:color w:val="404040" w:themeColor="text1" w:themeTint="BF"/>
    </w:rPr>
  </w:style>
  <w:style w:type="character" w:customStyle="1" w:styleId="QuoteChar">
    <w:name w:val="Quote Char"/>
    <w:basedOn w:val="DefaultParagraphFont"/>
    <w:link w:val="Quote"/>
    <w:uiPriority w:val="29"/>
    <w:rsid w:val="0081343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3438"/>
    <w:pPr>
      <w:ind w:left="720"/>
      <w:contextualSpacing/>
    </w:pPr>
  </w:style>
  <w:style w:type="character" w:styleId="IntenseEmphasis">
    <w:name w:val="Intense Emphasis"/>
    <w:basedOn w:val="DefaultParagraphFont"/>
    <w:uiPriority w:val="21"/>
    <w:qFormat/>
    <w:rsid w:val="00813438"/>
    <w:rPr>
      <w:i/>
      <w:iCs/>
      <w:color w:val="2F5496" w:themeColor="accent1" w:themeShade="BF"/>
    </w:rPr>
  </w:style>
  <w:style w:type="paragraph" w:styleId="IntenseQuote">
    <w:name w:val="Intense Quote"/>
    <w:basedOn w:val="Normal"/>
    <w:next w:val="Normal"/>
    <w:link w:val="IntenseQuoteChar"/>
    <w:uiPriority w:val="30"/>
    <w:qFormat/>
    <w:rsid w:val="00813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438"/>
    <w:rPr>
      <w:i/>
      <w:iCs/>
      <w:color w:val="2F5496" w:themeColor="accent1" w:themeShade="BF"/>
    </w:rPr>
  </w:style>
  <w:style w:type="character" w:styleId="IntenseReference">
    <w:name w:val="Intense Reference"/>
    <w:basedOn w:val="DefaultParagraphFont"/>
    <w:uiPriority w:val="32"/>
    <w:qFormat/>
    <w:rsid w:val="00813438"/>
    <w:rPr>
      <w:b/>
      <w:bCs/>
      <w:smallCaps/>
      <w:color w:val="2F5496" w:themeColor="accent1" w:themeShade="BF"/>
      <w:spacing w:val="5"/>
    </w:rPr>
  </w:style>
  <w:style w:type="paragraph" w:styleId="TOC1">
    <w:name w:val="toc 1"/>
    <w:basedOn w:val="Normal"/>
    <w:next w:val="Normal"/>
    <w:autoRedefine/>
    <w:uiPriority w:val="39"/>
    <w:qFormat/>
    <w:rsid w:val="00813438"/>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13438"/>
  </w:style>
  <w:style w:type="table" w:styleId="TableGrid">
    <w:name w:val="Table Grid"/>
    <w:basedOn w:val="TableNormal"/>
    <w:rsid w:val="0081343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4C25"/>
    <w:pPr>
      <w:widowControl w:val="0"/>
      <w:autoSpaceDE w:val="0"/>
      <w:autoSpaceDN w:val="0"/>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2025-08-06T08:46:00Z</dcterms:created>
  <dcterms:modified xsi:type="dcterms:W3CDTF">2025-08-13T00:57:00Z</dcterms:modified>
</cp:coreProperties>
</file>