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4E162B10" w:rsidR="00847464" w:rsidRPr="00705DFC" w:rsidRDefault="00847464" w:rsidP="00E96158">
      <w:pPr>
        <w:pStyle w:val="TOC1"/>
        <w:spacing w:line="264" w:lineRule="auto"/>
        <w:rPr>
          <w:rFonts w:ascii="Times New Roman" w:hAnsi="Times New Roman" w:cs="Times New Roman"/>
        </w:rPr>
      </w:pPr>
      <w:r w:rsidRPr="00705DFC">
        <w:rPr>
          <w:rFonts w:ascii="Times New Roman" w:hAnsi="Times New Roman" w:cs="Times New Roman"/>
        </w:rPr>
        <w:t>Tiêu chuẩn đánh giá về kỹ thuật</w:t>
      </w:r>
    </w:p>
    <w:p w14:paraId="28B7BF0F" w14:textId="77777777" w:rsidR="00705DFC" w:rsidRPr="00705DFC" w:rsidRDefault="00705DFC" w:rsidP="00705DFC">
      <w:pPr>
        <w:spacing w:before="80" w:after="80" w:line="264" w:lineRule="auto"/>
        <w:ind w:firstLine="709"/>
        <w:rPr>
          <w:sz w:val="28"/>
          <w:szCs w:val="28"/>
          <w:lang w:val="vi-VN"/>
        </w:rPr>
      </w:pPr>
      <w:r w:rsidRPr="00705DFC">
        <w:rPr>
          <w:sz w:val="28"/>
          <w:szCs w:val="28"/>
          <w:lang w:val="vi-VN"/>
        </w:rPr>
        <w:t xml:space="preserve">Sử dụng tiêu chí </w:t>
      </w:r>
      <w:r w:rsidRPr="00705DFC">
        <w:rPr>
          <w:sz w:val="28"/>
          <w:szCs w:val="28"/>
          <w:lang w:val="nl-NL"/>
        </w:rPr>
        <w:t>Đ</w:t>
      </w:r>
      <w:r w:rsidRPr="00705DFC">
        <w:rPr>
          <w:sz w:val="28"/>
          <w:szCs w:val="28"/>
          <w:lang w:val="vi-VN"/>
        </w:rPr>
        <w:t>ạt/</w:t>
      </w:r>
      <w:r w:rsidRPr="00705DFC">
        <w:rPr>
          <w:sz w:val="28"/>
          <w:szCs w:val="28"/>
          <w:lang w:val="nl-NL"/>
        </w:rPr>
        <w:t>K</w:t>
      </w:r>
      <w:r w:rsidRPr="00705DFC">
        <w:rPr>
          <w:sz w:val="28"/>
          <w:szCs w:val="28"/>
          <w:lang w:val="vi-VN"/>
        </w:rPr>
        <w:t>hông đạt để xây dựng tiêu chuẩn đánh giá về kỹ thuật.</w:t>
      </w:r>
    </w:p>
    <w:p w14:paraId="2C29722D" w14:textId="77777777" w:rsidR="00705DFC" w:rsidRPr="00705DFC" w:rsidRDefault="00705DFC" w:rsidP="00705DFC">
      <w:pPr>
        <w:spacing w:before="80" w:after="80" w:line="264" w:lineRule="auto"/>
        <w:ind w:firstLine="709"/>
        <w:rPr>
          <w:rFonts w:eastAsia="Calibri"/>
          <w:spacing w:val="2"/>
          <w:sz w:val="28"/>
          <w:szCs w:val="28"/>
          <w:lang w:val="vi-VN"/>
        </w:rPr>
      </w:pPr>
      <w:r w:rsidRPr="00705DFC">
        <w:rPr>
          <w:rFonts w:eastAsia="Calibri"/>
          <w:spacing w:val="2"/>
          <w:sz w:val="28"/>
          <w:szCs w:val="28"/>
          <w:lang w:val="vi-VN"/>
        </w:rPr>
        <w:t>E – HSDT được đánh giá là không đáp ứng về mặt kỹ thuật và bị loại khi có bất kỳ một trong các tiêu chí kỹ thuật tại mục này bị đánh giá Không đạt. Việc đanh giá E – HSDT được thực hiện như sau:</w:t>
      </w:r>
    </w:p>
    <w:p w14:paraId="4D0DE603" w14:textId="77777777" w:rsidR="00705DFC" w:rsidRPr="00705DFC" w:rsidRDefault="00705DFC" w:rsidP="00705DFC">
      <w:pPr>
        <w:spacing w:before="80" w:after="80" w:line="264" w:lineRule="auto"/>
        <w:ind w:firstLine="709"/>
        <w:rPr>
          <w:rFonts w:eastAsia="Calibri"/>
          <w:spacing w:val="2"/>
          <w:sz w:val="28"/>
          <w:szCs w:val="28"/>
          <w:lang w:val="vi-VN"/>
        </w:rPr>
      </w:pPr>
    </w:p>
    <w:tbl>
      <w:tblPr>
        <w:tblStyle w:val="TableGrid"/>
        <w:tblW w:w="0" w:type="auto"/>
        <w:tblLook w:val="04A0" w:firstRow="1" w:lastRow="0" w:firstColumn="1" w:lastColumn="0" w:noHBand="0" w:noVBand="1"/>
      </w:tblPr>
      <w:tblGrid>
        <w:gridCol w:w="698"/>
        <w:gridCol w:w="3811"/>
        <w:gridCol w:w="2283"/>
        <w:gridCol w:w="2269"/>
      </w:tblGrid>
      <w:tr w:rsidR="00705DFC" w:rsidRPr="00705DFC" w14:paraId="4D691524" w14:textId="77777777" w:rsidTr="0039783F">
        <w:tc>
          <w:tcPr>
            <w:tcW w:w="698" w:type="dxa"/>
            <w:vMerge w:val="restart"/>
            <w:vAlign w:val="center"/>
          </w:tcPr>
          <w:p w14:paraId="293DEDBD" w14:textId="77777777" w:rsidR="00705DFC" w:rsidRPr="00705DFC" w:rsidRDefault="00705DFC" w:rsidP="0039783F">
            <w:pPr>
              <w:spacing w:before="120" w:after="120" w:line="264" w:lineRule="auto"/>
              <w:jc w:val="center"/>
              <w:rPr>
                <w:b/>
                <w:bCs/>
                <w:sz w:val="28"/>
                <w:szCs w:val="28"/>
                <w:lang w:val="es-ES"/>
              </w:rPr>
            </w:pPr>
            <w:r w:rsidRPr="00705DFC">
              <w:rPr>
                <w:b/>
                <w:bCs/>
                <w:sz w:val="28"/>
                <w:szCs w:val="28"/>
                <w:lang w:val="es-ES"/>
              </w:rPr>
              <w:t>TT</w:t>
            </w:r>
          </w:p>
        </w:tc>
        <w:tc>
          <w:tcPr>
            <w:tcW w:w="3811" w:type="dxa"/>
            <w:vMerge w:val="restart"/>
            <w:vAlign w:val="center"/>
          </w:tcPr>
          <w:p w14:paraId="47D62DAC" w14:textId="77777777" w:rsidR="00705DFC" w:rsidRPr="00705DFC" w:rsidRDefault="00705DFC" w:rsidP="0039783F">
            <w:pPr>
              <w:spacing w:before="120" w:after="120" w:line="264" w:lineRule="auto"/>
              <w:jc w:val="center"/>
              <w:rPr>
                <w:b/>
                <w:bCs/>
                <w:sz w:val="28"/>
                <w:szCs w:val="28"/>
                <w:lang w:val="es-ES"/>
              </w:rPr>
            </w:pPr>
            <w:r w:rsidRPr="00705DFC">
              <w:rPr>
                <w:b/>
                <w:bCs/>
                <w:sz w:val="28"/>
                <w:szCs w:val="28"/>
                <w:lang w:val="es-ES"/>
              </w:rPr>
              <w:t>Nội dung</w:t>
            </w:r>
          </w:p>
        </w:tc>
        <w:tc>
          <w:tcPr>
            <w:tcW w:w="4552" w:type="dxa"/>
            <w:gridSpan w:val="2"/>
            <w:vAlign w:val="center"/>
          </w:tcPr>
          <w:p w14:paraId="7EA2FA4B" w14:textId="77777777" w:rsidR="00705DFC" w:rsidRPr="00705DFC" w:rsidRDefault="00705DFC" w:rsidP="0039783F">
            <w:pPr>
              <w:spacing w:before="120" w:after="120" w:line="264" w:lineRule="auto"/>
              <w:jc w:val="center"/>
              <w:rPr>
                <w:b/>
                <w:bCs/>
                <w:sz w:val="28"/>
                <w:szCs w:val="28"/>
                <w:lang w:val="es-ES"/>
              </w:rPr>
            </w:pPr>
            <w:r w:rsidRPr="00705DFC">
              <w:rPr>
                <w:b/>
                <w:bCs/>
                <w:sz w:val="28"/>
                <w:szCs w:val="28"/>
                <w:lang w:val="es-ES"/>
              </w:rPr>
              <w:t>Mức độ đáp ứng</w:t>
            </w:r>
          </w:p>
        </w:tc>
      </w:tr>
      <w:tr w:rsidR="00705DFC" w:rsidRPr="00705DFC" w14:paraId="671E6ABA" w14:textId="77777777" w:rsidTr="0039783F">
        <w:tc>
          <w:tcPr>
            <w:tcW w:w="698" w:type="dxa"/>
            <w:vMerge/>
            <w:vAlign w:val="center"/>
          </w:tcPr>
          <w:p w14:paraId="535CF6B2" w14:textId="77777777" w:rsidR="00705DFC" w:rsidRPr="00705DFC" w:rsidRDefault="00705DFC" w:rsidP="0039783F">
            <w:pPr>
              <w:spacing w:before="120" w:after="120" w:line="264" w:lineRule="auto"/>
              <w:jc w:val="center"/>
              <w:rPr>
                <w:b/>
                <w:bCs/>
                <w:sz w:val="28"/>
                <w:szCs w:val="28"/>
                <w:lang w:val="es-ES"/>
              </w:rPr>
            </w:pPr>
          </w:p>
        </w:tc>
        <w:tc>
          <w:tcPr>
            <w:tcW w:w="3811" w:type="dxa"/>
            <w:vMerge/>
            <w:vAlign w:val="center"/>
          </w:tcPr>
          <w:p w14:paraId="3070E4BB" w14:textId="77777777" w:rsidR="00705DFC" w:rsidRPr="00705DFC" w:rsidRDefault="00705DFC" w:rsidP="0039783F">
            <w:pPr>
              <w:spacing w:before="120" w:after="120" w:line="264" w:lineRule="auto"/>
              <w:jc w:val="center"/>
              <w:rPr>
                <w:b/>
                <w:bCs/>
                <w:sz w:val="28"/>
                <w:szCs w:val="28"/>
                <w:lang w:val="es-ES"/>
              </w:rPr>
            </w:pPr>
          </w:p>
        </w:tc>
        <w:tc>
          <w:tcPr>
            <w:tcW w:w="2283" w:type="dxa"/>
            <w:vAlign w:val="center"/>
          </w:tcPr>
          <w:p w14:paraId="76039A25" w14:textId="77777777" w:rsidR="00705DFC" w:rsidRPr="00705DFC" w:rsidRDefault="00705DFC" w:rsidP="0039783F">
            <w:pPr>
              <w:spacing w:before="120" w:after="120" w:line="264" w:lineRule="auto"/>
              <w:jc w:val="center"/>
              <w:rPr>
                <w:b/>
                <w:bCs/>
                <w:sz w:val="28"/>
                <w:szCs w:val="28"/>
                <w:lang w:val="es-ES"/>
              </w:rPr>
            </w:pPr>
            <w:r w:rsidRPr="00705DFC">
              <w:rPr>
                <w:b/>
                <w:bCs/>
                <w:sz w:val="28"/>
                <w:szCs w:val="28"/>
                <w:lang w:val="es-ES"/>
              </w:rPr>
              <w:t>Đạt</w:t>
            </w:r>
          </w:p>
        </w:tc>
        <w:tc>
          <w:tcPr>
            <w:tcW w:w="2269" w:type="dxa"/>
            <w:vAlign w:val="center"/>
          </w:tcPr>
          <w:p w14:paraId="033D70D6" w14:textId="77777777" w:rsidR="00705DFC" w:rsidRPr="00705DFC" w:rsidRDefault="00705DFC" w:rsidP="0039783F">
            <w:pPr>
              <w:spacing w:before="120" w:after="120" w:line="264" w:lineRule="auto"/>
              <w:jc w:val="center"/>
              <w:rPr>
                <w:b/>
                <w:bCs/>
                <w:sz w:val="28"/>
                <w:szCs w:val="28"/>
                <w:lang w:val="es-ES"/>
              </w:rPr>
            </w:pPr>
            <w:r w:rsidRPr="00705DFC">
              <w:rPr>
                <w:b/>
                <w:bCs/>
                <w:sz w:val="28"/>
                <w:szCs w:val="28"/>
                <w:lang w:val="es-ES"/>
              </w:rPr>
              <w:t>Không đạt</w:t>
            </w:r>
          </w:p>
        </w:tc>
      </w:tr>
      <w:tr w:rsidR="00705DFC" w:rsidRPr="00705DFC" w14:paraId="734B3131" w14:textId="77777777" w:rsidTr="0039783F">
        <w:tc>
          <w:tcPr>
            <w:tcW w:w="698" w:type="dxa"/>
            <w:vAlign w:val="center"/>
          </w:tcPr>
          <w:p w14:paraId="14F14920"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1</w:t>
            </w:r>
          </w:p>
        </w:tc>
        <w:tc>
          <w:tcPr>
            <w:tcW w:w="3811" w:type="dxa"/>
            <w:vAlign w:val="center"/>
          </w:tcPr>
          <w:p w14:paraId="078F1C28"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Tình trạng bộ quần áo bảo hộ lao động cung cấp cho gói thầu</w:t>
            </w:r>
          </w:p>
        </w:tc>
        <w:tc>
          <w:tcPr>
            <w:tcW w:w="2283" w:type="dxa"/>
            <w:vAlign w:val="center"/>
          </w:tcPr>
          <w:p w14:paraId="1837E19B"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Quần áo bảo hộ lao động cung cấp cho gói thầu mới 100%</w:t>
            </w:r>
          </w:p>
        </w:tc>
        <w:tc>
          <w:tcPr>
            <w:tcW w:w="2269" w:type="dxa"/>
            <w:vAlign w:val="center"/>
          </w:tcPr>
          <w:p w14:paraId="32D6BE31"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Không đáp ứng yêu cầu</w:t>
            </w:r>
          </w:p>
        </w:tc>
      </w:tr>
      <w:tr w:rsidR="00705DFC" w:rsidRPr="00705DFC" w14:paraId="79F86DE0" w14:textId="77777777" w:rsidTr="0039783F">
        <w:tc>
          <w:tcPr>
            <w:tcW w:w="698" w:type="dxa"/>
            <w:vAlign w:val="center"/>
          </w:tcPr>
          <w:p w14:paraId="26AB2B60"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2</w:t>
            </w:r>
          </w:p>
        </w:tc>
        <w:tc>
          <w:tcPr>
            <w:tcW w:w="3811" w:type="dxa"/>
            <w:vAlign w:val="center"/>
          </w:tcPr>
          <w:p w14:paraId="0FABBE0C"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Yêu cầu về kỹ thuật, tiêu chuẩn trang phục, các tiêu chí đánh giá, kiểm định</w:t>
            </w:r>
          </w:p>
        </w:tc>
        <w:tc>
          <w:tcPr>
            <w:tcW w:w="2283" w:type="dxa"/>
            <w:vAlign w:val="center"/>
          </w:tcPr>
          <w:p w14:paraId="4AA6805D"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Đáp ứng tất cả các yêu cầu nêu tại Chương V của E-HSMT</w:t>
            </w:r>
          </w:p>
        </w:tc>
        <w:tc>
          <w:tcPr>
            <w:tcW w:w="2269" w:type="dxa"/>
            <w:vAlign w:val="center"/>
          </w:tcPr>
          <w:p w14:paraId="70975DDA"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Không đáp ứng tối thiểu 01 nội dung yêu cầu nêu tại Chương V của E-HSMT</w:t>
            </w:r>
          </w:p>
        </w:tc>
      </w:tr>
      <w:tr w:rsidR="00705DFC" w:rsidRPr="00705DFC" w14:paraId="29BA32DA" w14:textId="77777777" w:rsidTr="0039783F">
        <w:tc>
          <w:tcPr>
            <w:tcW w:w="698" w:type="dxa"/>
            <w:vAlign w:val="center"/>
          </w:tcPr>
          <w:p w14:paraId="4A9C29FA"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3</w:t>
            </w:r>
          </w:p>
        </w:tc>
        <w:tc>
          <w:tcPr>
            <w:tcW w:w="3811" w:type="dxa"/>
            <w:vAlign w:val="center"/>
          </w:tcPr>
          <w:p w14:paraId="6403428C" w14:textId="77777777" w:rsidR="00705DFC" w:rsidRPr="00705DFC" w:rsidRDefault="00705DFC" w:rsidP="0039783F">
            <w:pPr>
              <w:spacing w:before="120" w:after="120" w:line="264" w:lineRule="auto"/>
              <w:jc w:val="center"/>
              <w:rPr>
                <w:sz w:val="28"/>
                <w:szCs w:val="28"/>
                <w:lang w:val="es-ES"/>
              </w:rPr>
            </w:pPr>
            <w:r w:rsidRPr="00705DFC">
              <w:rPr>
                <w:bCs/>
                <w:sz w:val="28"/>
                <w:szCs w:val="28"/>
                <w:lang w:val="es-ES"/>
              </w:rPr>
              <w:t>Sử dụng loại vải theo đúng quy cách trang phục được phê duyệt</w:t>
            </w:r>
          </w:p>
        </w:tc>
        <w:tc>
          <w:tcPr>
            <w:tcW w:w="2283" w:type="dxa"/>
            <w:vAlign w:val="center"/>
          </w:tcPr>
          <w:p w14:paraId="6C1CCFD2"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Có cam kết đáp ứng yêu cầu của E-HSMT</w:t>
            </w:r>
          </w:p>
        </w:tc>
        <w:tc>
          <w:tcPr>
            <w:tcW w:w="2269" w:type="dxa"/>
            <w:vAlign w:val="center"/>
          </w:tcPr>
          <w:p w14:paraId="285D98C3"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Không có cam kết (kể cả sau khi làm rõ) hoặc có cam kết nhưng không đáp ứng yêu cầu của E-HSMT</w:t>
            </w:r>
          </w:p>
        </w:tc>
      </w:tr>
      <w:tr w:rsidR="00705DFC" w:rsidRPr="00705DFC" w14:paraId="4EE7C3D8" w14:textId="77777777" w:rsidTr="0039783F">
        <w:tc>
          <w:tcPr>
            <w:tcW w:w="698" w:type="dxa"/>
            <w:vAlign w:val="center"/>
          </w:tcPr>
          <w:p w14:paraId="673DB002"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4</w:t>
            </w:r>
          </w:p>
        </w:tc>
        <w:tc>
          <w:tcPr>
            <w:tcW w:w="3811" w:type="dxa"/>
            <w:vAlign w:val="center"/>
          </w:tcPr>
          <w:p w14:paraId="44961C43" w14:textId="77777777" w:rsidR="00705DFC" w:rsidRPr="00705DFC" w:rsidRDefault="00705DFC" w:rsidP="0039783F">
            <w:pPr>
              <w:spacing w:before="120" w:after="120" w:line="264" w:lineRule="auto"/>
              <w:jc w:val="center"/>
              <w:rPr>
                <w:sz w:val="28"/>
                <w:szCs w:val="28"/>
                <w:lang w:val="es-ES"/>
              </w:rPr>
            </w:pPr>
            <w:r w:rsidRPr="00705DFC">
              <w:rPr>
                <w:bCs/>
                <w:sz w:val="28"/>
                <w:szCs w:val="28"/>
                <w:lang w:val="es-ES"/>
              </w:rPr>
              <w:t>Thời gian bảo hành hàng hóa: cho toàn bộ hàng hóa của gói thầu theo tiêu chuẩn của nhà sản xuất. Thời hạn bảo hành được tính kể từ khi hàng hoá được bàn giao, nghiệm thu</w:t>
            </w:r>
          </w:p>
        </w:tc>
        <w:tc>
          <w:tcPr>
            <w:tcW w:w="2283" w:type="dxa"/>
            <w:vAlign w:val="center"/>
          </w:tcPr>
          <w:p w14:paraId="4DC70085"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 xml:space="preserve">≥ 12 tháng </w:t>
            </w:r>
            <w:r w:rsidRPr="00705DFC">
              <w:rPr>
                <w:bCs/>
                <w:sz w:val="28"/>
                <w:szCs w:val="28"/>
                <w:lang w:val="es-ES"/>
              </w:rPr>
              <w:t>cho toàn bộ hàng hóa của gói thầu</w:t>
            </w:r>
            <w:r w:rsidRPr="00705DFC">
              <w:rPr>
                <w:sz w:val="28"/>
                <w:szCs w:val="28"/>
                <w:lang w:val="es-ES"/>
              </w:rPr>
              <w:t>, trong đó thời gian bảo hành Logo Petrolimex trên áo BHLĐ Petrolimex ≥ 09 tháng</w:t>
            </w:r>
          </w:p>
        </w:tc>
        <w:tc>
          <w:tcPr>
            <w:tcW w:w="2269" w:type="dxa"/>
            <w:vAlign w:val="center"/>
          </w:tcPr>
          <w:p w14:paraId="666BC169"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Không đáp ứng yêu cầu</w:t>
            </w:r>
          </w:p>
        </w:tc>
      </w:tr>
      <w:tr w:rsidR="00705DFC" w:rsidRPr="00705DFC" w14:paraId="56768640" w14:textId="77777777" w:rsidTr="0039783F">
        <w:tc>
          <w:tcPr>
            <w:tcW w:w="698" w:type="dxa"/>
            <w:vAlign w:val="center"/>
          </w:tcPr>
          <w:p w14:paraId="2C51021F"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lastRenderedPageBreak/>
              <w:t>5</w:t>
            </w:r>
          </w:p>
        </w:tc>
        <w:tc>
          <w:tcPr>
            <w:tcW w:w="3811" w:type="dxa"/>
            <w:vAlign w:val="center"/>
          </w:tcPr>
          <w:p w14:paraId="3ACB3222" w14:textId="77777777" w:rsidR="00705DFC" w:rsidRPr="00705DFC" w:rsidRDefault="00705DFC" w:rsidP="0039783F">
            <w:pPr>
              <w:spacing w:before="120" w:after="120" w:line="264" w:lineRule="auto"/>
              <w:jc w:val="center"/>
              <w:rPr>
                <w:sz w:val="28"/>
                <w:szCs w:val="28"/>
                <w:lang w:val="es-ES"/>
              </w:rPr>
            </w:pPr>
            <w:r w:rsidRPr="00705DFC">
              <w:rPr>
                <w:bCs/>
                <w:sz w:val="28"/>
                <w:szCs w:val="28"/>
                <w:lang w:val="es-ES"/>
              </w:rPr>
              <w:t xml:space="preserve">Quy cách đóng gói: </w:t>
            </w:r>
            <w:r w:rsidRPr="00705DFC">
              <w:rPr>
                <w:sz w:val="28"/>
                <w:szCs w:val="28"/>
                <w:lang w:val="es-ES"/>
              </w:rPr>
              <w:t>Hàng hóa phải được bao gói trong túi nilong đựng trong thùng caton, được niêm phong và vận chuyển đến địa điểm giao hàng theo hợp đồng đã ký kết, đảm bảo chất lượng khi giao hàng</w:t>
            </w:r>
          </w:p>
        </w:tc>
        <w:tc>
          <w:tcPr>
            <w:tcW w:w="2283" w:type="dxa"/>
            <w:vAlign w:val="center"/>
          </w:tcPr>
          <w:p w14:paraId="204F1826"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Có cam kết đáp ứng yêu cầu của E-HSMT</w:t>
            </w:r>
          </w:p>
        </w:tc>
        <w:tc>
          <w:tcPr>
            <w:tcW w:w="2269" w:type="dxa"/>
            <w:vAlign w:val="center"/>
          </w:tcPr>
          <w:p w14:paraId="155E1C76"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Không có cam kết hoặc có cam kết nhưng không đáp ứng yêu cầu của E-HSMT</w:t>
            </w:r>
          </w:p>
        </w:tc>
      </w:tr>
      <w:tr w:rsidR="00705DFC" w:rsidRPr="00705DFC" w14:paraId="06522295" w14:textId="77777777" w:rsidTr="0039783F">
        <w:tc>
          <w:tcPr>
            <w:tcW w:w="698" w:type="dxa"/>
            <w:vAlign w:val="center"/>
          </w:tcPr>
          <w:p w14:paraId="1C09259C"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6</w:t>
            </w:r>
          </w:p>
        </w:tc>
        <w:tc>
          <w:tcPr>
            <w:tcW w:w="3811" w:type="dxa"/>
            <w:vAlign w:val="center"/>
          </w:tcPr>
          <w:p w14:paraId="25F49BC7" w14:textId="77777777" w:rsidR="00705DFC" w:rsidRPr="00705DFC" w:rsidRDefault="00705DFC" w:rsidP="0039783F">
            <w:pPr>
              <w:spacing w:before="120" w:after="120" w:line="264" w:lineRule="auto"/>
              <w:jc w:val="center"/>
              <w:rPr>
                <w:sz w:val="28"/>
                <w:szCs w:val="28"/>
                <w:lang w:val="es-ES"/>
              </w:rPr>
            </w:pPr>
            <w:r w:rsidRPr="00705DFC">
              <w:rPr>
                <w:bCs/>
                <w:sz w:val="28"/>
                <w:szCs w:val="28"/>
                <w:lang w:val="es-ES"/>
              </w:rPr>
              <w:t xml:space="preserve">Tiến độ thực hiện hợp đồng </w:t>
            </w:r>
          </w:p>
        </w:tc>
        <w:tc>
          <w:tcPr>
            <w:tcW w:w="2283" w:type="dxa"/>
            <w:vAlign w:val="center"/>
          </w:tcPr>
          <w:p w14:paraId="3408ED6C"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Có biểu tiến độ thực hiện hợp đồng trong đó thể hiện rõ tiến độ cung cấp hàng hóa đáp ứng yêu cầu tại Chương V của E-HSMT</w:t>
            </w:r>
          </w:p>
        </w:tc>
        <w:tc>
          <w:tcPr>
            <w:tcW w:w="2269" w:type="dxa"/>
            <w:vAlign w:val="center"/>
          </w:tcPr>
          <w:p w14:paraId="558910B0"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Không có biểu tiến độ hoặc có biểu tiến độ nhưng tiến độ cung cấp hàng hóa không phù hợp với yêu cầu tại Chương V của E-HSMT</w:t>
            </w:r>
          </w:p>
        </w:tc>
      </w:tr>
      <w:tr w:rsidR="00705DFC" w:rsidRPr="00705DFC" w14:paraId="3EF7A844" w14:textId="77777777" w:rsidTr="0039783F">
        <w:tc>
          <w:tcPr>
            <w:tcW w:w="698" w:type="dxa"/>
            <w:vAlign w:val="center"/>
          </w:tcPr>
          <w:p w14:paraId="18055E29"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7</w:t>
            </w:r>
          </w:p>
        </w:tc>
        <w:tc>
          <w:tcPr>
            <w:tcW w:w="3811" w:type="dxa"/>
            <w:vAlign w:val="center"/>
          </w:tcPr>
          <w:p w14:paraId="20FA0EEF" w14:textId="77777777" w:rsidR="00705DFC" w:rsidRPr="00705DFC" w:rsidRDefault="00705DFC" w:rsidP="0039783F">
            <w:pPr>
              <w:spacing w:before="120" w:after="120" w:line="264" w:lineRule="auto"/>
              <w:jc w:val="center"/>
              <w:rPr>
                <w:sz w:val="28"/>
                <w:szCs w:val="28"/>
                <w:lang w:val="es-ES"/>
              </w:rPr>
            </w:pPr>
            <w:r w:rsidRPr="00705DFC">
              <w:rPr>
                <w:bCs/>
                <w:sz w:val="28"/>
                <w:szCs w:val="28"/>
                <w:lang w:val="es-ES"/>
              </w:rPr>
              <w:t>Địa điểm cung cấp hàng hóa</w:t>
            </w:r>
          </w:p>
        </w:tc>
        <w:tc>
          <w:tcPr>
            <w:tcW w:w="2283" w:type="dxa"/>
            <w:vAlign w:val="center"/>
          </w:tcPr>
          <w:p w14:paraId="341B979B"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Theo yêu cầu của bên mời thầu quy định tại Chương V</w:t>
            </w:r>
          </w:p>
        </w:tc>
        <w:tc>
          <w:tcPr>
            <w:tcW w:w="2269" w:type="dxa"/>
            <w:vAlign w:val="center"/>
          </w:tcPr>
          <w:p w14:paraId="2193D24D" w14:textId="77777777" w:rsidR="00705DFC" w:rsidRPr="00705DFC" w:rsidRDefault="00705DFC" w:rsidP="0039783F">
            <w:pPr>
              <w:spacing w:before="120" w:after="120" w:line="264" w:lineRule="auto"/>
              <w:jc w:val="center"/>
              <w:rPr>
                <w:sz w:val="28"/>
                <w:szCs w:val="28"/>
                <w:lang w:val="es-ES"/>
              </w:rPr>
            </w:pPr>
            <w:r w:rsidRPr="00705DFC">
              <w:rPr>
                <w:sz w:val="28"/>
                <w:szCs w:val="28"/>
                <w:lang w:val="es-ES"/>
              </w:rPr>
              <w:t>Không theo yêu cầu của bên mời thầu quy định tại Chương V</w:t>
            </w:r>
          </w:p>
        </w:tc>
      </w:tr>
    </w:tbl>
    <w:p w14:paraId="69A5024A" w14:textId="28643E53" w:rsidR="00847464" w:rsidRPr="00705DFC" w:rsidRDefault="00847464" w:rsidP="00E76B14">
      <w:pPr>
        <w:widowControl w:val="0"/>
        <w:tabs>
          <w:tab w:val="left" w:pos="851"/>
        </w:tabs>
        <w:spacing w:before="80" w:after="80" w:line="264" w:lineRule="auto"/>
        <w:ind w:firstLine="709"/>
        <w:rPr>
          <w:sz w:val="28"/>
          <w:szCs w:val="28"/>
          <w:lang w:val="es-ES"/>
        </w:rPr>
      </w:pPr>
    </w:p>
    <w:p w14:paraId="51D21471" w14:textId="5655AA33" w:rsidR="003047AB" w:rsidRPr="00705DFC" w:rsidRDefault="003047AB" w:rsidP="00E96158">
      <w:pPr>
        <w:tabs>
          <w:tab w:val="center" w:pos="4961"/>
        </w:tabs>
        <w:spacing w:before="80" w:after="80" w:line="264" w:lineRule="auto"/>
        <w:ind w:firstLine="709"/>
        <w:rPr>
          <w:spacing w:val="-6"/>
          <w:sz w:val="28"/>
          <w:szCs w:val="28"/>
          <w:lang w:val="es-ES"/>
        </w:rPr>
      </w:pPr>
    </w:p>
    <w:p w14:paraId="5AC8F887" w14:textId="4E67DD37" w:rsidR="00847464" w:rsidRPr="00705DFC" w:rsidRDefault="00847464" w:rsidP="00E96158">
      <w:pPr>
        <w:widowControl w:val="0"/>
        <w:spacing w:before="80" w:after="80" w:line="264" w:lineRule="auto"/>
        <w:ind w:firstLine="709"/>
        <w:rPr>
          <w:rFonts w:eastAsia="Calibri"/>
          <w:sz w:val="28"/>
          <w:szCs w:val="28"/>
          <w:lang w:val="es-ES"/>
        </w:rPr>
      </w:pPr>
    </w:p>
    <w:p w14:paraId="29AD5A43" w14:textId="77777777" w:rsidR="00A5507C" w:rsidRPr="00705DFC" w:rsidRDefault="00A5507C" w:rsidP="004E2616">
      <w:pPr>
        <w:spacing w:before="60" w:after="60"/>
        <w:ind w:firstLine="567"/>
        <w:rPr>
          <w:b/>
          <w:bCs/>
          <w:sz w:val="28"/>
          <w:szCs w:val="28"/>
          <w:lang w:val="es-ES"/>
        </w:rPr>
      </w:pPr>
    </w:p>
    <w:p w14:paraId="60B9DF02" w14:textId="7BF65995" w:rsidR="00A33153" w:rsidRPr="00705DFC" w:rsidRDefault="00A33153" w:rsidP="00E76B14">
      <w:pPr>
        <w:spacing w:after="160" w:line="259" w:lineRule="auto"/>
        <w:jc w:val="left"/>
        <w:rPr>
          <w:vanish/>
          <w:sz w:val="28"/>
          <w:szCs w:val="28"/>
          <w:lang w:val="vi-VN"/>
        </w:rPr>
      </w:pPr>
      <w:bookmarkStart w:id="0" w:name="RANGE!A1:I8"/>
      <w:bookmarkEnd w:id="0"/>
    </w:p>
    <w:sectPr w:rsidR="00A33153" w:rsidRPr="00705DFC"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1044" w14:textId="77777777" w:rsidR="00680B40" w:rsidRDefault="00680B40" w:rsidP="0005772F">
      <w:r>
        <w:separator/>
      </w:r>
    </w:p>
  </w:endnote>
  <w:endnote w:type="continuationSeparator" w:id="0">
    <w:p w14:paraId="01403881" w14:textId="77777777" w:rsidR="00680B40" w:rsidRDefault="00680B4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8E013A" w:rsidRDefault="008E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01F2" w14:textId="77777777" w:rsidR="00680B40" w:rsidRDefault="00680B40" w:rsidP="0005772F">
      <w:r>
        <w:separator/>
      </w:r>
    </w:p>
  </w:footnote>
  <w:footnote w:type="continuationSeparator" w:id="0">
    <w:p w14:paraId="3D3DCB63" w14:textId="77777777" w:rsidR="00680B40" w:rsidRDefault="00680B4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610743100">
    <w:abstractNumId w:val="12"/>
  </w:num>
  <w:num w:numId="2" w16cid:durableId="630743864">
    <w:abstractNumId w:val="16"/>
  </w:num>
  <w:num w:numId="3" w16cid:durableId="1007946282">
    <w:abstractNumId w:val="33"/>
  </w:num>
  <w:num w:numId="4" w16cid:durableId="1715344489">
    <w:abstractNumId w:val="6"/>
  </w:num>
  <w:num w:numId="5" w16cid:durableId="2068449923">
    <w:abstractNumId w:val="17"/>
  </w:num>
  <w:num w:numId="6" w16cid:durableId="2126388103">
    <w:abstractNumId w:val="25"/>
  </w:num>
  <w:num w:numId="7" w16cid:durableId="1079985155">
    <w:abstractNumId w:val="1"/>
  </w:num>
  <w:num w:numId="8" w16cid:durableId="820074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0418148">
    <w:abstractNumId w:val="24"/>
  </w:num>
  <w:num w:numId="10" w16cid:durableId="1543594174">
    <w:abstractNumId w:val="7"/>
  </w:num>
  <w:num w:numId="11" w16cid:durableId="1038815251">
    <w:abstractNumId w:val="26"/>
  </w:num>
  <w:num w:numId="12" w16cid:durableId="212237682">
    <w:abstractNumId w:val="31"/>
  </w:num>
  <w:num w:numId="13" w16cid:durableId="182400001">
    <w:abstractNumId w:val="10"/>
  </w:num>
  <w:num w:numId="14" w16cid:durableId="41635551">
    <w:abstractNumId w:val="22"/>
  </w:num>
  <w:num w:numId="15" w16cid:durableId="1424103161">
    <w:abstractNumId w:val="0"/>
  </w:num>
  <w:num w:numId="16" w16cid:durableId="1797142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1936968">
    <w:abstractNumId w:val="4"/>
  </w:num>
  <w:num w:numId="18" w16cid:durableId="1538933701">
    <w:abstractNumId w:val="32"/>
  </w:num>
  <w:num w:numId="19" w16cid:durableId="1460030603">
    <w:abstractNumId w:val="3"/>
  </w:num>
  <w:num w:numId="20" w16cid:durableId="1361127390">
    <w:abstractNumId w:val="30"/>
  </w:num>
  <w:num w:numId="21" w16cid:durableId="1358966468">
    <w:abstractNumId w:val="20"/>
  </w:num>
  <w:num w:numId="22" w16cid:durableId="2062897343">
    <w:abstractNumId w:val="27"/>
  </w:num>
  <w:num w:numId="23" w16cid:durableId="1299458305">
    <w:abstractNumId w:val="15"/>
  </w:num>
  <w:num w:numId="24" w16cid:durableId="1310985028">
    <w:abstractNumId w:val="29"/>
  </w:num>
  <w:num w:numId="25" w16cid:durableId="1655833478">
    <w:abstractNumId w:val="13"/>
  </w:num>
  <w:num w:numId="26" w16cid:durableId="1159345993">
    <w:abstractNumId w:val="35"/>
  </w:num>
  <w:num w:numId="27" w16cid:durableId="592593333">
    <w:abstractNumId w:val="5"/>
  </w:num>
  <w:num w:numId="28" w16cid:durableId="1499492343">
    <w:abstractNumId w:val="23"/>
  </w:num>
  <w:num w:numId="29" w16cid:durableId="1768769002">
    <w:abstractNumId w:val="19"/>
  </w:num>
  <w:num w:numId="30" w16cid:durableId="1740666807">
    <w:abstractNumId w:val="14"/>
  </w:num>
  <w:num w:numId="31" w16cid:durableId="1297947502">
    <w:abstractNumId w:val="21"/>
  </w:num>
  <w:num w:numId="32" w16cid:durableId="1001811196">
    <w:abstractNumId w:val="2"/>
  </w:num>
  <w:num w:numId="33" w16cid:durableId="820804147">
    <w:abstractNumId w:val="8"/>
  </w:num>
  <w:num w:numId="34" w16cid:durableId="9110141">
    <w:abstractNumId w:val="34"/>
  </w:num>
  <w:num w:numId="35" w16cid:durableId="1141993736">
    <w:abstractNumId w:val="9"/>
  </w:num>
  <w:num w:numId="36" w16cid:durableId="1495955380">
    <w:abstractNumId w:val="18"/>
    <w:lvlOverride w:ilvl="0">
      <w:startOverride w:val="1"/>
    </w:lvlOverride>
    <w:lvlOverride w:ilvl="1"/>
    <w:lvlOverride w:ilvl="2"/>
    <w:lvlOverride w:ilvl="3"/>
    <w:lvlOverride w:ilvl="4"/>
    <w:lvlOverride w:ilvl="5"/>
    <w:lvlOverride w:ilvl="6"/>
    <w:lvlOverride w:ilvl="7"/>
    <w:lvlOverride w:ilvl="8"/>
  </w:num>
  <w:num w:numId="37" w16cid:durableId="2332426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6C3"/>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510E"/>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5199"/>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6B48"/>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521"/>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0D0"/>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B36"/>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5C7"/>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4AC"/>
    <w:rsid w:val="006749CF"/>
    <w:rsid w:val="00674CD3"/>
    <w:rsid w:val="00674EB0"/>
    <w:rsid w:val="006759EA"/>
    <w:rsid w:val="00675A18"/>
    <w:rsid w:val="00675A95"/>
    <w:rsid w:val="006765BF"/>
    <w:rsid w:val="006777CA"/>
    <w:rsid w:val="006778DE"/>
    <w:rsid w:val="00677DD0"/>
    <w:rsid w:val="0068066C"/>
    <w:rsid w:val="00680B40"/>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5DFC"/>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5ED8"/>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B28"/>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013A"/>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D2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856"/>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03D8"/>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07BBC"/>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91"/>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92E"/>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76B14"/>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6C47"/>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 w:val="53A60D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705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F7A0-626D-4C43-B618-430433C2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Quang, Nguyen Vu (Kv2)</cp:lastModifiedBy>
  <cp:revision>6</cp:revision>
  <cp:lastPrinted>2025-08-04T12:40:00Z</cp:lastPrinted>
  <dcterms:created xsi:type="dcterms:W3CDTF">2025-08-13T02:47:00Z</dcterms:created>
  <dcterms:modified xsi:type="dcterms:W3CDTF">2025-08-13T03:03:00Z</dcterms:modified>
</cp:coreProperties>
</file>