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DD" w:rsidRPr="002B59E7" w:rsidRDefault="00F729DD" w:rsidP="00F729DD">
      <w:pPr>
        <w:spacing w:before="120"/>
        <w:jc w:val="both"/>
      </w:pPr>
      <w:r w:rsidRPr="002B59E7">
        <w:rPr>
          <w:rStyle w:val="Bodytext2"/>
          <w:bCs w:val="0"/>
        </w:rPr>
        <w:t>Mục 3. Tiêu chuẩn đánh giá về kỹ thuật</w:t>
      </w:r>
    </w:p>
    <w:p w:rsidR="00F729DD" w:rsidRPr="002B59E7" w:rsidRDefault="00F729DD" w:rsidP="00F729DD">
      <w:pPr>
        <w:spacing w:before="120"/>
        <w:ind w:firstLine="567"/>
        <w:jc w:val="both"/>
        <w:rPr>
          <w:sz w:val="26"/>
          <w:szCs w:val="26"/>
          <w:lang w:val="pl-PL"/>
        </w:rPr>
      </w:pPr>
      <w:r w:rsidRPr="002B59E7">
        <w:rPr>
          <w:sz w:val="26"/>
          <w:szCs w:val="26"/>
        </w:rPr>
        <w:t xml:space="preserve">Sử dụng tiêu chí đạt, không đạt để đánh giá về kỹ thuật. E-HSDT được đánh giá là đáp ứng yêu cầu về kỹ thuật khi tất cả các tiêu chí đều được đánh giá là đạt </w:t>
      </w:r>
      <w:r w:rsidRPr="002B59E7">
        <w:rPr>
          <w:sz w:val="26"/>
          <w:szCs w:val="26"/>
          <w:lang w:val="pl-PL"/>
        </w:rPr>
        <w:t>với các nội dung trong bảng sau:</w:t>
      </w:r>
    </w:p>
    <w:p w:rsidR="00F729DD" w:rsidRPr="002B59E7" w:rsidRDefault="00F729DD" w:rsidP="00F729DD">
      <w:pPr>
        <w:spacing w:before="60" w:after="120"/>
        <w:ind w:left="360"/>
        <w:rPr>
          <w:b/>
          <w:sz w:val="26"/>
          <w:szCs w:val="26"/>
          <w:lang w:val="pl-PL"/>
        </w:rPr>
      </w:pPr>
      <w:r w:rsidRPr="002B59E7">
        <w:rPr>
          <w:b/>
          <w:sz w:val="26"/>
          <w:szCs w:val="26"/>
          <w:lang w:val="pl-PL"/>
        </w:rPr>
        <w:t>Bảng tiêu chuẩn đánh giá kỹ thuật</w:t>
      </w:r>
    </w:p>
    <w:tbl>
      <w:tblPr>
        <w:tblW w:w="5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1"/>
        <w:gridCol w:w="2298"/>
        <w:gridCol w:w="4619"/>
        <w:gridCol w:w="2071"/>
      </w:tblGrid>
      <w:tr w:rsidR="00F729DD" w:rsidRPr="002B59E7" w:rsidTr="00680E8B">
        <w:trPr>
          <w:trHeight w:val="20"/>
          <w:jc w:val="center"/>
        </w:trPr>
        <w:tc>
          <w:tcPr>
            <w:tcW w:w="318" w:type="pc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  <w:b/>
              </w:rPr>
            </w:pPr>
            <w:r w:rsidRPr="002B59E7">
              <w:rPr>
                <w:rFonts w:eastAsia="Calibri"/>
                <w:b/>
              </w:rPr>
              <w:t>TT</w:t>
            </w:r>
          </w:p>
        </w:tc>
        <w:tc>
          <w:tcPr>
            <w:tcW w:w="3603" w:type="pct"/>
            <w:gridSpan w:val="2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  <w:b/>
              </w:rPr>
            </w:pPr>
            <w:r w:rsidRPr="002B59E7">
              <w:rPr>
                <w:rFonts w:eastAsia="Calibri"/>
                <w:b/>
              </w:rPr>
              <w:t>Nội dung đánh giá</w:t>
            </w:r>
          </w:p>
        </w:tc>
        <w:tc>
          <w:tcPr>
            <w:tcW w:w="1079" w:type="pc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  <w:b/>
              </w:rPr>
            </w:pPr>
            <w:r w:rsidRPr="002B59E7">
              <w:rPr>
                <w:rFonts w:eastAsia="Calibri"/>
                <w:b/>
              </w:rPr>
              <w:t>Sử dụng tiêu chí đạt, không đạt</w:t>
            </w:r>
          </w:p>
        </w:tc>
      </w:tr>
      <w:tr w:rsidR="00F729DD" w:rsidRPr="002B59E7" w:rsidTr="00680E8B">
        <w:trPr>
          <w:trHeight w:val="20"/>
          <w:jc w:val="center"/>
        </w:trPr>
        <w:tc>
          <w:tcPr>
            <w:tcW w:w="318" w:type="pct"/>
            <w:vMerge w:val="restar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1</w:t>
            </w:r>
          </w:p>
        </w:tc>
        <w:tc>
          <w:tcPr>
            <w:tcW w:w="1197" w:type="pct"/>
            <w:vMerge w:val="restart"/>
            <w:vAlign w:val="center"/>
          </w:tcPr>
          <w:p w:rsidR="00F729DD" w:rsidRPr="002B59E7" w:rsidRDefault="00F729DD" w:rsidP="00680E8B">
            <w:r w:rsidRPr="002B59E7">
              <w:t>Xuất xứ và số lượng hàng hoá</w:t>
            </w:r>
          </w:p>
        </w:tc>
        <w:tc>
          <w:tcPr>
            <w:tcW w:w="2406" w:type="pct"/>
            <w:vAlign w:val="center"/>
          </w:tcPr>
          <w:p w:rsidR="00F729DD" w:rsidRPr="002B59E7" w:rsidRDefault="00F729DD" w:rsidP="00680E8B">
            <w:pPr>
              <w:tabs>
                <w:tab w:val="left" w:pos="720"/>
              </w:tabs>
              <w:outlineLvl w:val="8"/>
              <w:rPr>
                <w:rFonts w:eastAsia="Calibri"/>
                <w:bCs/>
                <w:iCs/>
              </w:rPr>
            </w:pPr>
            <w:r w:rsidRPr="002B59E7">
              <w:rPr>
                <w:rFonts w:eastAsia="Calibri"/>
                <w:bCs/>
                <w:iCs/>
              </w:rPr>
              <w:t xml:space="preserve">Đáp ứng đúng theo yêu cầu của </w:t>
            </w:r>
            <w:r w:rsidRPr="002B59E7">
              <w:rPr>
                <w:rFonts w:eastAsia="Calibri"/>
                <w:bCs/>
                <w:iCs/>
                <w:lang w:val="es-ES_tradnl"/>
              </w:rPr>
              <w:t>E-HSMT</w:t>
            </w:r>
          </w:p>
        </w:tc>
        <w:tc>
          <w:tcPr>
            <w:tcW w:w="1079" w:type="pc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Đạt</w:t>
            </w:r>
          </w:p>
        </w:tc>
      </w:tr>
      <w:tr w:rsidR="00F729DD" w:rsidRPr="002B59E7" w:rsidTr="00680E8B">
        <w:trPr>
          <w:trHeight w:val="20"/>
          <w:jc w:val="center"/>
        </w:trPr>
        <w:tc>
          <w:tcPr>
            <w:tcW w:w="318" w:type="pct"/>
            <w:vMerge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</w:p>
        </w:tc>
        <w:tc>
          <w:tcPr>
            <w:tcW w:w="1197" w:type="pct"/>
            <w:vMerge/>
            <w:vAlign w:val="center"/>
          </w:tcPr>
          <w:p w:rsidR="00F729DD" w:rsidRPr="002B59E7" w:rsidRDefault="00F729DD" w:rsidP="00680E8B">
            <w:pPr>
              <w:jc w:val="both"/>
              <w:rPr>
                <w:rFonts w:eastAsia="Calibri"/>
              </w:rPr>
            </w:pPr>
          </w:p>
        </w:tc>
        <w:tc>
          <w:tcPr>
            <w:tcW w:w="2406" w:type="pct"/>
            <w:vAlign w:val="center"/>
          </w:tcPr>
          <w:p w:rsidR="00F729DD" w:rsidRPr="002B59E7" w:rsidRDefault="00F729DD" w:rsidP="00680E8B">
            <w:pPr>
              <w:rPr>
                <w:rFonts w:eastAsia="Calibri"/>
                <w:lang w:val="nl-NL"/>
              </w:rPr>
            </w:pPr>
            <w:r w:rsidRPr="002B59E7">
              <w:rPr>
                <w:rFonts w:eastAsia="Calibri"/>
              </w:rPr>
              <w:t>Không đáp ứng theo yêu cầu của E-HSMT</w:t>
            </w:r>
          </w:p>
        </w:tc>
        <w:tc>
          <w:tcPr>
            <w:tcW w:w="1079" w:type="pc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Không đạt</w:t>
            </w:r>
          </w:p>
        </w:tc>
      </w:tr>
      <w:tr w:rsidR="00F729DD" w:rsidRPr="002B59E7" w:rsidTr="00680E8B">
        <w:trPr>
          <w:trHeight w:val="360"/>
          <w:jc w:val="center"/>
        </w:trPr>
        <w:tc>
          <w:tcPr>
            <w:tcW w:w="318" w:type="pct"/>
            <w:vMerge w:val="restar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2</w:t>
            </w:r>
          </w:p>
        </w:tc>
        <w:tc>
          <w:tcPr>
            <w:tcW w:w="1197" w:type="pct"/>
            <w:vMerge w:val="restart"/>
            <w:vAlign w:val="center"/>
          </w:tcPr>
          <w:p w:rsidR="00F729DD" w:rsidRPr="002B59E7" w:rsidRDefault="00F729DD" w:rsidP="00680E8B">
            <w:pPr>
              <w:jc w:val="both"/>
              <w:rPr>
                <w:rFonts w:eastAsia="Calibri"/>
              </w:rPr>
            </w:pPr>
            <w:r w:rsidRPr="002B59E7">
              <w:rPr>
                <w:rFonts w:eastAsia="Calibri"/>
              </w:rPr>
              <w:t xml:space="preserve">Thông số kỹ thuật, ký mã hiệu hàng hóa </w:t>
            </w:r>
          </w:p>
        </w:tc>
        <w:tc>
          <w:tcPr>
            <w:tcW w:w="2406" w:type="pct"/>
            <w:vAlign w:val="center"/>
          </w:tcPr>
          <w:p w:rsidR="00F729DD" w:rsidRPr="002B59E7" w:rsidRDefault="00F729DD" w:rsidP="00680E8B">
            <w:pPr>
              <w:tabs>
                <w:tab w:val="left" w:pos="720"/>
              </w:tabs>
              <w:outlineLvl w:val="8"/>
              <w:rPr>
                <w:rFonts w:eastAsia="Calibri"/>
                <w:bCs/>
                <w:iCs/>
              </w:rPr>
            </w:pPr>
            <w:r w:rsidRPr="002B59E7">
              <w:rPr>
                <w:rFonts w:eastAsia="Calibri"/>
                <w:bCs/>
                <w:iCs/>
              </w:rPr>
              <w:t xml:space="preserve">Đáp ứng đúng theo yêu cầu của </w:t>
            </w:r>
            <w:r w:rsidRPr="002B59E7">
              <w:rPr>
                <w:rFonts w:eastAsia="Calibri"/>
                <w:bCs/>
                <w:iCs/>
                <w:lang w:val="es-ES_tradnl"/>
              </w:rPr>
              <w:t>E-HSMT</w:t>
            </w:r>
          </w:p>
        </w:tc>
        <w:tc>
          <w:tcPr>
            <w:tcW w:w="1079" w:type="pc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Đạt</w:t>
            </w:r>
          </w:p>
        </w:tc>
      </w:tr>
      <w:tr w:rsidR="00F729DD" w:rsidRPr="002B59E7" w:rsidTr="00680E8B">
        <w:trPr>
          <w:trHeight w:val="20"/>
          <w:jc w:val="center"/>
        </w:trPr>
        <w:tc>
          <w:tcPr>
            <w:tcW w:w="318" w:type="pct"/>
            <w:vMerge/>
            <w:vAlign w:val="center"/>
          </w:tcPr>
          <w:p w:rsidR="00F729DD" w:rsidRPr="002B59E7" w:rsidRDefault="00F729DD" w:rsidP="00680E8B">
            <w:pPr>
              <w:rPr>
                <w:rFonts w:eastAsia="Calibri"/>
              </w:rPr>
            </w:pPr>
          </w:p>
        </w:tc>
        <w:tc>
          <w:tcPr>
            <w:tcW w:w="1197" w:type="pct"/>
            <w:vMerge/>
            <w:vAlign w:val="center"/>
          </w:tcPr>
          <w:p w:rsidR="00F729DD" w:rsidRPr="002B59E7" w:rsidRDefault="00F729DD" w:rsidP="00680E8B">
            <w:pPr>
              <w:rPr>
                <w:rFonts w:eastAsia="Calibri"/>
              </w:rPr>
            </w:pPr>
          </w:p>
        </w:tc>
        <w:tc>
          <w:tcPr>
            <w:tcW w:w="2406" w:type="pct"/>
            <w:vAlign w:val="center"/>
          </w:tcPr>
          <w:p w:rsidR="00F729DD" w:rsidRPr="002B59E7" w:rsidRDefault="00F729DD" w:rsidP="00680E8B">
            <w:pPr>
              <w:rPr>
                <w:rFonts w:eastAsia="Calibri"/>
                <w:lang w:val="nl-NL"/>
              </w:rPr>
            </w:pPr>
            <w:r w:rsidRPr="002B59E7">
              <w:rPr>
                <w:rFonts w:eastAsia="Calibri"/>
              </w:rPr>
              <w:t>Không đáp ứng theo yêu cầu của E-HSMT</w:t>
            </w:r>
          </w:p>
        </w:tc>
        <w:tc>
          <w:tcPr>
            <w:tcW w:w="1079" w:type="pc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Không đạt</w:t>
            </w:r>
          </w:p>
        </w:tc>
      </w:tr>
      <w:tr w:rsidR="00F729DD" w:rsidRPr="002B59E7" w:rsidTr="00680E8B">
        <w:trPr>
          <w:trHeight w:val="20"/>
          <w:jc w:val="center"/>
        </w:trPr>
        <w:tc>
          <w:tcPr>
            <w:tcW w:w="318" w:type="pct"/>
            <w:vMerge w:val="restar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3</w:t>
            </w:r>
          </w:p>
        </w:tc>
        <w:tc>
          <w:tcPr>
            <w:tcW w:w="1197" w:type="pct"/>
            <w:vMerge w:val="restart"/>
            <w:vAlign w:val="center"/>
          </w:tcPr>
          <w:p w:rsidR="00F729DD" w:rsidRPr="002B59E7" w:rsidRDefault="00F729DD" w:rsidP="00680E8B">
            <w:pPr>
              <w:rPr>
                <w:rFonts w:eastAsia="Calibri"/>
              </w:rPr>
            </w:pPr>
            <w:r w:rsidRPr="002B59E7">
              <w:rPr>
                <w:rFonts w:eastAsia="Calibri"/>
              </w:rPr>
              <w:t>Tài liệu kỹ thuật và các chứng chỉ</w:t>
            </w:r>
            <w:r w:rsidRPr="002B59E7">
              <w:t xml:space="preserve"> </w:t>
            </w:r>
            <w:r w:rsidRPr="002B59E7">
              <w:rPr>
                <w:rFonts w:eastAsia="Calibri"/>
              </w:rPr>
              <w:t>kèm theo E-HSDT</w:t>
            </w:r>
          </w:p>
        </w:tc>
        <w:tc>
          <w:tcPr>
            <w:tcW w:w="2406" w:type="pct"/>
            <w:vAlign w:val="center"/>
          </w:tcPr>
          <w:p w:rsidR="00F729DD" w:rsidRPr="002B59E7" w:rsidRDefault="00F729DD" w:rsidP="00680E8B">
            <w:pPr>
              <w:tabs>
                <w:tab w:val="left" w:pos="720"/>
              </w:tabs>
              <w:outlineLvl w:val="8"/>
              <w:rPr>
                <w:rFonts w:eastAsia="Calibri"/>
                <w:bCs/>
                <w:iCs/>
              </w:rPr>
            </w:pPr>
            <w:r w:rsidRPr="002B59E7">
              <w:rPr>
                <w:rFonts w:eastAsia="Calibri"/>
                <w:bCs/>
                <w:iCs/>
              </w:rPr>
              <w:t xml:space="preserve">Đáp ứng đúng theo yêu cầu của </w:t>
            </w:r>
            <w:r w:rsidRPr="002B59E7">
              <w:rPr>
                <w:rFonts w:eastAsia="Calibri"/>
                <w:bCs/>
                <w:iCs/>
                <w:lang w:val="es-ES_tradnl"/>
              </w:rPr>
              <w:t>E-HSMT</w:t>
            </w:r>
          </w:p>
        </w:tc>
        <w:tc>
          <w:tcPr>
            <w:tcW w:w="1079" w:type="pc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Đạt</w:t>
            </w:r>
          </w:p>
        </w:tc>
      </w:tr>
      <w:tr w:rsidR="00F729DD" w:rsidRPr="002B59E7" w:rsidTr="00680E8B">
        <w:trPr>
          <w:trHeight w:val="20"/>
          <w:jc w:val="center"/>
        </w:trPr>
        <w:tc>
          <w:tcPr>
            <w:tcW w:w="318" w:type="pct"/>
            <w:vMerge/>
            <w:vAlign w:val="center"/>
          </w:tcPr>
          <w:p w:rsidR="00F729DD" w:rsidRPr="002B59E7" w:rsidRDefault="00F729DD" w:rsidP="00680E8B">
            <w:pPr>
              <w:rPr>
                <w:rFonts w:eastAsia="Calibri"/>
              </w:rPr>
            </w:pPr>
          </w:p>
        </w:tc>
        <w:tc>
          <w:tcPr>
            <w:tcW w:w="1197" w:type="pct"/>
            <w:vMerge/>
            <w:vAlign w:val="center"/>
          </w:tcPr>
          <w:p w:rsidR="00F729DD" w:rsidRPr="002B59E7" w:rsidRDefault="00F729DD" w:rsidP="00680E8B">
            <w:pPr>
              <w:rPr>
                <w:rFonts w:eastAsia="Calibri"/>
              </w:rPr>
            </w:pPr>
          </w:p>
        </w:tc>
        <w:tc>
          <w:tcPr>
            <w:tcW w:w="2406" w:type="pct"/>
            <w:vAlign w:val="center"/>
          </w:tcPr>
          <w:p w:rsidR="00F729DD" w:rsidRPr="002B59E7" w:rsidRDefault="00F729DD" w:rsidP="00680E8B">
            <w:pPr>
              <w:rPr>
                <w:rFonts w:eastAsia="Calibri"/>
                <w:lang w:val="nl-NL"/>
              </w:rPr>
            </w:pPr>
            <w:r w:rsidRPr="002B59E7">
              <w:rPr>
                <w:rFonts w:eastAsia="Calibri"/>
              </w:rPr>
              <w:t>Không đáp ứng theo yêu cầu của E-HSMT</w:t>
            </w:r>
          </w:p>
        </w:tc>
        <w:tc>
          <w:tcPr>
            <w:tcW w:w="1079" w:type="pc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Không đạt</w:t>
            </w:r>
          </w:p>
        </w:tc>
      </w:tr>
      <w:tr w:rsidR="00F729DD" w:rsidRPr="002B59E7" w:rsidTr="00680E8B">
        <w:trPr>
          <w:trHeight w:val="20"/>
          <w:jc w:val="center"/>
        </w:trPr>
        <w:tc>
          <w:tcPr>
            <w:tcW w:w="318" w:type="pct"/>
            <w:vMerge w:val="restar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4</w:t>
            </w:r>
          </w:p>
        </w:tc>
        <w:tc>
          <w:tcPr>
            <w:tcW w:w="1197" w:type="pct"/>
            <w:vMerge w:val="restart"/>
            <w:vAlign w:val="center"/>
          </w:tcPr>
          <w:p w:rsidR="00F729DD" w:rsidRPr="002B59E7" w:rsidRDefault="00F729DD" w:rsidP="00680E8B">
            <w:pPr>
              <w:rPr>
                <w:rFonts w:eastAsia="Calibri"/>
              </w:rPr>
            </w:pPr>
            <w:r w:rsidRPr="002B59E7">
              <w:rPr>
                <w:rFonts w:eastAsia="Calibri"/>
              </w:rPr>
              <w:t>Các cam kết và yêu cầu riêng</w:t>
            </w:r>
          </w:p>
        </w:tc>
        <w:tc>
          <w:tcPr>
            <w:tcW w:w="2406" w:type="pct"/>
            <w:vAlign w:val="center"/>
          </w:tcPr>
          <w:p w:rsidR="00F729DD" w:rsidRPr="002B59E7" w:rsidRDefault="00F729DD" w:rsidP="00680E8B">
            <w:pPr>
              <w:tabs>
                <w:tab w:val="left" w:pos="720"/>
              </w:tabs>
              <w:outlineLvl w:val="8"/>
              <w:rPr>
                <w:rFonts w:eastAsia="Calibri"/>
                <w:bCs/>
                <w:iCs/>
              </w:rPr>
            </w:pPr>
            <w:r w:rsidRPr="002B59E7">
              <w:rPr>
                <w:rFonts w:eastAsia="Calibri"/>
                <w:bCs/>
                <w:iCs/>
              </w:rPr>
              <w:t xml:space="preserve">Đáp ứng đúng theo yêu cầu của </w:t>
            </w:r>
            <w:r w:rsidRPr="002B59E7">
              <w:rPr>
                <w:rFonts w:eastAsia="Calibri"/>
                <w:bCs/>
                <w:iCs/>
                <w:lang w:val="es-ES_tradnl"/>
              </w:rPr>
              <w:t>E-HSMT</w:t>
            </w:r>
          </w:p>
        </w:tc>
        <w:tc>
          <w:tcPr>
            <w:tcW w:w="1079" w:type="pc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Đạt</w:t>
            </w:r>
          </w:p>
        </w:tc>
      </w:tr>
      <w:tr w:rsidR="00F729DD" w:rsidRPr="002B59E7" w:rsidTr="00680E8B">
        <w:trPr>
          <w:trHeight w:val="20"/>
          <w:jc w:val="center"/>
        </w:trPr>
        <w:tc>
          <w:tcPr>
            <w:tcW w:w="318" w:type="pct"/>
            <w:vMerge/>
            <w:vAlign w:val="center"/>
          </w:tcPr>
          <w:p w:rsidR="00F729DD" w:rsidRPr="002B59E7" w:rsidRDefault="00F729DD" w:rsidP="00680E8B">
            <w:pPr>
              <w:rPr>
                <w:rFonts w:eastAsia="Calibri"/>
              </w:rPr>
            </w:pPr>
          </w:p>
        </w:tc>
        <w:tc>
          <w:tcPr>
            <w:tcW w:w="1197" w:type="pct"/>
            <w:vMerge/>
            <w:vAlign w:val="center"/>
          </w:tcPr>
          <w:p w:rsidR="00F729DD" w:rsidRPr="002B59E7" w:rsidRDefault="00F729DD" w:rsidP="00680E8B">
            <w:pPr>
              <w:rPr>
                <w:rFonts w:eastAsia="Calibri"/>
              </w:rPr>
            </w:pPr>
          </w:p>
        </w:tc>
        <w:tc>
          <w:tcPr>
            <w:tcW w:w="2406" w:type="pct"/>
            <w:vAlign w:val="center"/>
          </w:tcPr>
          <w:p w:rsidR="00F729DD" w:rsidRPr="002B59E7" w:rsidRDefault="00F729DD" w:rsidP="00680E8B">
            <w:pPr>
              <w:rPr>
                <w:rFonts w:eastAsia="Calibri"/>
                <w:lang w:val="nl-NL"/>
              </w:rPr>
            </w:pPr>
            <w:r w:rsidRPr="002B59E7">
              <w:rPr>
                <w:rFonts w:eastAsia="Calibri"/>
              </w:rPr>
              <w:t>Không đáp ứng theo yêu cầu của E-HSMT</w:t>
            </w:r>
          </w:p>
        </w:tc>
        <w:tc>
          <w:tcPr>
            <w:tcW w:w="1079" w:type="pc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Không đạt</w:t>
            </w:r>
          </w:p>
        </w:tc>
      </w:tr>
      <w:tr w:rsidR="00F729DD" w:rsidRPr="002B59E7" w:rsidTr="00680E8B">
        <w:trPr>
          <w:trHeight w:val="20"/>
          <w:jc w:val="center"/>
        </w:trPr>
        <w:tc>
          <w:tcPr>
            <w:tcW w:w="318" w:type="pct"/>
            <w:vMerge w:val="restar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  <w:lang w:val="nl-NL"/>
              </w:rPr>
            </w:pPr>
            <w:r w:rsidRPr="002B59E7">
              <w:rPr>
                <w:rFonts w:eastAsia="Calibri"/>
                <w:lang w:val="nl-NL"/>
              </w:rPr>
              <w:t>5</w:t>
            </w:r>
          </w:p>
        </w:tc>
        <w:tc>
          <w:tcPr>
            <w:tcW w:w="1197" w:type="pct"/>
            <w:vMerge w:val="restart"/>
            <w:vAlign w:val="center"/>
          </w:tcPr>
          <w:p w:rsidR="00F729DD" w:rsidRPr="002B59E7" w:rsidRDefault="00F729DD" w:rsidP="00680E8B">
            <w:pPr>
              <w:rPr>
                <w:rFonts w:eastAsia="Calibri"/>
              </w:rPr>
            </w:pPr>
            <w:r w:rsidRPr="002B59E7">
              <w:rPr>
                <w:rFonts w:eastAsia="Calibri"/>
                <w:lang w:val="nl-NL"/>
              </w:rPr>
              <w:t>Bảo hành</w:t>
            </w:r>
          </w:p>
        </w:tc>
        <w:tc>
          <w:tcPr>
            <w:tcW w:w="2406" w:type="pct"/>
            <w:vAlign w:val="center"/>
          </w:tcPr>
          <w:p w:rsidR="00F729DD" w:rsidRPr="002B59E7" w:rsidRDefault="00F729DD" w:rsidP="00680E8B">
            <w:pPr>
              <w:tabs>
                <w:tab w:val="left" w:pos="720"/>
              </w:tabs>
              <w:outlineLvl w:val="8"/>
              <w:rPr>
                <w:rFonts w:eastAsia="Calibri"/>
                <w:bCs/>
                <w:iCs/>
              </w:rPr>
            </w:pPr>
            <w:r w:rsidRPr="002B59E7">
              <w:rPr>
                <w:rFonts w:eastAsia="Calibri"/>
                <w:bCs/>
                <w:iCs/>
              </w:rPr>
              <w:t xml:space="preserve">Đáp ứng đúng theo yêu cầu của </w:t>
            </w:r>
            <w:r w:rsidRPr="002B59E7">
              <w:rPr>
                <w:rFonts w:eastAsia="Calibri"/>
                <w:bCs/>
                <w:iCs/>
                <w:lang w:val="es-ES_tradnl"/>
              </w:rPr>
              <w:t>E-HSMT</w:t>
            </w:r>
          </w:p>
        </w:tc>
        <w:tc>
          <w:tcPr>
            <w:tcW w:w="1079" w:type="pc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Đạt</w:t>
            </w:r>
          </w:p>
        </w:tc>
      </w:tr>
      <w:tr w:rsidR="00F729DD" w:rsidRPr="002B59E7" w:rsidTr="00680E8B">
        <w:trPr>
          <w:trHeight w:val="20"/>
          <w:jc w:val="center"/>
        </w:trPr>
        <w:tc>
          <w:tcPr>
            <w:tcW w:w="318" w:type="pct"/>
            <w:vMerge/>
            <w:vAlign w:val="center"/>
          </w:tcPr>
          <w:p w:rsidR="00F729DD" w:rsidRPr="002B59E7" w:rsidRDefault="00F729DD" w:rsidP="00680E8B">
            <w:pPr>
              <w:rPr>
                <w:rFonts w:eastAsia="Calibri"/>
                <w:lang w:val="nl-NL"/>
              </w:rPr>
            </w:pPr>
          </w:p>
        </w:tc>
        <w:tc>
          <w:tcPr>
            <w:tcW w:w="1197" w:type="pct"/>
            <w:vMerge/>
            <w:vAlign w:val="center"/>
          </w:tcPr>
          <w:p w:rsidR="00F729DD" w:rsidRPr="002B59E7" w:rsidRDefault="00F729DD" w:rsidP="00680E8B">
            <w:pPr>
              <w:rPr>
                <w:rFonts w:eastAsia="Calibri"/>
                <w:lang w:val="nl-NL"/>
              </w:rPr>
            </w:pPr>
          </w:p>
        </w:tc>
        <w:tc>
          <w:tcPr>
            <w:tcW w:w="2406" w:type="pct"/>
            <w:vAlign w:val="center"/>
          </w:tcPr>
          <w:p w:rsidR="00F729DD" w:rsidRPr="002B59E7" w:rsidRDefault="00F729DD" w:rsidP="00680E8B">
            <w:pPr>
              <w:rPr>
                <w:rFonts w:eastAsia="Calibri"/>
                <w:lang w:val="nl-NL"/>
              </w:rPr>
            </w:pPr>
            <w:r w:rsidRPr="002B59E7">
              <w:rPr>
                <w:rFonts w:eastAsia="Calibri"/>
              </w:rPr>
              <w:t>Không đáp ứng theo yêu cầu của E-HSMT</w:t>
            </w:r>
          </w:p>
        </w:tc>
        <w:tc>
          <w:tcPr>
            <w:tcW w:w="1079" w:type="pc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Không đạt</w:t>
            </w:r>
          </w:p>
        </w:tc>
      </w:tr>
      <w:tr w:rsidR="00F729DD" w:rsidRPr="002B59E7" w:rsidTr="00680E8B">
        <w:trPr>
          <w:trHeight w:val="20"/>
          <w:jc w:val="center"/>
        </w:trPr>
        <w:tc>
          <w:tcPr>
            <w:tcW w:w="318" w:type="pct"/>
            <w:vMerge w:val="restar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  <w:lang w:val="nl-NL"/>
              </w:rPr>
            </w:pPr>
            <w:r w:rsidRPr="002B59E7">
              <w:rPr>
                <w:rFonts w:eastAsia="Calibri"/>
                <w:lang w:val="nl-NL"/>
              </w:rPr>
              <w:t>6</w:t>
            </w:r>
          </w:p>
        </w:tc>
        <w:tc>
          <w:tcPr>
            <w:tcW w:w="1197" w:type="pct"/>
            <w:vMerge w:val="restart"/>
            <w:vAlign w:val="center"/>
          </w:tcPr>
          <w:p w:rsidR="00F729DD" w:rsidRPr="002B59E7" w:rsidRDefault="00F729DD" w:rsidP="00680E8B">
            <w:pPr>
              <w:rPr>
                <w:rFonts w:eastAsia="Calibri"/>
                <w:lang w:val="nl-NL"/>
              </w:rPr>
            </w:pPr>
            <w:r w:rsidRPr="002B59E7">
              <w:rPr>
                <w:rFonts w:eastAsia="Calibri"/>
              </w:rPr>
              <w:t>Tiến độ cấp hàng</w:t>
            </w:r>
          </w:p>
        </w:tc>
        <w:tc>
          <w:tcPr>
            <w:tcW w:w="2406" w:type="pct"/>
            <w:vAlign w:val="center"/>
          </w:tcPr>
          <w:p w:rsidR="00F729DD" w:rsidRPr="002B59E7" w:rsidRDefault="00F729DD" w:rsidP="00680E8B">
            <w:pPr>
              <w:rPr>
                <w:rFonts w:eastAsia="Calibri"/>
                <w:lang w:val="nl-NL"/>
              </w:rPr>
            </w:pPr>
            <w:r w:rsidRPr="002B59E7">
              <w:rPr>
                <w:rFonts w:eastAsia="Calibri"/>
                <w:lang w:val="nl-NL"/>
              </w:rPr>
              <w:t>Đáp ứng đúng theo yêu cầu của E-HSMT</w:t>
            </w:r>
          </w:p>
        </w:tc>
        <w:tc>
          <w:tcPr>
            <w:tcW w:w="1079" w:type="pc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Đạt</w:t>
            </w:r>
          </w:p>
        </w:tc>
      </w:tr>
      <w:tr w:rsidR="00F729DD" w:rsidRPr="002B59E7" w:rsidTr="00680E8B">
        <w:trPr>
          <w:trHeight w:val="20"/>
          <w:jc w:val="center"/>
        </w:trPr>
        <w:tc>
          <w:tcPr>
            <w:tcW w:w="318" w:type="pct"/>
            <w:vMerge/>
            <w:vAlign w:val="center"/>
          </w:tcPr>
          <w:p w:rsidR="00F729DD" w:rsidRPr="002B59E7" w:rsidRDefault="00F729DD" w:rsidP="00680E8B">
            <w:pPr>
              <w:rPr>
                <w:rFonts w:eastAsia="Calibri"/>
                <w:lang w:val="nl-NL"/>
              </w:rPr>
            </w:pPr>
          </w:p>
        </w:tc>
        <w:tc>
          <w:tcPr>
            <w:tcW w:w="1197" w:type="pct"/>
            <w:vMerge/>
            <w:vAlign w:val="center"/>
          </w:tcPr>
          <w:p w:rsidR="00F729DD" w:rsidRPr="002B59E7" w:rsidRDefault="00F729DD" w:rsidP="00680E8B">
            <w:pPr>
              <w:rPr>
                <w:rFonts w:eastAsia="Calibri"/>
                <w:lang w:val="nl-NL"/>
              </w:rPr>
            </w:pPr>
          </w:p>
        </w:tc>
        <w:tc>
          <w:tcPr>
            <w:tcW w:w="2406" w:type="pct"/>
            <w:vAlign w:val="center"/>
          </w:tcPr>
          <w:p w:rsidR="00F729DD" w:rsidRPr="002B59E7" w:rsidRDefault="00F729DD" w:rsidP="00680E8B">
            <w:pPr>
              <w:rPr>
                <w:rFonts w:eastAsia="Calibri"/>
                <w:lang w:val="nl-NL"/>
              </w:rPr>
            </w:pPr>
            <w:r w:rsidRPr="002B59E7">
              <w:rPr>
                <w:rFonts w:eastAsia="Calibri"/>
                <w:lang w:val="nl-NL"/>
              </w:rPr>
              <w:t>Không đáp ứng theo yêu cầu của E-HSMT</w:t>
            </w:r>
          </w:p>
        </w:tc>
        <w:tc>
          <w:tcPr>
            <w:tcW w:w="1079" w:type="pct"/>
            <w:vAlign w:val="center"/>
          </w:tcPr>
          <w:p w:rsidR="00F729DD" w:rsidRPr="002B59E7" w:rsidRDefault="00F729DD" w:rsidP="00680E8B">
            <w:pPr>
              <w:jc w:val="center"/>
              <w:rPr>
                <w:rFonts w:eastAsia="Calibri"/>
              </w:rPr>
            </w:pPr>
            <w:r w:rsidRPr="002B59E7">
              <w:rPr>
                <w:rFonts w:eastAsia="Calibri"/>
              </w:rPr>
              <w:t>Không đạt</w:t>
            </w:r>
          </w:p>
        </w:tc>
      </w:tr>
    </w:tbl>
    <w:p w:rsidR="00F729DD" w:rsidRPr="002B59E7" w:rsidRDefault="00F729DD" w:rsidP="00F729DD">
      <w:pPr>
        <w:pStyle w:val="N"/>
        <w:shd w:val="clear" w:color="auto" w:fill="FFFFFF"/>
        <w:spacing w:before="60" w:after="0"/>
        <w:ind w:firstLine="284"/>
        <w:jc w:val="both"/>
      </w:pPr>
      <w:r w:rsidRPr="002B59E7">
        <w:t xml:space="preserve"> - Hàng hóa trong E-</w:t>
      </w:r>
      <w:r w:rsidRPr="002B59E7">
        <w:rPr>
          <w:lang w:val="vi-VN"/>
        </w:rPr>
        <w:t>HS</w:t>
      </w:r>
      <w:r w:rsidRPr="002B59E7">
        <w:rPr>
          <w:lang w:val="en-US"/>
        </w:rPr>
        <w:t>D</w:t>
      </w:r>
      <w:r w:rsidRPr="002B59E7">
        <w:t>T</w:t>
      </w:r>
      <w:r w:rsidRPr="002B59E7">
        <w:rPr>
          <w:lang w:val="vi-VN"/>
        </w:rPr>
        <w:t xml:space="preserve"> được đánh giá là đáp ứng yêu cầu về kỹ thuật khi</w:t>
      </w:r>
      <w:r w:rsidRPr="002B59E7">
        <w:t xml:space="preserve"> </w:t>
      </w:r>
      <w:r w:rsidRPr="002B59E7">
        <w:rPr>
          <w:lang w:val="vi-VN"/>
        </w:rPr>
        <w:t xml:space="preserve">các mục </w:t>
      </w:r>
      <w:r w:rsidRPr="002B59E7">
        <w:t>hàng hóa dự thầu được đánh giá là “Đạt” ở tất cả các tiêu chuẩn nêu trên;</w:t>
      </w:r>
    </w:p>
    <w:p w:rsidR="00F729DD" w:rsidRPr="002B59E7" w:rsidRDefault="00F729DD" w:rsidP="00F729DD">
      <w:pPr>
        <w:pStyle w:val="N"/>
        <w:shd w:val="clear" w:color="auto" w:fill="FFFFFF"/>
        <w:spacing w:before="60" w:after="0"/>
        <w:ind w:firstLine="284"/>
        <w:jc w:val="both"/>
      </w:pPr>
      <w:r w:rsidRPr="002B59E7">
        <w:t xml:space="preserve">- Trường hợp còn lại được đánh giá là “Không </w:t>
      </w:r>
      <w:r w:rsidRPr="002B59E7">
        <w:rPr>
          <w:lang w:val="vi-VN"/>
        </w:rPr>
        <w:t>đ</w:t>
      </w:r>
      <w:r w:rsidRPr="002B59E7">
        <w:t>ạt” yêu cầu về kỹ thuật và không được xem xét ở bước tiếp theo.</w:t>
      </w:r>
    </w:p>
    <w:p w:rsidR="000E1DB1" w:rsidRDefault="000E1DB1">
      <w:bookmarkStart w:id="0" w:name="_GoBack"/>
      <w:bookmarkEnd w:id="0"/>
    </w:p>
    <w:sectPr w:rsidR="000E1D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DD"/>
    <w:rsid w:val="000E1DB1"/>
    <w:rsid w:val="00F7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C8E226-D6D4-498B-A9AF-DF49743A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9D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">
    <w:name w:val="N"/>
    <w:basedOn w:val="BodyTextIndent"/>
    <w:link w:val="NChar"/>
    <w:rsid w:val="00F729DD"/>
    <w:pPr>
      <w:spacing w:after="40"/>
      <w:ind w:left="0" w:firstLine="567"/>
    </w:pPr>
    <w:rPr>
      <w:sz w:val="26"/>
      <w:szCs w:val="26"/>
      <w:lang w:val="pl-PL"/>
    </w:rPr>
  </w:style>
  <w:style w:type="character" w:customStyle="1" w:styleId="NChar">
    <w:name w:val="N Char"/>
    <w:link w:val="N"/>
    <w:rsid w:val="00F729DD"/>
    <w:rPr>
      <w:rFonts w:eastAsia="Times New Roman" w:cs="Times New Roman"/>
      <w:szCs w:val="26"/>
      <w:lang w:val="pl-PL"/>
    </w:rPr>
  </w:style>
  <w:style w:type="character" w:customStyle="1" w:styleId="Bodytext2">
    <w:name w:val="Body text (2)_"/>
    <w:link w:val="Bodytext21"/>
    <w:locked/>
    <w:rsid w:val="00F729DD"/>
    <w:rPr>
      <w:b/>
      <w:bCs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F729DD"/>
    <w:pPr>
      <w:widowControl w:val="0"/>
      <w:shd w:val="clear" w:color="auto" w:fill="FFFFFF"/>
      <w:spacing w:after="240" w:line="307" w:lineRule="exact"/>
      <w:ind w:hanging="720"/>
    </w:pPr>
    <w:rPr>
      <w:rFonts w:eastAsiaTheme="minorHAnsi" w:cstheme="minorBidi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29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29D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Khắc Phong</dc:creator>
  <cp:keywords/>
  <dc:description/>
  <cp:lastModifiedBy>Khắc Phong</cp:lastModifiedBy>
  <cp:revision>1</cp:revision>
  <dcterms:created xsi:type="dcterms:W3CDTF">2025-08-15T10:08:00Z</dcterms:created>
  <dcterms:modified xsi:type="dcterms:W3CDTF">2025-08-15T10:08:00Z</dcterms:modified>
</cp:coreProperties>
</file>