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9F9C" w14:textId="77777777" w:rsidR="001B2EFF" w:rsidRPr="00BB6BFB" w:rsidRDefault="001B2EFF" w:rsidP="001B2EFF">
      <w:pPr>
        <w:pStyle w:val="TOC1"/>
        <w:spacing w:line="264" w:lineRule="auto"/>
        <w:rPr>
          <w:sz w:val="26"/>
          <w:szCs w:val="26"/>
        </w:rPr>
      </w:pPr>
      <w:r w:rsidRPr="00BB6BFB">
        <w:rPr>
          <w:sz w:val="26"/>
          <w:szCs w:val="26"/>
        </w:rPr>
        <w:t xml:space="preserve">Mục </w:t>
      </w:r>
      <w:r w:rsidRPr="00BB6BFB">
        <w:rPr>
          <w:sz w:val="26"/>
          <w:szCs w:val="26"/>
          <w:lang w:val="pl-PL"/>
        </w:rPr>
        <w:t>3</w:t>
      </w:r>
      <w:r w:rsidRPr="00BB6BFB">
        <w:rPr>
          <w:sz w:val="26"/>
          <w:szCs w:val="26"/>
        </w:rPr>
        <w:t>. Tiêu chuẩn đánh giá về kỹ thuật</w:t>
      </w:r>
    </w:p>
    <w:p w14:paraId="43A1102B" w14:textId="77777777" w:rsidR="001B2EFF" w:rsidRPr="00BB6BFB" w:rsidRDefault="001B2EFF" w:rsidP="001B2EFF">
      <w:pPr>
        <w:spacing w:before="60"/>
        <w:ind w:firstLine="709"/>
        <w:rPr>
          <w:sz w:val="28"/>
          <w:szCs w:val="28"/>
          <w:lang w:val="vi-VN"/>
        </w:rPr>
      </w:pPr>
      <w:r w:rsidRPr="00BB6BFB">
        <w:rPr>
          <w:sz w:val="28"/>
          <w:szCs w:val="28"/>
          <w:lang w:val="vi-VN"/>
        </w:rPr>
        <w:t>Sử dụng tiêu chí đạt/không đạt để xây dựng tiêu chuẩn đánh giá về kỹ thuật.</w:t>
      </w:r>
    </w:p>
    <w:p w14:paraId="14F61C10" w14:textId="77777777" w:rsidR="001B2EFF" w:rsidRPr="00BB6BFB" w:rsidRDefault="001B2EFF" w:rsidP="001B2EFF">
      <w:pPr>
        <w:spacing w:before="60"/>
        <w:ind w:firstLine="709"/>
        <w:rPr>
          <w:rFonts w:eastAsia="Calibri"/>
          <w:spacing w:val="2"/>
          <w:sz w:val="28"/>
          <w:szCs w:val="28"/>
          <w:lang w:val="vi-VN"/>
        </w:rPr>
      </w:pPr>
      <w:r w:rsidRPr="00BB6BFB">
        <w:rPr>
          <w:rFonts w:eastAsia="Calibri"/>
          <w:spacing w:val="2"/>
          <w:sz w:val="28"/>
          <w:szCs w:val="28"/>
          <w:lang w:val="vi-VN"/>
        </w:rPr>
        <w:t xml:space="preserve">Việc xây dựng </w:t>
      </w:r>
      <w:r w:rsidRPr="00BB6BFB">
        <w:rPr>
          <w:rFonts w:eastAsia="Calibri"/>
          <w:sz w:val="28"/>
          <w:szCs w:val="28"/>
          <w:lang w:val="vi-VN"/>
        </w:rPr>
        <w:t>tiêu chuẩn đánh giá về kỹ thuật</w:t>
      </w:r>
      <w:r w:rsidRPr="00BB6BFB">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BB6BFB">
        <w:rPr>
          <w:lang w:val="vi-VN"/>
        </w:rPr>
        <w:t xml:space="preserve"> </w:t>
      </w:r>
      <w:r w:rsidRPr="00BB6BFB">
        <w:rPr>
          <w:rFonts w:eastAsia="Calibri"/>
          <w:spacing w:val="2"/>
          <w:sz w:val="28"/>
          <w:szCs w:val="28"/>
          <w:lang w:val="vi-VN"/>
        </w:rPr>
        <w:t xml:space="preserve">số 24/2024/NĐ-CP, </w:t>
      </w:r>
      <w:r w:rsidRPr="00BB6BFB">
        <w:rPr>
          <w:sz w:val="28"/>
          <w:szCs w:val="28"/>
          <w:lang w:val="vi-VN"/>
        </w:rPr>
        <w:t>chất lượng hàng hóa tương tự được công khai theo quy định tại Điều 18 của Nghị định số 24/2024/NĐ-CP (nếu có)</w:t>
      </w:r>
      <w:r w:rsidRPr="00BB6BFB" w:rsidDel="009A4DEF">
        <w:rPr>
          <w:rFonts w:eastAsia="Calibri"/>
          <w:spacing w:val="2"/>
          <w:sz w:val="28"/>
          <w:szCs w:val="28"/>
          <w:lang w:val="vi-VN"/>
        </w:rPr>
        <w:t xml:space="preserve"> </w:t>
      </w:r>
      <w:r w:rsidRPr="00BB6BFB">
        <w:rPr>
          <w:rFonts w:eastAsia="Calibri"/>
          <w:spacing w:val="2"/>
          <w:sz w:val="28"/>
          <w:szCs w:val="28"/>
          <w:lang w:val="vi-VN"/>
        </w:rPr>
        <w:t>và các yêu cầu khác nêu trong Chương V.</w:t>
      </w:r>
    </w:p>
    <w:p w14:paraId="409F4E81" w14:textId="77777777" w:rsidR="001B2EFF" w:rsidRPr="00BB6BFB" w:rsidRDefault="001B2EFF" w:rsidP="001B2EFF">
      <w:pPr>
        <w:spacing w:before="60"/>
        <w:ind w:firstLine="709"/>
        <w:rPr>
          <w:rFonts w:eastAsia="Calibri"/>
          <w:spacing w:val="2"/>
          <w:sz w:val="28"/>
          <w:szCs w:val="28"/>
          <w:lang w:val="vi-VN"/>
        </w:rPr>
      </w:pPr>
      <w:r w:rsidRPr="00BB6BFB">
        <w:rPr>
          <w:rFonts w:eastAsia="Calibri"/>
          <w:spacing w:val="2"/>
          <w:sz w:val="28"/>
          <w:szCs w:val="28"/>
          <w:lang w:val="vi-VN"/>
        </w:rPr>
        <w:t xml:space="preserve"> Căn cứ  lập E-HSMT làm cơ sở để đánh giá về kỹ thuật bao gồm:</w:t>
      </w:r>
    </w:p>
    <w:p w14:paraId="3A9389A6" w14:textId="77777777" w:rsidR="001B2EFF" w:rsidRPr="00BB6BFB" w:rsidRDefault="001B2EFF" w:rsidP="001B2EFF">
      <w:pPr>
        <w:widowControl w:val="0"/>
        <w:spacing w:before="60"/>
        <w:ind w:firstLine="709"/>
        <w:rPr>
          <w:sz w:val="28"/>
          <w:szCs w:val="28"/>
          <w:lang w:val="vi-VN"/>
        </w:rPr>
      </w:pPr>
      <w:r w:rsidRPr="00BB6BFB">
        <w:rPr>
          <w:sz w:val="28"/>
          <w:szCs w:val="28"/>
          <w:lang w:val="vi-VN"/>
        </w:rPr>
        <w:t>- Đặc tính, thông số kỹ thuật của hàng hóa, tiêu chuẩn sản xuất, tiêu chuẩn chế tạo và công nghệ;</w:t>
      </w:r>
    </w:p>
    <w:p w14:paraId="49147687"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Tính hợp lý và hiệu quả kinh tế của các giải pháp kỹ thuật, biện pháp tổ chức cung cấp, lắp đặt hàng hóa;</w:t>
      </w:r>
    </w:p>
    <w:p w14:paraId="3113EEFD"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Mức độ đáp ứng các yêu cầu về bảo hành, bảo trì: nhà thầu phải trình bày được kế hoạch cung cấp dịch vụ bảo hành, bảo trì;</w:t>
      </w:r>
    </w:p>
    <w:p w14:paraId="64C4207F"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531F9801"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Khả năng thích ứng về mặt địa lý, môi trường;</w:t>
      </w:r>
    </w:p>
    <w:p w14:paraId="7E173F78"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Tác động đối với môi trường và biện pháp giải quyết;</w:t>
      </w:r>
    </w:p>
    <w:p w14:paraId="5CEAC804"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Tiêu chí đấu thầu bền vững (nếu có);</w:t>
      </w:r>
    </w:p>
    <w:p w14:paraId="3608312C"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Các yếu tố về điều kiện thương mại, thời gian giao hàng, đào tạo chuyển giao công nghệ, cung cấp các dịch vụ sau bán hàng;</w:t>
      </w:r>
    </w:p>
    <w:p w14:paraId="73533827"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Tiến độ cung cấp hàng hóa;</w:t>
      </w:r>
    </w:p>
    <w:p w14:paraId="5A9E21D5"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Yếu tố thân thiện môi trường;</w:t>
      </w:r>
    </w:p>
    <w:p w14:paraId="7F84D758"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p w14:paraId="26464B8C" w14:textId="77777777" w:rsidR="001B2EFF" w:rsidRPr="00BB6BFB" w:rsidRDefault="001B2EFF" w:rsidP="001B2EFF">
      <w:pPr>
        <w:widowControl w:val="0"/>
        <w:tabs>
          <w:tab w:val="left" w:pos="851"/>
        </w:tabs>
        <w:spacing w:before="60"/>
        <w:ind w:firstLine="709"/>
        <w:rPr>
          <w:sz w:val="28"/>
          <w:szCs w:val="28"/>
          <w:lang w:val="vi-VN"/>
        </w:rPr>
      </w:pPr>
      <w:r w:rsidRPr="00BB6BFB">
        <w:rPr>
          <w:sz w:val="28"/>
          <w:szCs w:val="28"/>
          <w:lang w:val="vi-VN"/>
        </w:rPr>
        <w:t>- Các yếu tố cần thiết khác.</w:t>
      </w:r>
    </w:p>
    <w:p w14:paraId="71CD0802" w14:textId="77777777" w:rsidR="001B2EFF" w:rsidRPr="00BB6BFB" w:rsidRDefault="001B2EFF" w:rsidP="001B2EFF">
      <w:pPr>
        <w:spacing w:before="120" w:after="120" w:line="264" w:lineRule="auto"/>
        <w:ind w:firstLine="709"/>
        <w:rPr>
          <w:b/>
          <w:iCs/>
          <w:color w:val="000000"/>
          <w:sz w:val="28"/>
          <w:szCs w:val="28"/>
          <w:lang w:val="es-ES"/>
        </w:rPr>
      </w:pPr>
      <w:r w:rsidRPr="00BB6BFB">
        <w:rPr>
          <w:b/>
          <w:iCs/>
          <w:color w:val="000000"/>
          <w:sz w:val="28"/>
          <w:szCs w:val="28"/>
          <w:lang w:val="es-ES"/>
        </w:rPr>
        <w:t>3.2. Đánh giá theo phương pháp</w:t>
      </w:r>
      <w:r w:rsidRPr="00BB6BFB" w:rsidDel="00BE4476">
        <w:rPr>
          <w:b/>
          <w:iCs/>
          <w:color w:val="000000"/>
          <w:sz w:val="28"/>
          <w:szCs w:val="28"/>
          <w:lang w:val="es-ES"/>
        </w:rPr>
        <w:t xml:space="preserve"> </w:t>
      </w:r>
      <w:r w:rsidRPr="00BB6BFB">
        <w:rPr>
          <w:b/>
          <w:iCs/>
          <w:color w:val="000000"/>
          <w:sz w:val="28"/>
          <w:szCs w:val="28"/>
          <w:lang w:val="es-ES"/>
        </w:rPr>
        <w:t>đạt/không đạt:</w:t>
      </w:r>
    </w:p>
    <w:p w14:paraId="61B91FDF" w14:textId="77777777" w:rsidR="001B2EFF" w:rsidRPr="00BB6BFB" w:rsidRDefault="001B2EFF" w:rsidP="001B2EFF">
      <w:pPr>
        <w:spacing w:before="60"/>
        <w:ind w:firstLine="709"/>
        <w:rPr>
          <w:sz w:val="28"/>
          <w:szCs w:val="28"/>
          <w:lang w:val="es-ES"/>
        </w:rPr>
      </w:pPr>
      <w:r w:rsidRPr="00BB6BFB">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608A4A0" w14:textId="77777777" w:rsidR="001B2EFF" w:rsidRPr="00BB6BFB" w:rsidRDefault="001B2EFF" w:rsidP="001B2EFF">
      <w:pPr>
        <w:spacing w:before="60"/>
        <w:ind w:firstLine="709"/>
        <w:rPr>
          <w:sz w:val="28"/>
          <w:szCs w:val="28"/>
          <w:lang w:val="es-ES"/>
        </w:rPr>
      </w:pPr>
      <w:r w:rsidRPr="00BB6BFB">
        <w:rPr>
          <w:sz w:val="28"/>
          <w:szCs w:val="28"/>
          <w:lang w:val="es-ES"/>
        </w:rPr>
        <w:lastRenderedPageBreak/>
        <w:t xml:space="preserve">Tiêu chí tổng quát được đánh giá là đạt khi tất cả các tiêu chí chi tiết cơ bản được đánh giá là đạt và các tiêu chí chi tiết không cơ bản được đánh giá là đạt hoặc chấp nhận được. E-HSDT được đánh giá là đáp ứng yêu cầu về kỹ thuật khi có tất cả các tiêu chí tổng quát đều được đánh giá là đạt. </w:t>
      </w:r>
    </w:p>
    <w:p w14:paraId="64A05634" w14:textId="77777777" w:rsidR="001B2EFF" w:rsidRPr="00BB6BFB" w:rsidRDefault="001B2EFF" w:rsidP="001B2EFF">
      <w:pPr>
        <w:pStyle w:val="ListParagraph"/>
        <w:widowControl w:val="0"/>
        <w:numPr>
          <w:ilvl w:val="0"/>
          <w:numId w:val="1"/>
        </w:numPr>
        <w:spacing w:before="80" w:after="80" w:line="264" w:lineRule="auto"/>
        <w:ind w:left="0" w:firstLine="720"/>
        <w:rPr>
          <w:rFonts w:eastAsia="Calibri"/>
          <w:sz w:val="26"/>
          <w:szCs w:val="26"/>
          <w:lang w:val="es-ES"/>
        </w:rPr>
      </w:pPr>
      <w:r w:rsidRPr="00BB6BFB">
        <w:rPr>
          <w:lang w:val="es-ES"/>
        </w:rPr>
        <w:t>Gói thầu được chia thành các lô độc lập, nhà thầu có thể tham dự một hoặc nhiều lô. Việc đánh giá, xét thầu và trao thầu sẽ được thực hiện riêng biệt cho từng lô. Việc không đạt yêu cầu ở một lô không ảnh hưởng đến kết quả xét thầu của các lô còn lại</w:t>
      </w:r>
    </w:p>
    <w:p w14:paraId="7617FF0D" w14:textId="77777777" w:rsidR="001B2EFF" w:rsidRPr="00BB6BFB" w:rsidRDefault="001B2EFF" w:rsidP="001B2EFF">
      <w:pPr>
        <w:spacing w:before="60"/>
        <w:ind w:firstLine="709"/>
        <w:rPr>
          <w:sz w:val="28"/>
          <w:szCs w:val="28"/>
          <w:lang w:val="es-ES"/>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7842"/>
        <w:gridCol w:w="1270"/>
        <w:gridCol w:w="1127"/>
      </w:tblGrid>
      <w:tr w:rsidR="001B2EFF" w:rsidRPr="00BB6BFB" w14:paraId="3912FAC3" w14:textId="77777777" w:rsidTr="00EA0668">
        <w:tc>
          <w:tcPr>
            <w:tcW w:w="676" w:type="dxa"/>
            <w:vAlign w:val="center"/>
          </w:tcPr>
          <w:p w14:paraId="11A080B9" w14:textId="77777777" w:rsidR="001B2EFF" w:rsidRPr="00BB6BFB" w:rsidRDefault="001B2EFF" w:rsidP="00EA0668">
            <w:pPr>
              <w:jc w:val="center"/>
              <w:rPr>
                <w:rFonts w:eastAsia="Calibri"/>
                <w:b/>
                <w:bCs/>
                <w:color w:val="000000"/>
                <w:spacing w:val="2"/>
                <w:sz w:val="22"/>
                <w:szCs w:val="22"/>
                <w:lang w:val="vi-VN"/>
              </w:rPr>
            </w:pPr>
            <w:r w:rsidRPr="00BB6BFB">
              <w:rPr>
                <w:rFonts w:eastAsia="Calibri"/>
                <w:b/>
                <w:bCs/>
                <w:color w:val="000000"/>
                <w:spacing w:val="2"/>
                <w:sz w:val="22"/>
                <w:szCs w:val="22"/>
                <w:lang w:val="vi-VN"/>
              </w:rPr>
              <w:t>STT</w:t>
            </w:r>
          </w:p>
        </w:tc>
        <w:tc>
          <w:tcPr>
            <w:tcW w:w="7842" w:type="dxa"/>
            <w:vAlign w:val="center"/>
          </w:tcPr>
          <w:p w14:paraId="5576FB5E" w14:textId="77777777" w:rsidR="001B2EFF" w:rsidRPr="00BB6BFB" w:rsidRDefault="001B2EFF" w:rsidP="00EA0668">
            <w:pPr>
              <w:jc w:val="center"/>
              <w:rPr>
                <w:rFonts w:eastAsia="Calibri"/>
                <w:b/>
                <w:bCs/>
                <w:color w:val="000000"/>
                <w:spacing w:val="2"/>
                <w:sz w:val="22"/>
                <w:szCs w:val="22"/>
                <w:lang w:val="vi-VN"/>
              </w:rPr>
            </w:pPr>
            <w:r w:rsidRPr="00BB6BFB">
              <w:rPr>
                <w:rFonts w:eastAsia="Calibri"/>
                <w:b/>
                <w:bCs/>
                <w:color w:val="000000"/>
                <w:spacing w:val="2"/>
                <w:sz w:val="22"/>
                <w:szCs w:val="22"/>
                <w:lang w:val="vi-VN"/>
              </w:rPr>
              <w:t>Nội dung yêu cầu</w:t>
            </w:r>
          </w:p>
        </w:tc>
        <w:tc>
          <w:tcPr>
            <w:tcW w:w="1270" w:type="dxa"/>
            <w:vAlign w:val="center"/>
          </w:tcPr>
          <w:p w14:paraId="50962DE6" w14:textId="77777777" w:rsidR="001B2EFF" w:rsidRPr="00BB6BFB" w:rsidRDefault="001B2EFF" w:rsidP="00EA0668">
            <w:pPr>
              <w:jc w:val="center"/>
              <w:rPr>
                <w:rFonts w:eastAsia="Calibri"/>
                <w:b/>
                <w:bCs/>
                <w:color w:val="000000"/>
                <w:spacing w:val="2"/>
                <w:sz w:val="22"/>
                <w:szCs w:val="22"/>
                <w:lang w:val="vi-VN"/>
              </w:rPr>
            </w:pPr>
            <w:r w:rsidRPr="00BB6BFB">
              <w:rPr>
                <w:rFonts w:eastAsia="Calibri"/>
                <w:b/>
                <w:bCs/>
                <w:color w:val="000000"/>
                <w:spacing w:val="2"/>
                <w:sz w:val="22"/>
                <w:szCs w:val="22"/>
                <w:lang w:val="vi-VN"/>
              </w:rPr>
              <w:t>Mức độ đáp ứng</w:t>
            </w:r>
          </w:p>
        </w:tc>
        <w:tc>
          <w:tcPr>
            <w:tcW w:w="1127" w:type="dxa"/>
            <w:vAlign w:val="center"/>
          </w:tcPr>
          <w:p w14:paraId="2C6BA7D9" w14:textId="77777777" w:rsidR="001B2EFF" w:rsidRPr="00BB6BFB" w:rsidRDefault="001B2EFF" w:rsidP="00EA0668">
            <w:pPr>
              <w:jc w:val="center"/>
              <w:rPr>
                <w:rFonts w:eastAsia="Calibri"/>
                <w:b/>
                <w:bCs/>
                <w:color w:val="000000"/>
                <w:spacing w:val="2"/>
                <w:sz w:val="22"/>
                <w:szCs w:val="22"/>
                <w:lang w:val="vi-VN"/>
              </w:rPr>
            </w:pPr>
            <w:r w:rsidRPr="00BB6BFB">
              <w:rPr>
                <w:rFonts w:eastAsia="Calibri"/>
                <w:b/>
                <w:bCs/>
                <w:color w:val="000000"/>
                <w:spacing w:val="2"/>
                <w:sz w:val="22"/>
                <w:szCs w:val="22"/>
                <w:lang w:val="vi-VN"/>
              </w:rPr>
              <w:t>Ghi chú</w:t>
            </w:r>
          </w:p>
        </w:tc>
      </w:tr>
      <w:tr w:rsidR="001B2EFF" w:rsidRPr="001E21C0" w14:paraId="268036DC" w14:textId="77777777" w:rsidTr="00EA0668">
        <w:tc>
          <w:tcPr>
            <w:tcW w:w="676" w:type="dxa"/>
          </w:tcPr>
          <w:p w14:paraId="282AD6E5" w14:textId="77777777" w:rsidR="001B2EFF" w:rsidRPr="00BB6BFB" w:rsidRDefault="001B2EFF" w:rsidP="00EA0668">
            <w:pPr>
              <w:jc w:val="center"/>
              <w:rPr>
                <w:rFonts w:eastAsia="Calibri"/>
                <w:b/>
                <w:bCs/>
                <w:color w:val="000000"/>
                <w:spacing w:val="2"/>
                <w:szCs w:val="24"/>
                <w:lang w:val="vi-VN"/>
              </w:rPr>
            </w:pPr>
            <w:r w:rsidRPr="00BB6BFB">
              <w:rPr>
                <w:rFonts w:eastAsia="Calibri"/>
                <w:b/>
                <w:bCs/>
                <w:color w:val="000000"/>
                <w:spacing w:val="2"/>
                <w:szCs w:val="24"/>
                <w:lang w:val="vi-VN"/>
              </w:rPr>
              <w:t>1</w:t>
            </w:r>
          </w:p>
        </w:tc>
        <w:tc>
          <w:tcPr>
            <w:tcW w:w="7842" w:type="dxa"/>
            <w:vAlign w:val="center"/>
          </w:tcPr>
          <w:p w14:paraId="0E82D0AF" w14:textId="77777777" w:rsidR="001B2EFF" w:rsidRPr="00BB6BFB" w:rsidRDefault="001B2EFF" w:rsidP="00EA0668">
            <w:pPr>
              <w:jc w:val="left"/>
              <w:rPr>
                <w:rFonts w:eastAsia="Calibri"/>
                <w:b/>
                <w:bCs/>
                <w:color w:val="000000"/>
                <w:spacing w:val="2"/>
                <w:szCs w:val="24"/>
                <w:lang w:val="vi-VN"/>
              </w:rPr>
            </w:pPr>
            <w:r w:rsidRPr="00BB6BFB">
              <w:rPr>
                <w:rFonts w:eastAsia="Calibri"/>
                <w:b/>
                <w:bCs/>
                <w:color w:val="000000"/>
                <w:spacing w:val="2"/>
                <w:szCs w:val="24"/>
                <w:lang w:val="vi-VN"/>
              </w:rPr>
              <w:t xml:space="preserve">Tính hợp lệ và đặc tính, thông số kỹ thuật của hàng hóa </w:t>
            </w:r>
          </w:p>
        </w:tc>
        <w:tc>
          <w:tcPr>
            <w:tcW w:w="1270" w:type="dxa"/>
          </w:tcPr>
          <w:p w14:paraId="4B8C739C" w14:textId="77777777" w:rsidR="001B2EFF" w:rsidRPr="00BB6BFB" w:rsidRDefault="001B2EFF" w:rsidP="00EA0668">
            <w:pPr>
              <w:rPr>
                <w:color w:val="000000"/>
                <w:szCs w:val="24"/>
                <w:lang w:val="es-ES"/>
              </w:rPr>
            </w:pPr>
          </w:p>
        </w:tc>
        <w:tc>
          <w:tcPr>
            <w:tcW w:w="1127" w:type="dxa"/>
          </w:tcPr>
          <w:p w14:paraId="663BFDB0" w14:textId="77777777" w:rsidR="001B2EFF" w:rsidRPr="00BB6BFB" w:rsidRDefault="001B2EFF" w:rsidP="00EA0668">
            <w:pPr>
              <w:rPr>
                <w:color w:val="000000"/>
                <w:szCs w:val="24"/>
                <w:lang w:val="es-ES"/>
              </w:rPr>
            </w:pPr>
          </w:p>
        </w:tc>
      </w:tr>
      <w:tr w:rsidR="001B2EFF" w:rsidRPr="001E21C0" w14:paraId="10D6562A" w14:textId="77777777" w:rsidTr="00EA0668">
        <w:tc>
          <w:tcPr>
            <w:tcW w:w="676" w:type="dxa"/>
          </w:tcPr>
          <w:p w14:paraId="1FC55B4F" w14:textId="77777777" w:rsidR="001B2EFF" w:rsidRPr="00BB6BFB" w:rsidRDefault="001B2EFF" w:rsidP="00EA0668">
            <w:pPr>
              <w:jc w:val="center"/>
              <w:rPr>
                <w:rFonts w:eastAsia="Calibri"/>
                <w:b/>
                <w:bCs/>
                <w:color w:val="000000"/>
                <w:spacing w:val="2"/>
                <w:szCs w:val="24"/>
                <w:lang w:val="vi-VN"/>
              </w:rPr>
            </w:pPr>
            <w:r w:rsidRPr="00BB6BFB">
              <w:rPr>
                <w:rFonts w:eastAsia="Calibri"/>
                <w:b/>
                <w:bCs/>
                <w:color w:val="000000"/>
                <w:spacing w:val="2"/>
                <w:szCs w:val="24"/>
                <w:lang w:val="vi-VN"/>
              </w:rPr>
              <w:t>1.1</w:t>
            </w:r>
          </w:p>
        </w:tc>
        <w:tc>
          <w:tcPr>
            <w:tcW w:w="7842" w:type="dxa"/>
            <w:vAlign w:val="center"/>
          </w:tcPr>
          <w:p w14:paraId="714CA0D1" w14:textId="77777777" w:rsidR="001B2EFF" w:rsidRPr="00BB6BFB" w:rsidRDefault="001B2EFF" w:rsidP="00EA0668">
            <w:pPr>
              <w:jc w:val="left"/>
              <w:rPr>
                <w:rFonts w:eastAsia="Calibri"/>
                <w:b/>
                <w:bCs/>
                <w:color w:val="000000"/>
                <w:spacing w:val="2"/>
                <w:szCs w:val="24"/>
                <w:lang w:val="vi-VN"/>
              </w:rPr>
            </w:pPr>
            <w:r w:rsidRPr="00BB6BFB">
              <w:rPr>
                <w:rFonts w:eastAsia="Calibri"/>
                <w:b/>
                <w:bCs/>
                <w:color w:val="000000"/>
                <w:spacing w:val="2"/>
                <w:szCs w:val="24"/>
                <w:lang w:val="vi-VN"/>
              </w:rPr>
              <w:t>Tính hợp lệ của hàng hóa dự thầu</w:t>
            </w:r>
          </w:p>
        </w:tc>
        <w:tc>
          <w:tcPr>
            <w:tcW w:w="1270" w:type="dxa"/>
          </w:tcPr>
          <w:p w14:paraId="23C257D5" w14:textId="77777777" w:rsidR="001B2EFF" w:rsidRPr="00BB6BFB" w:rsidRDefault="001B2EFF" w:rsidP="00EA0668">
            <w:pPr>
              <w:rPr>
                <w:color w:val="000000"/>
                <w:szCs w:val="24"/>
                <w:lang w:val="es-ES"/>
              </w:rPr>
            </w:pPr>
          </w:p>
        </w:tc>
        <w:tc>
          <w:tcPr>
            <w:tcW w:w="1127" w:type="dxa"/>
          </w:tcPr>
          <w:p w14:paraId="71B03B0D" w14:textId="77777777" w:rsidR="001B2EFF" w:rsidRPr="00BB6BFB" w:rsidRDefault="001B2EFF" w:rsidP="00EA0668">
            <w:pPr>
              <w:rPr>
                <w:color w:val="000000"/>
                <w:szCs w:val="24"/>
                <w:lang w:val="es-ES"/>
              </w:rPr>
            </w:pPr>
          </w:p>
        </w:tc>
      </w:tr>
      <w:tr w:rsidR="001B2EFF" w:rsidRPr="00BB6BFB" w14:paraId="43C1E3A0" w14:textId="77777777" w:rsidTr="00EA0668">
        <w:tc>
          <w:tcPr>
            <w:tcW w:w="676" w:type="dxa"/>
          </w:tcPr>
          <w:p w14:paraId="09B4473A" w14:textId="77777777" w:rsidR="001B2EFF" w:rsidRPr="00BB6BFB" w:rsidRDefault="001B2EFF" w:rsidP="00EA0668">
            <w:pPr>
              <w:rPr>
                <w:color w:val="000000"/>
                <w:szCs w:val="24"/>
                <w:lang w:val="es-ES"/>
              </w:rPr>
            </w:pPr>
          </w:p>
        </w:tc>
        <w:tc>
          <w:tcPr>
            <w:tcW w:w="7842" w:type="dxa"/>
          </w:tcPr>
          <w:p w14:paraId="641D37DC" w14:textId="77777777" w:rsidR="001B2EFF" w:rsidRPr="00BB6BFB" w:rsidRDefault="001B2EFF" w:rsidP="00EA0668">
            <w:pPr>
              <w:spacing w:before="60"/>
              <w:rPr>
                <w:rFonts w:eastAsia="Calibri"/>
                <w:color w:val="000000"/>
                <w:spacing w:val="2"/>
                <w:szCs w:val="24"/>
                <w:lang w:val="es-ES"/>
              </w:rPr>
            </w:pPr>
            <w:r w:rsidRPr="00BB6BFB">
              <w:rPr>
                <w:rFonts w:eastAsia="Calibri"/>
                <w:color w:val="000000"/>
                <w:spacing w:val="2"/>
                <w:szCs w:val="24"/>
                <w:lang w:val="es-ES"/>
              </w:rPr>
              <w:t>1. Đối với hàng hoá là trang thiết bị y tế:</w:t>
            </w:r>
          </w:p>
          <w:p w14:paraId="4FF4F12D" w14:textId="77777777" w:rsidR="001B2EFF" w:rsidRPr="00BB6BFB" w:rsidRDefault="001B2EFF" w:rsidP="00EA0668">
            <w:pPr>
              <w:spacing w:before="60"/>
              <w:rPr>
                <w:rFonts w:eastAsia="Calibri"/>
                <w:color w:val="000000"/>
                <w:spacing w:val="2"/>
                <w:szCs w:val="24"/>
                <w:lang w:val="es-ES"/>
              </w:rPr>
            </w:pPr>
            <w:r w:rsidRPr="00BB6BFB">
              <w:rPr>
                <w:rFonts w:eastAsia="Calibri"/>
                <w:color w:val="000000"/>
                <w:spacing w:val="2"/>
                <w:szCs w:val="24"/>
                <w:lang w:val="vi-VN"/>
              </w:rPr>
              <w:t xml:space="preserve">- </w:t>
            </w:r>
            <w:r w:rsidRPr="00BB6BFB">
              <w:rPr>
                <w:rFonts w:eastAsia="Calibri"/>
                <w:color w:val="000000"/>
                <w:spacing w:val="2"/>
                <w:szCs w:val="24"/>
                <w:lang w:val="es-ES"/>
              </w:rPr>
              <w:t>Cam kết h</w:t>
            </w:r>
            <w:r w:rsidRPr="00BB6BFB">
              <w:rPr>
                <w:rFonts w:eastAsia="Calibri"/>
                <w:color w:val="000000"/>
                <w:spacing w:val="2"/>
                <w:szCs w:val="24"/>
                <w:lang w:val="vi-VN"/>
              </w:rPr>
              <w:t>àng hóa phải tuân thủ theo Nghị định 98/2021/NĐ-CP ngày 08/11/2021 của Chính phủ về quản lý trang thiết bị y tế và Nghị định số 07/2023/NĐ-CP ngày 03/3/2023 của Chính phủ về sửa đổi, bổ sung một số điều của Nghị định số 98/2021/NĐ-CP ngày 08/11/2021,</w:t>
            </w:r>
            <w:r w:rsidRPr="00BB6BFB">
              <w:rPr>
                <w:rFonts w:eastAsia="Calibri"/>
                <w:color w:val="000000"/>
                <w:spacing w:val="2"/>
                <w:szCs w:val="24"/>
                <w:lang w:val="es-ES"/>
              </w:rPr>
              <w:t xml:space="preserve"> </w:t>
            </w:r>
            <w:r w:rsidRPr="00BB6BFB">
              <w:rPr>
                <w:rFonts w:eastAsia="Calibri"/>
                <w:color w:val="000000"/>
                <w:spacing w:val="2"/>
                <w:szCs w:val="24"/>
                <w:lang w:val="vi-VN"/>
              </w:rPr>
              <w:t>Nghị định 04/2025/NĐ-CP ngày 01/01/2025</w:t>
            </w:r>
            <w:r w:rsidRPr="00BB6BFB">
              <w:rPr>
                <w:rFonts w:eastAsia="Calibri"/>
                <w:color w:val="000000"/>
                <w:spacing w:val="2"/>
                <w:szCs w:val="24"/>
                <w:lang w:val="es-ES"/>
              </w:rPr>
              <w:t xml:space="preserve"> và các văn bản có liên quan.</w:t>
            </w:r>
          </w:p>
          <w:p w14:paraId="02D527AA" w14:textId="77777777" w:rsidR="001B2EFF" w:rsidRPr="00BB6BFB" w:rsidRDefault="001B2EFF" w:rsidP="00EA0668">
            <w:pPr>
              <w:spacing w:before="60"/>
              <w:rPr>
                <w:rFonts w:eastAsia="Calibri"/>
                <w:color w:val="000000"/>
                <w:spacing w:val="2"/>
                <w:szCs w:val="24"/>
                <w:lang w:val="es-ES"/>
              </w:rPr>
            </w:pPr>
            <w:r w:rsidRPr="00BB6BFB">
              <w:rPr>
                <w:szCs w:val="24"/>
                <w:lang w:val="es-ES"/>
              </w:rPr>
              <w:t xml:space="preserve">- Nhà thầu có Giấy phép kinh doanh, giấy phép bán hàng phù hợp với lĩnh vực hàng hoá cung cấp </w:t>
            </w:r>
            <w:r w:rsidRPr="00BB6BFB">
              <w:rPr>
                <w:rFonts w:eastAsia="Calibri"/>
                <w:color w:val="000000"/>
                <w:spacing w:val="2"/>
                <w:szCs w:val="24"/>
                <w:lang w:val="es-ES"/>
              </w:rPr>
              <w:t>tại chương IV bảng 12.1B</w:t>
            </w:r>
          </w:p>
          <w:p w14:paraId="465F4FD7" w14:textId="77777777" w:rsidR="001B2EFF" w:rsidRPr="00BB6BFB" w:rsidRDefault="001B2EFF" w:rsidP="00EA0668">
            <w:pPr>
              <w:spacing w:before="60"/>
              <w:rPr>
                <w:rFonts w:eastAsia="Calibri"/>
                <w:color w:val="000000"/>
                <w:spacing w:val="2"/>
                <w:szCs w:val="24"/>
                <w:lang w:val="es-ES"/>
              </w:rPr>
            </w:pPr>
            <w:r w:rsidRPr="00BB6BFB">
              <w:rPr>
                <w:rFonts w:eastAsia="Calibri"/>
                <w:color w:val="000000"/>
                <w:spacing w:val="2"/>
                <w:szCs w:val="24"/>
                <w:lang w:val="es-ES"/>
              </w:rPr>
              <w:t xml:space="preserve">- </w:t>
            </w:r>
            <w:r w:rsidRPr="00BB6BFB">
              <w:rPr>
                <w:rFonts w:eastAsia="Calibri"/>
                <w:color w:val="000000"/>
                <w:spacing w:val="2"/>
                <w:szCs w:val="24"/>
                <w:lang w:val="vi-VN"/>
              </w:rPr>
              <w:t>Bản kết quả phân loại trang thiết bị y tế.</w:t>
            </w:r>
          </w:p>
          <w:p w14:paraId="5186D5F4" w14:textId="77777777" w:rsidR="001B2EFF" w:rsidRPr="00BB6BFB" w:rsidRDefault="001B2EFF" w:rsidP="00EA0668">
            <w:pPr>
              <w:spacing w:before="60"/>
              <w:rPr>
                <w:rFonts w:eastAsia="Calibri"/>
                <w:color w:val="000000"/>
                <w:spacing w:val="2"/>
                <w:szCs w:val="24"/>
                <w:lang w:val="es-ES"/>
              </w:rPr>
            </w:pPr>
            <w:r w:rsidRPr="00BB6BFB">
              <w:rPr>
                <w:rFonts w:eastAsia="Calibri"/>
                <w:color w:val="000000"/>
                <w:spacing w:val="2"/>
                <w:szCs w:val="24"/>
                <w:lang w:val="es-ES"/>
              </w:rPr>
              <w:t>- Số số lưu hành, số đăng ký lưu hành, giấy chứng nhận đăng ký lưu hành, giấy phép nhập khẩu theo các quy định về quản lý trang thiết bị y tế, cụ thể:</w:t>
            </w:r>
          </w:p>
          <w:p w14:paraId="3CCAE33C" w14:textId="77777777" w:rsidR="001B2EFF" w:rsidRPr="00BB6BFB" w:rsidRDefault="001B2EFF" w:rsidP="00EA0668">
            <w:pPr>
              <w:spacing w:before="60"/>
              <w:rPr>
                <w:rFonts w:eastAsia="Calibri"/>
                <w:color w:val="000000"/>
                <w:spacing w:val="2"/>
                <w:szCs w:val="24"/>
                <w:lang w:val="es-ES"/>
              </w:rPr>
            </w:pPr>
            <w:r w:rsidRPr="00BB6BFB">
              <w:rPr>
                <w:rFonts w:eastAsia="Calibri"/>
                <w:color w:val="000000"/>
                <w:spacing w:val="2"/>
                <w:szCs w:val="24"/>
                <w:lang w:val="vi-VN"/>
              </w:rPr>
              <w:t>* Đối với trang thiết bị y tế thuộc loại A, B</w:t>
            </w:r>
            <w:r w:rsidRPr="00BB6BFB">
              <w:rPr>
                <w:rFonts w:eastAsia="Calibri"/>
                <w:color w:val="000000"/>
                <w:spacing w:val="2"/>
                <w:szCs w:val="24"/>
                <w:lang w:val="es-ES"/>
              </w:rPr>
              <w:t>:</w:t>
            </w:r>
          </w:p>
          <w:p w14:paraId="4E7C365C"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Số công bố tiêu chuẩn áp dụng hoặc</w:t>
            </w:r>
          </w:p>
          <w:p w14:paraId="0E3E3ECB"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xml:space="preserve"> - Số đăng ký lưu hành hoặc </w:t>
            </w:r>
          </w:p>
          <w:p w14:paraId="04FB9D49"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Số giấy chứng nhận đăng ký lưu hành hoặc</w:t>
            </w:r>
          </w:p>
          <w:p w14:paraId="43CD9B16"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xml:space="preserve"> - Giấy phép nhập khẩu </w:t>
            </w:r>
          </w:p>
          <w:p w14:paraId="41C38338"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Đối với trang thiết bị y tế thuộc loại C, D:</w:t>
            </w:r>
          </w:p>
          <w:p w14:paraId="048DC839"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xml:space="preserve"> - Số đăng ký lưu hành hoặc </w:t>
            </w:r>
          </w:p>
          <w:p w14:paraId="4E46F41E"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xml:space="preserve">- Số giấy chứng nhận đăng ký lưu hành hoặc </w:t>
            </w:r>
          </w:p>
          <w:p w14:paraId="131012B2"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Giấy phép nhập khẩu</w:t>
            </w:r>
          </w:p>
          <w:p w14:paraId="6AA9EA70"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Cung cấp Catalogue hoặc các tài liệu kỹ thuật chứng minh thông số kỹ thuật theo yêu cầu của E-HSMT đối với hàng hóa thuộc gói thầu, nếu ngôn ngữ không phải là tiếng Việt phải đính kèm bản dịch sang tiếng Việt có xác nhận của nhà sản xuất hoặc văn phòng đại diện của nhà sản xuất hoặc nhà cung cấp được ủy quyền bán hàng hợp pháp hoặc công chứng dịch thuật (nhà thầu đánh dấu vào nội dung cụ thể trên tài liệu chứng minh)</w:t>
            </w:r>
          </w:p>
          <w:p w14:paraId="1393B83C" w14:textId="77777777" w:rsidR="001B2EFF" w:rsidRPr="00BB6BFB" w:rsidRDefault="001B2EFF" w:rsidP="00EA0668">
            <w:pPr>
              <w:spacing w:before="60"/>
              <w:jc w:val="left"/>
              <w:rPr>
                <w:rFonts w:eastAsia="Calibri"/>
                <w:color w:val="000000"/>
                <w:spacing w:val="2"/>
                <w:szCs w:val="24"/>
                <w:lang w:val="vi-VN"/>
              </w:rPr>
            </w:pPr>
            <w:r w:rsidRPr="00BB6BFB">
              <w:rPr>
                <w:rFonts w:eastAsia="Calibri"/>
                <w:color w:val="000000"/>
                <w:spacing w:val="2"/>
                <w:szCs w:val="24"/>
                <w:lang w:val="vi-VN"/>
              </w:rPr>
              <w:t>2. Đối với hàng hoá thông thường:</w:t>
            </w:r>
          </w:p>
          <w:p w14:paraId="250F9EB4" w14:textId="77777777" w:rsidR="001B2EFF" w:rsidRPr="00BB6BFB" w:rsidRDefault="001B2EFF" w:rsidP="00EA0668">
            <w:pPr>
              <w:spacing w:before="60"/>
              <w:rPr>
                <w:rFonts w:eastAsia="Calibri"/>
                <w:color w:val="000000"/>
                <w:spacing w:val="2"/>
                <w:szCs w:val="24"/>
                <w:lang w:val="es-ES"/>
              </w:rPr>
            </w:pPr>
            <w:r w:rsidRPr="00BB6BFB">
              <w:rPr>
                <w:szCs w:val="24"/>
                <w:lang w:val="es-ES"/>
              </w:rPr>
              <w:t xml:space="preserve">- Nhà thầu có Giấy phép kinh doanh, giấy phép bán hàng phù hợp với lĩnh vực hàng hoá cung cấp </w:t>
            </w:r>
            <w:r w:rsidRPr="00BB6BFB">
              <w:rPr>
                <w:rFonts w:eastAsia="Calibri"/>
                <w:color w:val="000000"/>
                <w:spacing w:val="2"/>
                <w:szCs w:val="24"/>
                <w:lang w:val="es-ES"/>
              </w:rPr>
              <w:t>tại chương IV bảng 12.1B</w:t>
            </w:r>
          </w:p>
          <w:p w14:paraId="63482F1D" w14:textId="77777777" w:rsidR="001B2EFF" w:rsidRPr="00BB6BFB" w:rsidRDefault="001B2EFF" w:rsidP="00EA0668">
            <w:pPr>
              <w:spacing w:before="60"/>
              <w:jc w:val="left"/>
              <w:rPr>
                <w:rFonts w:eastAsia="Calibri"/>
                <w:color w:val="000000"/>
                <w:spacing w:val="2"/>
                <w:szCs w:val="24"/>
                <w:lang w:val="es-ES"/>
              </w:rPr>
            </w:pPr>
            <w:r w:rsidRPr="00BB6BFB">
              <w:rPr>
                <w:rFonts w:eastAsia="Calibri"/>
                <w:color w:val="000000"/>
                <w:spacing w:val="2"/>
                <w:szCs w:val="24"/>
                <w:lang w:val="vi-VN"/>
              </w:rPr>
              <w:t>- Nhà thầu nêu rõ tên, nhãn hiệu, hãng sản xuất, nguồn gốc, xuất xứ</w:t>
            </w:r>
            <w:r w:rsidRPr="00BB6BFB">
              <w:rPr>
                <w:rFonts w:eastAsia="Calibri"/>
                <w:color w:val="000000"/>
                <w:spacing w:val="2"/>
                <w:szCs w:val="24"/>
                <w:lang w:val="es-ES"/>
              </w:rPr>
              <w:t xml:space="preserve"> </w:t>
            </w:r>
            <w:r w:rsidRPr="00BB6BFB">
              <w:rPr>
                <w:szCs w:val="24"/>
                <w:lang w:val="es-ES"/>
              </w:rPr>
              <w:t xml:space="preserve">phù hợp với lĩnh vực hàng hoá cung cấp </w:t>
            </w:r>
            <w:r w:rsidRPr="00BB6BFB">
              <w:rPr>
                <w:rFonts w:eastAsia="Calibri"/>
                <w:color w:val="000000"/>
                <w:spacing w:val="2"/>
                <w:szCs w:val="24"/>
                <w:lang w:val="es-ES"/>
              </w:rPr>
              <w:t>tại chương IV bảng 12.1B</w:t>
            </w:r>
          </w:p>
          <w:p w14:paraId="63444F90"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xml:space="preserve">- Tài liệu chứng minh nguồn gốc xuất xứ. </w:t>
            </w:r>
          </w:p>
          <w:p w14:paraId="4EAD33F5"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xml:space="preserve">- Tài liệu chứng nhận chất lượng.  </w:t>
            </w:r>
          </w:p>
          <w:p w14:paraId="65AF2661" w14:textId="77777777" w:rsidR="001B2EFF" w:rsidRPr="00BB6BFB" w:rsidRDefault="001B2EFF" w:rsidP="00EA0668">
            <w:pPr>
              <w:spacing w:before="60"/>
              <w:rPr>
                <w:rFonts w:eastAsia="Calibri"/>
                <w:color w:val="000000"/>
                <w:spacing w:val="2"/>
                <w:szCs w:val="24"/>
                <w:lang w:val="vi-VN"/>
              </w:rPr>
            </w:pPr>
            <w:r w:rsidRPr="00BB6BFB">
              <w:rPr>
                <w:rFonts w:eastAsia="Calibri"/>
                <w:color w:val="000000"/>
                <w:spacing w:val="2"/>
                <w:szCs w:val="24"/>
                <w:lang w:val="vi-VN"/>
              </w:rPr>
              <w:t>- Đối với hàng hoá dịch vụ thuộc loại hình kinh doanh có điều kiện cần có tài liệu chứng minh tính hợp lệ.</w:t>
            </w:r>
          </w:p>
          <w:p w14:paraId="0B60320E" w14:textId="77777777" w:rsidR="001B2EFF" w:rsidRPr="00BB6BFB" w:rsidRDefault="001B2EFF" w:rsidP="00EA0668">
            <w:pPr>
              <w:rPr>
                <w:rFonts w:eastAsia="Calibri"/>
                <w:color w:val="000000"/>
                <w:spacing w:val="2"/>
                <w:szCs w:val="24"/>
                <w:lang w:val="vi-VN"/>
              </w:rPr>
            </w:pPr>
            <w:r w:rsidRPr="00BB6BFB">
              <w:rPr>
                <w:rFonts w:eastAsia="Calibri"/>
                <w:color w:val="000000"/>
                <w:spacing w:val="2"/>
                <w:szCs w:val="24"/>
                <w:lang w:val="vi-VN"/>
              </w:rPr>
              <w:t>- Cung cấp Catalogue hoặc các tài liệu kỹ thuật chứng minh thông số kỹ thuật theo yêu cầu của E-HSMT đối với hàng hóa thuộc gói thầu, nếu ngôn ngữ không phải là tiếng Việt phải đính kèm bản dịch sang tiếng Việt có xác nhận của nhà sản xuất hoặc văn phòng đại diện của nhà sản xuất hoặc nhà cung cấp được ủy quyền bán hàng hợp pháp hoặc công chứng dịch thuật (nhà thầu đánh dấu vào nội dung cụ thể trên tài liệu chứng minh)</w:t>
            </w:r>
          </w:p>
        </w:tc>
        <w:tc>
          <w:tcPr>
            <w:tcW w:w="1270" w:type="dxa"/>
            <w:vAlign w:val="center"/>
          </w:tcPr>
          <w:p w14:paraId="046CFC43" w14:textId="77777777" w:rsidR="001B2EFF" w:rsidRPr="00BB6BFB" w:rsidRDefault="001B2EFF" w:rsidP="00EA0668">
            <w:pPr>
              <w:jc w:val="center"/>
              <w:rPr>
                <w:color w:val="000000"/>
                <w:szCs w:val="24"/>
                <w:lang w:val="es-ES"/>
              </w:rPr>
            </w:pPr>
            <w:r w:rsidRPr="00BB6BFB">
              <w:rPr>
                <w:szCs w:val="24"/>
                <w:lang w:val="es-ES"/>
              </w:rPr>
              <w:t>Đạt</w:t>
            </w:r>
          </w:p>
        </w:tc>
        <w:tc>
          <w:tcPr>
            <w:tcW w:w="1127" w:type="dxa"/>
          </w:tcPr>
          <w:p w14:paraId="64163A27" w14:textId="77777777" w:rsidR="001B2EFF" w:rsidRPr="00BB6BFB" w:rsidRDefault="001B2EFF" w:rsidP="00EA0668">
            <w:pPr>
              <w:rPr>
                <w:color w:val="000000"/>
                <w:szCs w:val="24"/>
                <w:lang w:val="es-ES"/>
              </w:rPr>
            </w:pPr>
          </w:p>
        </w:tc>
      </w:tr>
      <w:tr w:rsidR="001B2EFF" w:rsidRPr="00BB6BFB" w14:paraId="79C6148A" w14:textId="77777777" w:rsidTr="00EA0668">
        <w:trPr>
          <w:trHeight w:val="190"/>
        </w:trPr>
        <w:tc>
          <w:tcPr>
            <w:tcW w:w="676" w:type="dxa"/>
          </w:tcPr>
          <w:p w14:paraId="00465BD4" w14:textId="77777777" w:rsidR="001B2EFF" w:rsidRPr="00BB6BFB" w:rsidRDefault="001B2EFF" w:rsidP="00EA0668">
            <w:pPr>
              <w:rPr>
                <w:color w:val="000000"/>
                <w:szCs w:val="24"/>
                <w:lang w:val="es-ES"/>
              </w:rPr>
            </w:pPr>
          </w:p>
        </w:tc>
        <w:tc>
          <w:tcPr>
            <w:tcW w:w="7842" w:type="dxa"/>
            <w:vAlign w:val="center"/>
          </w:tcPr>
          <w:p w14:paraId="263D7A4E" w14:textId="77777777" w:rsidR="001B2EFF" w:rsidRPr="00BB6BFB" w:rsidRDefault="001B2EFF" w:rsidP="00EA0668">
            <w:pPr>
              <w:jc w:val="left"/>
              <w:rPr>
                <w:rFonts w:eastAsia="Calibri"/>
                <w:color w:val="000000"/>
                <w:spacing w:val="2"/>
                <w:szCs w:val="24"/>
                <w:lang w:val="vi-VN"/>
              </w:rPr>
            </w:pPr>
            <w:r w:rsidRPr="00BB6BFB">
              <w:rPr>
                <w:rFonts w:eastAsia="Calibri"/>
                <w:color w:val="000000"/>
                <w:spacing w:val="2"/>
                <w:szCs w:val="24"/>
                <w:lang w:val="vi-VN"/>
              </w:rPr>
              <w:t>- Không có tài liệu chứng minh đáp ứng nội dung trên</w:t>
            </w:r>
          </w:p>
        </w:tc>
        <w:tc>
          <w:tcPr>
            <w:tcW w:w="1270" w:type="dxa"/>
            <w:vAlign w:val="center"/>
          </w:tcPr>
          <w:p w14:paraId="1F89D536" w14:textId="77777777" w:rsidR="001B2EFF" w:rsidRPr="00BB6BFB" w:rsidRDefault="001B2EFF" w:rsidP="00EA0668">
            <w:pPr>
              <w:jc w:val="center"/>
              <w:rPr>
                <w:rFonts w:eastAsia="Calibri"/>
                <w:color w:val="000000"/>
                <w:spacing w:val="2"/>
                <w:szCs w:val="24"/>
                <w:lang w:val="vi-VN"/>
              </w:rPr>
            </w:pPr>
            <w:r w:rsidRPr="00BB6BFB">
              <w:rPr>
                <w:rFonts w:eastAsia="Calibri"/>
                <w:color w:val="000000"/>
                <w:spacing w:val="2"/>
                <w:szCs w:val="24"/>
                <w:lang w:val="vi-VN"/>
              </w:rPr>
              <w:t>Không đạt</w:t>
            </w:r>
          </w:p>
        </w:tc>
        <w:tc>
          <w:tcPr>
            <w:tcW w:w="1127" w:type="dxa"/>
          </w:tcPr>
          <w:p w14:paraId="05C53670" w14:textId="77777777" w:rsidR="001B2EFF" w:rsidRPr="00BB6BFB" w:rsidRDefault="001B2EFF" w:rsidP="00EA0668">
            <w:pPr>
              <w:rPr>
                <w:color w:val="000000"/>
                <w:szCs w:val="24"/>
                <w:lang w:val="es-ES"/>
              </w:rPr>
            </w:pPr>
          </w:p>
        </w:tc>
      </w:tr>
      <w:tr w:rsidR="001B2EFF" w:rsidRPr="001E21C0" w14:paraId="54DBBC1B" w14:textId="77777777" w:rsidTr="00EA0668">
        <w:tc>
          <w:tcPr>
            <w:tcW w:w="676" w:type="dxa"/>
          </w:tcPr>
          <w:p w14:paraId="3F0EF8A1" w14:textId="77777777" w:rsidR="001B2EFF" w:rsidRPr="00BB6BFB" w:rsidRDefault="001B2EFF" w:rsidP="00EA0668">
            <w:pPr>
              <w:rPr>
                <w:b/>
                <w:bCs/>
                <w:color w:val="000000"/>
                <w:szCs w:val="24"/>
                <w:lang w:val="es-ES"/>
              </w:rPr>
            </w:pPr>
            <w:r w:rsidRPr="00BB6BFB">
              <w:rPr>
                <w:b/>
                <w:bCs/>
                <w:color w:val="000000"/>
                <w:szCs w:val="24"/>
                <w:lang w:val="es-ES"/>
              </w:rPr>
              <w:t>1.2</w:t>
            </w:r>
          </w:p>
        </w:tc>
        <w:tc>
          <w:tcPr>
            <w:tcW w:w="7842" w:type="dxa"/>
          </w:tcPr>
          <w:p w14:paraId="3C651420" w14:textId="77777777" w:rsidR="001B2EFF" w:rsidRPr="00BB6BFB" w:rsidRDefault="001B2EFF" w:rsidP="00EA0668">
            <w:pPr>
              <w:rPr>
                <w:b/>
                <w:bCs/>
                <w:color w:val="000000"/>
                <w:szCs w:val="24"/>
                <w:lang w:val="es-ES"/>
              </w:rPr>
            </w:pPr>
            <w:r w:rsidRPr="00BB6BFB">
              <w:rPr>
                <w:rFonts w:eastAsia="Calibri"/>
                <w:b/>
                <w:bCs/>
                <w:color w:val="000000"/>
                <w:spacing w:val="2"/>
                <w:szCs w:val="24"/>
                <w:lang w:val="vi-VN"/>
              </w:rPr>
              <w:t>Đặc tính, thông số kỹ thuật, số lượng của hàng hóa đáp ứng yêu cầu tại Chương V của E-HSMT.</w:t>
            </w:r>
          </w:p>
        </w:tc>
        <w:tc>
          <w:tcPr>
            <w:tcW w:w="1270" w:type="dxa"/>
            <w:vAlign w:val="center"/>
          </w:tcPr>
          <w:p w14:paraId="0CC1EF16" w14:textId="77777777" w:rsidR="001B2EFF" w:rsidRPr="00BB6BFB" w:rsidRDefault="001B2EFF" w:rsidP="00EA0668">
            <w:pPr>
              <w:jc w:val="center"/>
              <w:rPr>
                <w:rFonts w:eastAsia="Calibri"/>
                <w:color w:val="000000"/>
                <w:spacing w:val="2"/>
                <w:szCs w:val="24"/>
                <w:lang w:val="vi-VN"/>
              </w:rPr>
            </w:pPr>
          </w:p>
        </w:tc>
        <w:tc>
          <w:tcPr>
            <w:tcW w:w="1127" w:type="dxa"/>
          </w:tcPr>
          <w:p w14:paraId="06FDE235" w14:textId="77777777" w:rsidR="001B2EFF" w:rsidRPr="00BB6BFB" w:rsidRDefault="001B2EFF" w:rsidP="00EA0668">
            <w:pPr>
              <w:rPr>
                <w:color w:val="000000"/>
                <w:szCs w:val="24"/>
                <w:lang w:val="es-ES"/>
              </w:rPr>
            </w:pPr>
          </w:p>
        </w:tc>
      </w:tr>
      <w:tr w:rsidR="001B2EFF" w:rsidRPr="00BB6BFB" w14:paraId="04FBB667" w14:textId="77777777" w:rsidTr="00EA0668">
        <w:tc>
          <w:tcPr>
            <w:tcW w:w="676" w:type="dxa"/>
          </w:tcPr>
          <w:p w14:paraId="0CCC4223" w14:textId="77777777" w:rsidR="001B2EFF" w:rsidRPr="00BB6BFB" w:rsidRDefault="001B2EFF" w:rsidP="00EA0668">
            <w:pPr>
              <w:rPr>
                <w:color w:val="000000"/>
                <w:szCs w:val="24"/>
                <w:lang w:val="es-ES"/>
              </w:rPr>
            </w:pPr>
          </w:p>
        </w:tc>
        <w:tc>
          <w:tcPr>
            <w:tcW w:w="7842" w:type="dxa"/>
          </w:tcPr>
          <w:p w14:paraId="1311E287" w14:textId="77777777" w:rsidR="001B2EFF" w:rsidRPr="00BB6BFB" w:rsidRDefault="001B2EFF" w:rsidP="00EA0668">
            <w:pPr>
              <w:rPr>
                <w:rFonts w:eastAsia="Calibri"/>
                <w:color w:val="000000"/>
                <w:spacing w:val="2"/>
                <w:szCs w:val="24"/>
                <w:lang w:val="es-ES"/>
              </w:rPr>
            </w:pPr>
            <w:r w:rsidRPr="00BB6BFB">
              <w:rPr>
                <w:rFonts w:eastAsia="Calibri"/>
                <w:color w:val="000000"/>
                <w:spacing w:val="2"/>
                <w:szCs w:val="24"/>
                <w:lang w:val="es-ES"/>
              </w:rPr>
              <w:t>Phải đáp ứng tại chương V của E-HSMT</w:t>
            </w:r>
            <w:r w:rsidRPr="00BB6BFB">
              <w:rPr>
                <w:rFonts w:eastAsia="Calibri"/>
                <w:color w:val="000000"/>
                <w:spacing w:val="2"/>
                <w:szCs w:val="24"/>
                <w:lang w:val="es-ES"/>
              </w:rPr>
              <w:tab/>
            </w:r>
          </w:p>
        </w:tc>
        <w:tc>
          <w:tcPr>
            <w:tcW w:w="1270" w:type="dxa"/>
            <w:vAlign w:val="center"/>
          </w:tcPr>
          <w:p w14:paraId="302C1628" w14:textId="77777777" w:rsidR="001B2EFF" w:rsidRPr="00BB6BFB" w:rsidRDefault="001B2EFF" w:rsidP="00EA0668">
            <w:pPr>
              <w:jc w:val="center"/>
              <w:rPr>
                <w:rFonts w:eastAsia="Calibri"/>
                <w:color w:val="000000"/>
                <w:spacing w:val="2"/>
                <w:szCs w:val="24"/>
                <w:lang w:val="vi-VN"/>
              </w:rPr>
            </w:pPr>
            <w:r w:rsidRPr="00BB6BFB">
              <w:rPr>
                <w:rFonts w:eastAsia="Calibri"/>
                <w:color w:val="000000"/>
                <w:spacing w:val="2"/>
                <w:szCs w:val="24"/>
                <w:lang w:val="vi-VN"/>
              </w:rPr>
              <w:t>Đạt</w:t>
            </w:r>
          </w:p>
        </w:tc>
        <w:tc>
          <w:tcPr>
            <w:tcW w:w="1127" w:type="dxa"/>
          </w:tcPr>
          <w:p w14:paraId="265AD074" w14:textId="77777777" w:rsidR="001B2EFF" w:rsidRPr="00BB6BFB" w:rsidRDefault="001B2EFF" w:rsidP="00EA0668">
            <w:pPr>
              <w:rPr>
                <w:color w:val="000000"/>
                <w:szCs w:val="24"/>
                <w:lang w:val="es-ES"/>
              </w:rPr>
            </w:pPr>
          </w:p>
        </w:tc>
      </w:tr>
      <w:tr w:rsidR="001B2EFF" w:rsidRPr="00BB6BFB" w14:paraId="50D2DB52" w14:textId="77777777" w:rsidTr="00EA0668">
        <w:tc>
          <w:tcPr>
            <w:tcW w:w="676" w:type="dxa"/>
          </w:tcPr>
          <w:p w14:paraId="4791531A" w14:textId="77777777" w:rsidR="001B2EFF" w:rsidRPr="00BB6BFB" w:rsidRDefault="001B2EFF" w:rsidP="00EA0668">
            <w:pPr>
              <w:rPr>
                <w:color w:val="000000"/>
                <w:szCs w:val="24"/>
                <w:lang w:val="es-ES"/>
              </w:rPr>
            </w:pPr>
          </w:p>
        </w:tc>
        <w:tc>
          <w:tcPr>
            <w:tcW w:w="7842" w:type="dxa"/>
          </w:tcPr>
          <w:p w14:paraId="2D2DE370" w14:textId="77777777" w:rsidR="001B2EFF" w:rsidRPr="00BB6BFB" w:rsidRDefault="001B2EFF" w:rsidP="00EA0668">
            <w:pPr>
              <w:rPr>
                <w:rFonts w:eastAsia="Calibri"/>
                <w:color w:val="000000"/>
                <w:spacing w:val="2"/>
                <w:szCs w:val="24"/>
                <w:lang w:val="es-ES"/>
              </w:rPr>
            </w:pPr>
            <w:r w:rsidRPr="00BB6BFB">
              <w:rPr>
                <w:rFonts w:eastAsia="Calibri"/>
                <w:color w:val="000000"/>
                <w:spacing w:val="2"/>
                <w:szCs w:val="24"/>
                <w:lang w:val="es-ES"/>
              </w:rPr>
              <w:t>Không đáp ứng 01 trong các yêu cầu nêu trên</w:t>
            </w:r>
          </w:p>
        </w:tc>
        <w:tc>
          <w:tcPr>
            <w:tcW w:w="1270" w:type="dxa"/>
            <w:vAlign w:val="center"/>
          </w:tcPr>
          <w:p w14:paraId="547B151B" w14:textId="77777777" w:rsidR="001B2EFF" w:rsidRPr="00BB6BFB" w:rsidRDefault="001B2EFF" w:rsidP="00EA0668">
            <w:pPr>
              <w:jc w:val="center"/>
              <w:rPr>
                <w:color w:val="000000"/>
                <w:szCs w:val="24"/>
                <w:lang w:val="es-ES"/>
              </w:rPr>
            </w:pPr>
            <w:r w:rsidRPr="00BB6BFB">
              <w:rPr>
                <w:rFonts w:eastAsia="Calibri"/>
                <w:color w:val="000000"/>
                <w:spacing w:val="2"/>
                <w:szCs w:val="24"/>
                <w:lang w:val="vi-VN"/>
              </w:rPr>
              <w:t>Không đạt</w:t>
            </w:r>
          </w:p>
        </w:tc>
        <w:tc>
          <w:tcPr>
            <w:tcW w:w="1127" w:type="dxa"/>
          </w:tcPr>
          <w:p w14:paraId="10E58959" w14:textId="77777777" w:rsidR="001B2EFF" w:rsidRPr="00BB6BFB" w:rsidRDefault="001B2EFF" w:rsidP="00EA0668">
            <w:pPr>
              <w:rPr>
                <w:color w:val="000000"/>
                <w:szCs w:val="24"/>
                <w:lang w:val="es-ES"/>
              </w:rPr>
            </w:pPr>
          </w:p>
        </w:tc>
      </w:tr>
      <w:tr w:rsidR="001B2EFF" w:rsidRPr="001E21C0" w14:paraId="5ACD142A" w14:textId="77777777" w:rsidTr="00EA0668">
        <w:trPr>
          <w:trHeight w:val="319"/>
        </w:trPr>
        <w:tc>
          <w:tcPr>
            <w:tcW w:w="676" w:type="dxa"/>
          </w:tcPr>
          <w:p w14:paraId="4434B746" w14:textId="77777777" w:rsidR="001B2EFF" w:rsidRPr="00BB6BFB" w:rsidRDefault="001B2EFF" w:rsidP="00EA0668">
            <w:pPr>
              <w:jc w:val="center"/>
              <w:rPr>
                <w:rFonts w:ascii="Calibri" w:hAnsi="Calibri"/>
                <w:b/>
                <w:bCs/>
                <w:color w:val="000000"/>
                <w:sz w:val="22"/>
                <w:szCs w:val="24"/>
                <w:lang w:val="es-ES"/>
              </w:rPr>
            </w:pPr>
            <w:r w:rsidRPr="00BB6BFB">
              <w:rPr>
                <w:b/>
                <w:bCs/>
                <w:color w:val="000000"/>
                <w:szCs w:val="24"/>
                <w:lang w:val="es-ES"/>
              </w:rPr>
              <w:t>2</w:t>
            </w:r>
          </w:p>
        </w:tc>
        <w:tc>
          <w:tcPr>
            <w:tcW w:w="7842" w:type="dxa"/>
            <w:vAlign w:val="center"/>
          </w:tcPr>
          <w:p w14:paraId="3567D425" w14:textId="77777777" w:rsidR="001B2EFF" w:rsidRPr="00BB6BFB" w:rsidRDefault="001B2EFF" w:rsidP="00EA0668">
            <w:pPr>
              <w:jc w:val="left"/>
              <w:rPr>
                <w:rFonts w:ascii="Calibri" w:eastAsia="Calibri" w:hAnsi="Calibri"/>
                <w:b/>
                <w:bCs/>
                <w:color w:val="000000"/>
                <w:spacing w:val="2"/>
                <w:sz w:val="22"/>
                <w:szCs w:val="24"/>
                <w:lang w:val="es-ES"/>
              </w:rPr>
            </w:pPr>
            <w:r w:rsidRPr="00BB6BFB">
              <w:rPr>
                <w:rFonts w:eastAsia="Calibri"/>
                <w:b/>
                <w:bCs/>
                <w:color w:val="000000"/>
                <w:spacing w:val="2"/>
                <w:szCs w:val="24"/>
                <w:lang w:val="es-ES"/>
              </w:rPr>
              <w:t xml:space="preserve"> </w:t>
            </w:r>
            <w:r w:rsidRPr="00BB6BFB">
              <w:rPr>
                <w:rFonts w:eastAsia="Calibri"/>
                <w:b/>
                <w:bCs/>
                <w:color w:val="000000"/>
                <w:spacing w:val="2"/>
                <w:szCs w:val="24"/>
                <w:lang w:val="vi-VN"/>
              </w:rPr>
              <w:t>Tiến độ cung cấp hàng hóa</w:t>
            </w:r>
          </w:p>
        </w:tc>
        <w:tc>
          <w:tcPr>
            <w:tcW w:w="1270" w:type="dxa"/>
            <w:vAlign w:val="center"/>
          </w:tcPr>
          <w:p w14:paraId="6B424F81" w14:textId="77777777" w:rsidR="001B2EFF" w:rsidRPr="00BB6BFB" w:rsidRDefault="001B2EFF" w:rsidP="00EA0668">
            <w:pPr>
              <w:jc w:val="left"/>
              <w:rPr>
                <w:rFonts w:ascii="Calibri" w:eastAsia="Calibri" w:hAnsi="Calibri"/>
                <w:color w:val="000000"/>
                <w:spacing w:val="2"/>
                <w:sz w:val="22"/>
                <w:szCs w:val="24"/>
                <w:lang w:val="vi-VN"/>
              </w:rPr>
            </w:pPr>
          </w:p>
        </w:tc>
        <w:tc>
          <w:tcPr>
            <w:tcW w:w="1127" w:type="dxa"/>
          </w:tcPr>
          <w:p w14:paraId="69F0ED50" w14:textId="77777777" w:rsidR="001B2EFF" w:rsidRPr="00BB6BFB" w:rsidRDefault="001B2EFF" w:rsidP="00EA0668">
            <w:pPr>
              <w:jc w:val="center"/>
              <w:rPr>
                <w:rFonts w:ascii="Calibri" w:hAnsi="Calibri"/>
                <w:color w:val="000000"/>
                <w:sz w:val="22"/>
                <w:szCs w:val="24"/>
                <w:lang w:val="es-ES"/>
              </w:rPr>
            </w:pPr>
          </w:p>
        </w:tc>
      </w:tr>
      <w:tr w:rsidR="001B2EFF" w:rsidRPr="00BB6BFB" w14:paraId="049C3095" w14:textId="77777777" w:rsidTr="00EA0668">
        <w:trPr>
          <w:trHeight w:val="327"/>
        </w:trPr>
        <w:tc>
          <w:tcPr>
            <w:tcW w:w="676" w:type="dxa"/>
          </w:tcPr>
          <w:p w14:paraId="088B8400" w14:textId="77777777" w:rsidR="001B2EFF" w:rsidRPr="00BB6BFB" w:rsidRDefault="001B2EFF" w:rsidP="00EA0668">
            <w:pPr>
              <w:jc w:val="center"/>
              <w:rPr>
                <w:rFonts w:ascii="Calibri" w:hAnsi="Calibri"/>
                <w:b/>
                <w:bCs/>
                <w:color w:val="000000"/>
                <w:sz w:val="22"/>
                <w:szCs w:val="24"/>
                <w:lang w:val="es-ES"/>
              </w:rPr>
            </w:pPr>
          </w:p>
        </w:tc>
        <w:tc>
          <w:tcPr>
            <w:tcW w:w="7842" w:type="dxa"/>
            <w:vAlign w:val="center"/>
          </w:tcPr>
          <w:p w14:paraId="6B53A753" w14:textId="77777777" w:rsidR="001B2EFF" w:rsidRPr="00BB6BFB" w:rsidRDefault="001B2EFF" w:rsidP="00EA0668">
            <w:pPr>
              <w:jc w:val="left"/>
              <w:rPr>
                <w:rFonts w:eastAsia="Calibri"/>
                <w:color w:val="000000"/>
                <w:spacing w:val="2"/>
                <w:szCs w:val="24"/>
                <w:lang w:val="es-ES"/>
              </w:rPr>
            </w:pPr>
            <w:r w:rsidRPr="00BB6BFB">
              <w:rPr>
                <w:rFonts w:eastAsia="Calibri"/>
                <w:color w:val="000000"/>
                <w:spacing w:val="2"/>
                <w:szCs w:val="24"/>
                <w:lang w:val="es-ES"/>
              </w:rPr>
              <w:t>Cam kết đ</w:t>
            </w:r>
            <w:r w:rsidRPr="00BB6BFB">
              <w:rPr>
                <w:rFonts w:eastAsia="Calibri"/>
                <w:color w:val="000000"/>
                <w:spacing w:val="2"/>
                <w:szCs w:val="24"/>
                <w:lang w:val="vi-VN"/>
              </w:rPr>
              <w:t>áp ứng yêu cầu của bên mời thầu tại Bảng tiến độ cung cấp chương IV</w:t>
            </w:r>
            <w:r w:rsidRPr="00BB6BFB">
              <w:rPr>
                <w:rFonts w:eastAsia="Calibri"/>
                <w:color w:val="000000"/>
                <w:spacing w:val="2"/>
                <w:szCs w:val="24"/>
                <w:lang w:val="es-ES"/>
              </w:rPr>
              <w:t xml:space="preserve"> </w:t>
            </w:r>
          </w:p>
        </w:tc>
        <w:tc>
          <w:tcPr>
            <w:tcW w:w="1270" w:type="dxa"/>
            <w:vAlign w:val="center"/>
          </w:tcPr>
          <w:p w14:paraId="03470541" w14:textId="77777777" w:rsidR="001B2EFF" w:rsidRPr="00BB6BFB" w:rsidRDefault="001B2EFF" w:rsidP="00EA0668">
            <w:pPr>
              <w:jc w:val="center"/>
              <w:rPr>
                <w:rFonts w:eastAsia="Calibri"/>
                <w:color w:val="000000"/>
                <w:spacing w:val="2"/>
                <w:szCs w:val="24"/>
              </w:rPr>
            </w:pPr>
            <w:r w:rsidRPr="00BB6BFB">
              <w:rPr>
                <w:rFonts w:eastAsia="Calibri"/>
                <w:color w:val="000000"/>
                <w:spacing w:val="2"/>
                <w:szCs w:val="24"/>
              </w:rPr>
              <w:t>Đạt</w:t>
            </w:r>
          </w:p>
        </w:tc>
        <w:tc>
          <w:tcPr>
            <w:tcW w:w="1127" w:type="dxa"/>
          </w:tcPr>
          <w:p w14:paraId="56A149E1" w14:textId="77777777" w:rsidR="001B2EFF" w:rsidRPr="00BB6BFB" w:rsidRDefault="001B2EFF" w:rsidP="00EA0668">
            <w:pPr>
              <w:jc w:val="center"/>
              <w:rPr>
                <w:rFonts w:ascii="Calibri" w:hAnsi="Calibri"/>
                <w:color w:val="000000"/>
                <w:sz w:val="22"/>
                <w:szCs w:val="24"/>
                <w:lang w:val="es-ES"/>
              </w:rPr>
            </w:pPr>
          </w:p>
        </w:tc>
      </w:tr>
      <w:tr w:rsidR="001B2EFF" w:rsidRPr="00BB6BFB" w14:paraId="32CEECBB" w14:textId="77777777" w:rsidTr="00EA0668">
        <w:tc>
          <w:tcPr>
            <w:tcW w:w="676" w:type="dxa"/>
          </w:tcPr>
          <w:p w14:paraId="77008790" w14:textId="77777777" w:rsidR="001B2EFF" w:rsidRPr="00BB6BFB" w:rsidRDefault="001B2EFF" w:rsidP="00EA0668">
            <w:pPr>
              <w:jc w:val="center"/>
              <w:rPr>
                <w:rFonts w:ascii="Calibri" w:hAnsi="Calibri"/>
                <w:b/>
                <w:bCs/>
                <w:color w:val="000000"/>
                <w:sz w:val="22"/>
                <w:szCs w:val="24"/>
                <w:lang w:val="es-ES"/>
              </w:rPr>
            </w:pPr>
          </w:p>
        </w:tc>
        <w:tc>
          <w:tcPr>
            <w:tcW w:w="7842" w:type="dxa"/>
            <w:vAlign w:val="center"/>
          </w:tcPr>
          <w:p w14:paraId="6A5D8B6F" w14:textId="77777777" w:rsidR="001B2EFF" w:rsidRPr="00BB6BFB" w:rsidRDefault="001B2EFF" w:rsidP="00EA0668">
            <w:pPr>
              <w:jc w:val="left"/>
              <w:rPr>
                <w:rFonts w:eastAsia="Calibri"/>
                <w:color w:val="000000"/>
                <w:szCs w:val="24"/>
                <w:lang w:val="es-ES"/>
              </w:rPr>
            </w:pPr>
            <w:r w:rsidRPr="00BB6BFB">
              <w:rPr>
                <w:rFonts w:eastAsia="Calibri"/>
                <w:color w:val="000000"/>
                <w:szCs w:val="24"/>
                <w:lang w:val="vi-VN"/>
              </w:rPr>
              <w:t xml:space="preserve">Không </w:t>
            </w:r>
            <w:r w:rsidRPr="00BB6BFB">
              <w:rPr>
                <w:rFonts w:eastAsia="Calibri"/>
                <w:color w:val="000000"/>
                <w:szCs w:val="24"/>
                <w:lang w:val="es-ES"/>
              </w:rPr>
              <w:t xml:space="preserve">cam kết </w:t>
            </w:r>
            <w:r w:rsidRPr="00BB6BFB">
              <w:rPr>
                <w:rFonts w:eastAsia="Calibri"/>
                <w:color w:val="000000"/>
                <w:szCs w:val="24"/>
                <w:lang w:val="vi-VN"/>
              </w:rPr>
              <w:t xml:space="preserve">đáp ứng yêu cầu của bên mời thầu tại Bảng tiến độ cung cấp chương IV </w:t>
            </w:r>
          </w:p>
        </w:tc>
        <w:tc>
          <w:tcPr>
            <w:tcW w:w="1270" w:type="dxa"/>
            <w:vAlign w:val="center"/>
          </w:tcPr>
          <w:p w14:paraId="21BAFF5D" w14:textId="77777777" w:rsidR="001B2EFF" w:rsidRPr="00BB6BFB" w:rsidRDefault="001B2EFF" w:rsidP="00EA0668">
            <w:pPr>
              <w:jc w:val="center"/>
              <w:rPr>
                <w:rFonts w:eastAsia="Calibri"/>
                <w:color w:val="000000"/>
                <w:spacing w:val="2"/>
                <w:szCs w:val="24"/>
              </w:rPr>
            </w:pPr>
            <w:r w:rsidRPr="00BB6BFB">
              <w:rPr>
                <w:rFonts w:eastAsia="Calibri"/>
                <w:color w:val="000000"/>
                <w:spacing w:val="2"/>
                <w:szCs w:val="24"/>
              </w:rPr>
              <w:t>Không đạt</w:t>
            </w:r>
          </w:p>
        </w:tc>
        <w:tc>
          <w:tcPr>
            <w:tcW w:w="1127" w:type="dxa"/>
          </w:tcPr>
          <w:p w14:paraId="1DE344B1" w14:textId="77777777" w:rsidR="001B2EFF" w:rsidRPr="00BB6BFB" w:rsidRDefault="001B2EFF" w:rsidP="00EA0668">
            <w:pPr>
              <w:jc w:val="center"/>
              <w:rPr>
                <w:rFonts w:ascii="Calibri" w:hAnsi="Calibri"/>
                <w:color w:val="000000"/>
                <w:sz w:val="22"/>
                <w:szCs w:val="24"/>
                <w:lang w:val="es-ES"/>
              </w:rPr>
            </w:pPr>
          </w:p>
        </w:tc>
      </w:tr>
      <w:tr w:rsidR="001B2EFF" w:rsidRPr="001E21C0" w14:paraId="0C36918C" w14:textId="77777777" w:rsidTr="00EA0668">
        <w:tc>
          <w:tcPr>
            <w:tcW w:w="676" w:type="dxa"/>
          </w:tcPr>
          <w:p w14:paraId="475C7EC6" w14:textId="77777777" w:rsidR="001B2EFF" w:rsidRPr="00BB6BFB" w:rsidRDefault="001B2EFF" w:rsidP="00EA0668">
            <w:pPr>
              <w:jc w:val="center"/>
              <w:rPr>
                <w:color w:val="000000"/>
                <w:szCs w:val="24"/>
                <w:lang w:val="es-ES"/>
              </w:rPr>
            </w:pPr>
            <w:r w:rsidRPr="00BB6BFB">
              <w:rPr>
                <w:b/>
                <w:bCs/>
                <w:color w:val="000000"/>
                <w:szCs w:val="24"/>
                <w:lang w:val="es-ES"/>
              </w:rPr>
              <w:t>3</w:t>
            </w:r>
          </w:p>
        </w:tc>
        <w:tc>
          <w:tcPr>
            <w:tcW w:w="7842" w:type="dxa"/>
            <w:vAlign w:val="center"/>
          </w:tcPr>
          <w:p w14:paraId="42785EA7" w14:textId="77777777" w:rsidR="001B2EFF" w:rsidRPr="00BB6BFB" w:rsidRDefault="001B2EFF" w:rsidP="00EA0668">
            <w:pPr>
              <w:jc w:val="left"/>
              <w:rPr>
                <w:rFonts w:eastAsia="Calibri"/>
                <w:color w:val="000000"/>
                <w:spacing w:val="-6"/>
                <w:szCs w:val="24"/>
                <w:lang w:val="es-ES"/>
              </w:rPr>
            </w:pPr>
            <w:r w:rsidRPr="00BB6BFB">
              <w:rPr>
                <w:rFonts w:eastAsia="Calibri"/>
                <w:b/>
                <w:bCs/>
                <w:color w:val="000000"/>
                <w:spacing w:val="2"/>
                <w:szCs w:val="24"/>
                <w:lang w:val="vi-VN"/>
              </w:rPr>
              <w:t>Yêu cầu về hạn dùng</w:t>
            </w:r>
          </w:p>
        </w:tc>
        <w:tc>
          <w:tcPr>
            <w:tcW w:w="1270" w:type="dxa"/>
            <w:vAlign w:val="center"/>
          </w:tcPr>
          <w:p w14:paraId="1ED3F5A7" w14:textId="77777777" w:rsidR="001B2EFF" w:rsidRPr="00BB6BFB" w:rsidRDefault="001B2EFF" w:rsidP="00EA0668">
            <w:pPr>
              <w:jc w:val="center"/>
              <w:rPr>
                <w:rFonts w:eastAsia="Calibri"/>
                <w:color w:val="000000"/>
                <w:spacing w:val="2"/>
                <w:szCs w:val="24"/>
                <w:lang w:val="vi-VN"/>
              </w:rPr>
            </w:pPr>
          </w:p>
        </w:tc>
        <w:tc>
          <w:tcPr>
            <w:tcW w:w="1127" w:type="dxa"/>
          </w:tcPr>
          <w:p w14:paraId="4483B7FF" w14:textId="77777777" w:rsidR="001B2EFF" w:rsidRPr="00BB6BFB" w:rsidRDefault="001B2EFF" w:rsidP="00EA0668">
            <w:pPr>
              <w:rPr>
                <w:color w:val="000000"/>
                <w:szCs w:val="24"/>
                <w:lang w:val="es-ES"/>
              </w:rPr>
            </w:pPr>
          </w:p>
        </w:tc>
      </w:tr>
      <w:tr w:rsidR="001B2EFF" w:rsidRPr="00BB6BFB" w14:paraId="57995A00" w14:textId="77777777" w:rsidTr="00EA0668">
        <w:tc>
          <w:tcPr>
            <w:tcW w:w="676" w:type="dxa"/>
          </w:tcPr>
          <w:p w14:paraId="247A6E85" w14:textId="77777777" w:rsidR="001B2EFF" w:rsidRPr="00BB6BFB" w:rsidRDefault="001B2EFF" w:rsidP="00EA0668">
            <w:pPr>
              <w:rPr>
                <w:color w:val="000000"/>
                <w:szCs w:val="24"/>
                <w:lang w:val="es-ES"/>
              </w:rPr>
            </w:pPr>
          </w:p>
        </w:tc>
        <w:tc>
          <w:tcPr>
            <w:tcW w:w="7842" w:type="dxa"/>
          </w:tcPr>
          <w:p w14:paraId="07EEA2CF" w14:textId="77777777" w:rsidR="001B2EFF" w:rsidRPr="00BB6BFB" w:rsidRDefault="001B2EFF" w:rsidP="00EA0668">
            <w:pPr>
              <w:rPr>
                <w:rFonts w:eastAsia="Calibri"/>
                <w:color w:val="000000"/>
                <w:spacing w:val="2"/>
                <w:szCs w:val="24"/>
                <w:lang w:val="vi-VN"/>
              </w:rPr>
            </w:pPr>
            <w:r w:rsidRPr="00BB6BFB">
              <w:rPr>
                <w:lang w:val="es-ES"/>
              </w:rPr>
              <w:t xml:space="preserve">Nhà </w:t>
            </w:r>
            <w:r w:rsidRPr="00BB6BFB">
              <w:rPr>
                <w:rFonts w:eastAsia="Calibri"/>
                <w:color w:val="000000"/>
                <w:spacing w:val="2"/>
                <w:szCs w:val="24"/>
                <w:lang w:val="vi-VN"/>
              </w:rPr>
              <w:t xml:space="preserve">thầu phải có cam kết nội dung về thời hạn sử dụng còn lại của hàng hóa tính tại thời điểm giao hàng như sau: </w:t>
            </w:r>
          </w:p>
          <w:p w14:paraId="68E8A568" w14:textId="77777777" w:rsidR="001B2EFF" w:rsidRPr="00BB6BFB" w:rsidRDefault="001B2EFF" w:rsidP="00EA0668">
            <w:pPr>
              <w:rPr>
                <w:rFonts w:eastAsia="Calibri"/>
                <w:spacing w:val="2"/>
                <w:szCs w:val="24"/>
                <w:lang w:val="vi-VN"/>
              </w:rPr>
            </w:pPr>
            <w:r w:rsidRPr="00BB6BFB">
              <w:rPr>
                <w:rFonts w:eastAsia="Calibri"/>
                <w:spacing w:val="2"/>
                <w:szCs w:val="24"/>
                <w:lang w:val="vi-VN"/>
              </w:rPr>
              <w:t>≥ 18 tháng với các mặt hàng có hạn dùng từ 36 tháng trở lên.</w:t>
            </w:r>
          </w:p>
          <w:p w14:paraId="401E6830" w14:textId="77777777" w:rsidR="001B2EFF" w:rsidRPr="00BB6BFB" w:rsidRDefault="001B2EFF" w:rsidP="00EA0668">
            <w:pPr>
              <w:rPr>
                <w:rFonts w:eastAsia="Calibri"/>
                <w:spacing w:val="2"/>
                <w:szCs w:val="24"/>
                <w:lang w:val="vi-VN"/>
              </w:rPr>
            </w:pPr>
            <w:r w:rsidRPr="00BB6BFB">
              <w:rPr>
                <w:rFonts w:eastAsia="Calibri"/>
                <w:spacing w:val="2"/>
                <w:szCs w:val="24"/>
                <w:lang w:val="vi-VN"/>
              </w:rPr>
              <w:t xml:space="preserve"> ≥ 12 tháng đối với các mặt hàng có hạn dùng từ 18 tháng đến dưới 36 tháng.</w:t>
            </w:r>
          </w:p>
          <w:p w14:paraId="698FD85F" w14:textId="77777777" w:rsidR="001B2EFF" w:rsidRPr="00BB6BFB" w:rsidRDefault="001B2EFF" w:rsidP="00EA0668">
            <w:pPr>
              <w:rPr>
                <w:rFonts w:eastAsia="Calibri"/>
                <w:spacing w:val="2"/>
                <w:szCs w:val="24"/>
                <w:lang w:val="vi-VN"/>
              </w:rPr>
            </w:pPr>
            <w:r w:rsidRPr="00BB6BFB">
              <w:rPr>
                <w:rFonts w:eastAsia="Calibri"/>
                <w:spacing w:val="2"/>
                <w:szCs w:val="24"/>
                <w:lang w:val="vi-VN"/>
              </w:rPr>
              <w:t xml:space="preserve"> ≥ 6 tháng đối với các mặt hàng có hạn dùng từ 12 tháng đến dưới 18 tháng.</w:t>
            </w:r>
          </w:p>
          <w:p w14:paraId="4E6C93AC" w14:textId="77777777" w:rsidR="001B2EFF" w:rsidRPr="00BB6BFB" w:rsidRDefault="001B2EFF" w:rsidP="00EA0668">
            <w:pPr>
              <w:rPr>
                <w:rFonts w:eastAsia="Calibri"/>
                <w:spacing w:val="2"/>
                <w:szCs w:val="24"/>
                <w:lang w:val="vi-VN"/>
              </w:rPr>
            </w:pPr>
            <w:r w:rsidRPr="00BB6BFB">
              <w:rPr>
                <w:rFonts w:eastAsia="Calibri"/>
                <w:spacing w:val="2"/>
                <w:szCs w:val="24"/>
                <w:lang w:val="vi-VN"/>
              </w:rPr>
              <w:t>≥ 3 tháng đối với các mặt hàng có hạn dùng từ 6 tháng đến dưới 12 tháng</w:t>
            </w:r>
          </w:p>
          <w:p w14:paraId="3669FB30" w14:textId="77777777" w:rsidR="001B2EFF" w:rsidRPr="00BB6BFB" w:rsidRDefault="001B2EFF" w:rsidP="00EA0668">
            <w:pPr>
              <w:widowControl w:val="0"/>
              <w:tabs>
                <w:tab w:val="left" w:pos="851"/>
              </w:tabs>
              <w:rPr>
                <w:rFonts w:eastAsia="Calibri"/>
                <w:spacing w:val="2"/>
                <w:szCs w:val="24"/>
                <w:lang w:val="vi-VN"/>
              </w:rPr>
            </w:pPr>
            <w:r w:rsidRPr="00BB6BFB">
              <w:rPr>
                <w:rFonts w:eastAsia="Calibri"/>
                <w:spacing w:val="2"/>
                <w:szCs w:val="24"/>
                <w:lang w:val="vi-VN"/>
              </w:rPr>
              <w:t>≥ 2 tháng đối với hàng hóa có hạn dùng 3 – 6 tháng.</w:t>
            </w:r>
          </w:p>
          <w:p w14:paraId="1AD621C7" w14:textId="77777777" w:rsidR="001B2EFF" w:rsidRPr="00BB6BFB" w:rsidRDefault="001B2EFF" w:rsidP="00EA0668">
            <w:pPr>
              <w:widowControl w:val="0"/>
              <w:tabs>
                <w:tab w:val="left" w:pos="851"/>
              </w:tabs>
              <w:rPr>
                <w:rFonts w:eastAsia="Calibri"/>
                <w:color w:val="000000"/>
                <w:spacing w:val="2"/>
                <w:szCs w:val="24"/>
                <w:lang w:val="vi-VN"/>
              </w:rPr>
            </w:pPr>
            <w:r w:rsidRPr="00BB6BFB">
              <w:rPr>
                <w:rFonts w:eastAsia="Calibri"/>
                <w:spacing w:val="2"/>
                <w:szCs w:val="24"/>
                <w:lang w:val="vi-VN"/>
              </w:rPr>
              <w:t>≥ 1 tháng đối với hàng hóa có hạn dùng dưới 3 tháng kể từ thời điểm giao hàng</w:t>
            </w:r>
            <w:r w:rsidRPr="00BB6BFB">
              <w:rPr>
                <w:rFonts w:eastAsia="Calibri"/>
                <w:color w:val="000000"/>
                <w:spacing w:val="2"/>
                <w:szCs w:val="24"/>
                <w:lang w:val="vi-VN"/>
              </w:rPr>
              <w:t>.</w:t>
            </w:r>
          </w:p>
          <w:p w14:paraId="23DA91C2" w14:textId="77777777" w:rsidR="001B2EFF" w:rsidRPr="00BB6BFB" w:rsidRDefault="001B2EFF" w:rsidP="00EA0668">
            <w:pPr>
              <w:widowControl w:val="0"/>
              <w:tabs>
                <w:tab w:val="left" w:pos="851"/>
              </w:tabs>
              <w:rPr>
                <w:rFonts w:eastAsia="Calibri"/>
                <w:color w:val="000000"/>
                <w:spacing w:val="2"/>
                <w:szCs w:val="24"/>
                <w:lang w:val="vi-VN"/>
              </w:rPr>
            </w:pPr>
            <w:r w:rsidRPr="00BB6BFB">
              <w:rPr>
                <w:rFonts w:eastAsia="Calibri"/>
                <w:color w:val="000000"/>
                <w:spacing w:val="2"/>
                <w:szCs w:val="24"/>
                <w:lang w:val="vi-VN"/>
              </w:rPr>
              <w:t>Đối với hàng hoá không có hạn sử dụng nhà thầu cam kết cung cấp hàng mới 100%</w:t>
            </w:r>
          </w:p>
        </w:tc>
        <w:tc>
          <w:tcPr>
            <w:tcW w:w="1270" w:type="dxa"/>
            <w:vAlign w:val="center"/>
          </w:tcPr>
          <w:p w14:paraId="13167760" w14:textId="77777777" w:rsidR="001B2EFF" w:rsidRPr="00BB6BFB" w:rsidRDefault="001B2EFF" w:rsidP="00EA0668">
            <w:pPr>
              <w:jc w:val="center"/>
              <w:rPr>
                <w:rFonts w:eastAsia="Calibri"/>
                <w:color w:val="000000"/>
                <w:spacing w:val="2"/>
                <w:szCs w:val="24"/>
              </w:rPr>
            </w:pPr>
            <w:r w:rsidRPr="00BB6BFB">
              <w:rPr>
                <w:rFonts w:eastAsia="Calibri"/>
                <w:color w:val="000000"/>
                <w:spacing w:val="2"/>
                <w:szCs w:val="24"/>
              </w:rPr>
              <w:t>Đạt</w:t>
            </w:r>
          </w:p>
        </w:tc>
        <w:tc>
          <w:tcPr>
            <w:tcW w:w="1127" w:type="dxa"/>
          </w:tcPr>
          <w:p w14:paraId="5FEE64AE" w14:textId="77777777" w:rsidR="001B2EFF" w:rsidRPr="00BB6BFB" w:rsidRDefault="001B2EFF" w:rsidP="00EA0668">
            <w:pPr>
              <w:rPr>
                <w:color w:val="000000"/>
                <w:szCs w:val="24"/>
                <w:lang w:val="es-ES"/>
              </w:rPr>
            </w:pPr>
          </w:p>
        </w:tc>
      </w:tr>
      <w:tr w:rsidR="001B2EFF" w:rsidRPr="00BB6BFB" w14:paraId="32E0A1C2" w14:textId="77777777" w:rsidTr="00EA0668">
        <w:tc>
          <w:tcPr>
            <w:tcW w:w="676" w:type="dxa"/>
          </w:tcPr>
          <w:p w14:paraId="311E9655" w14:textId="77777777" w:rsidR="001B2EFF" w:rsidRPr="00BB6BFB" w:rsidRDefault="001B2EFF" w:rsidP="00EA0668">
            <w:pPr>
              <w:rPr>
                <w:color w:val="000000"/>
                <w:szCs w:val="24"/>
                <w:lang w:val="es-ES"/>
              </w:rPr>
            </w:pPr>
          </w:p>
        </w:tc>
        <w:tc>
          <w:tcPr>
            <w:tcW w:w="7842" w:type="dxa"/>
          </w:tcPr>
          <w:p w14:paraId="7D79F6AB" w14:textId="77777777" w:rsidR="001B2EFF" w:rsidRPr="00BB6BFB" w:rsidRDefault="001B2EFF" w:rsidP="00EA0668">
            <w:pPr>
              <w:rPr>
                <w:rFonts w:eastAsia="Calibri"/>
                <w:b/>
                <w:bCs/>
                <w:color w:val="000000"/>
                <w:spacing w:val="2"/>
                <w:szCs w:val="24"/>
                <w:lang w:val="es-ES"/>
              </w:rPr>
            </w:pPr>
            <w:r w:rsidRPr="00BB6BFB">
              <w:rPr>
                <w:rFonts w:eastAsia="Calibri"/>
                <w:color w:val="000000"/>
                <w:spacing w:val="2"/>
                <w:szCs w:val="24"/>
                <w:lang w:val="vi-VN"/>
              </w:rPr>
              <w:t>Không có cam kết đáp ứng yêu cầu trên</w:t>
            </w:r>
          </w:p>
        </w:tc>
        <w:tc>
          <w:tcPr>
            <w:tcW w:w="1270" w:type="dxa"/>
            <w:vAlign w:val="center"/>
          </w:tcPr>
          <w:p w14:paraId="4AF8FC60" w14:textId="77777777" w:rsidR="001B2EFF" w:rsidRPr="00BB6BFB" w:rsidRDefault="001B2EFF" w:rsidP="00EA0668">
            <w:pPr>
              <w:jc w:val="center"/>
              <w:rPr>
                <w:rFonts w:eastAsia="Calibri"/>
                <w:color w:val="000000"/>
                <w:spacing w:val="2"/>
                <w:szCs w:val="24"/>
              </w:rPr>
            </w:pPr>
            <w:r w:rsidRPr="00BB6BFB">
              <w:rPr>
                <w:rFonts w:eastAsia="Calibri"/>
                <w:color w:val="000000"/>
                <w:spacing w:val="2"/>
                <w:szCs w:val="24"/>
                <w:lang w:val="vi-VN"/>
              </w:rPr>
              <w:t>Không đạt</w:t>
            </w:r>
          </w:p>
        </w:tc>
        <w:tc>
          <w:tcPr>
            <w:tcW w:w="1127" w:type="dxa"/>
          </w:tcPr>
          <w:p w14:paraId="4CF6CB43" w14:textId="77777777" w:rsidR="001B2EFF" w:rsidRPr="00BB6BFB" w:rsidRDefault="001B2EFF" w:rsidP="00EA0668">
            <w:pPr>
              <w:rPr>
                <w:color w:val="000000"/>
                <w:szCs w:val="24"/>
                <w:lang w:val="es-ES"/>
              </w:rPr>
            </w:pPr>
          </w:p>
        </w:tc>
      </w:tr>
      <w:tr w:rsidR="001B2EFF" w:rsidRPr="00BB6BFB" w14:paraId="0362AB27" w14:textId="77777777" w:rsidTr="00EA0668">
        <w:tc>
          <w:tcPr>
            <w:tcW w:w="676" w:type="dxa"/>
          </w:tcPr>
          <w:p w14:paraId="6EAA4FD6" w14:textId="77777777" w:rsidR="001B2EFF" w:rsidRPr="00BB6BFB" w:rsidRDefault="001B2EFF" w:rsidP="00EA0668">
            <w:pPr>
              <w:jc w:val="center"/>
              <w:rPr>
                <w:rFonts w:ascii="Calibri" w:hAnsi="Calibri"/>
                <w:b/>
                <w:bCs/>
                <w:color w:val="000000"/>
                <w:sz w:val="22"/>
                <w:szCs w:val="24"/>
                <w:lang w:val="es-ES"/>
              </w:rPr>
            </w:pPr>
          </w:p>
        </w:tc>
        <w:tc>
          <w:tcPr>
            <w:tcW w:w="7842" w:type="dxa"/>
          </w:tcPr>
          <w:p w14:paraId="16C5C612" w14:textId="77777777" w:rsidR="001B2EFF" w:rsidRPr="00BB6BFB" w:rsidRDefault="001B2EFF" w:rsidP="00EA0668">
            <w:pPr>
              <w:jc w:val="left"/>
              <w:rPr>
                <w:rFonts w:ascii="Calibri" w:eastAsia="Calibri" w:hAnsi="Calibri"/>
                <w:b/>
                <w:bCs/>
                <w:color w:val="000000"/>
                <w:spacing w:val="2"/>
                <w:sz w:val="22"/>
                <w:szCs w:val="24"/>
                <w:lang w:val="vi-VN"/>
              </w:rPr>
            </w:pPr>
            <w:r w:rsidRPr="00BB6BFB">
              <w:rPr>
                <w:b/>
                <w:bCs/>
              </w:rPr>
              <w:t>Kết luận</w:t>
            </w:r>
          </w:p>
        </w:tc>
        <w:tc>
          <w:tcPr>
            <w:tcW w:w="1270" w:type="dxa"/>
          </w:tcPr>
          <w:p w14:paraId="3C4C67CC" w14:textId="77777777" w:rsidR="001B2EFF" w:rsidRPr="00BB6BFB" w:rsidRDefault="001B2EFF" w:rsidP="00EA0668">
            <w:pPr>
              <w:jc w:val="center"/>
              <w:rPr>
                <w:rFonts w:ascii="Calibri" w:eastAsia="Calibri" w:hAnsi="Calibri"/>
                <w:color w:val="000000"/>
                <w:spacing w:val="2"/>
                <w:sz w:val="22"/>
                <w:szCs w:val="24"/>
                <w:lang w:val="vi-VN"/>
              </w:rPr>
            </w:pPr>
          </w:p>
        </w:tc>
        <w:tc>
          <w:tcPr>
            <w:tcW w:w="1127" w:type="dxa"/>
          </w:tcPr>
          <w:p w14:paraId="5A36CCFB" w14:textId="77777777" w:rsidR="001B2EFF" w:rsidRPr="00BB6BFB" w:rsidRDefault="001B2EFF" w:rsidP="00EA0668">
            <w:pPr>
              <w:jc w:val="center"/>
              <w:rPr>
                <w:rFonts w:ascii="Calibri" w:hAnsi="Calibri"/>
                <w:color w:val="000000"/>
                <w:sz w:val="22"/>
                <w:szCs w:val="24"/>
                <w:lang w:val="es-ES"/>
              </w:rPr>
            </w:pPr>
          </w:p>
        </w:tc>
      </w:tr>
      <w:tr w:rsidR="001B2EFF" w:rsidRPr="00BB6BFB" w14:paraId="56910B53" w14:textId="77777777" w:rsidTr="00EA0668">
        <w:tc>
          <w:tcPr>
            <w:tcW w:w="676" w:type="dxa"/>
          </w:tcPr>
          <w:p w14:paraId="7B4CB535" w14:textId="77777777" w:rsidR="001B2EFF" w:rsidRPr="00BB6BFB" w:rsidRDefault="001B2EFF" w:rsidP="00EA0668">
            <w:pPr>
              <w:jc w:val="center"/>
              <w:rPr>
                <w:rFonts w:ascii="Calibri" w:hAnsi="Calibri"/>
                <w:b/>
                <w:bCs/>
                <w:color w:val="000000"/>
                <w:sz w:val="22"/>
                <w:szCs w:val="24"/>
                <w:lang w:val="es-ES"/>
              </w:rPr>
            </w:pPr>
          </w:p>
        </w:tc>
        <w:tc>
          <w:tcPr>
            <w:tcW w:w="7842" w:type="dxa"/>
          </w:tcPr>
          <w:p w14:paraId="48D09B61" w14:textId="77777777" w:rsidR="001B2EFF" w:rsidRPr="00BB6BFB" w:rsidRDefault="001B2EFF" w:rsidP="00EA0668">
            <w:pPr>
              <w:jc w:val="left"/>
              <w:rPr>
                <w:rFonts w:ascii="Calibri" w:eastAsia="Calibri" w:hAnsi="Calibri"/>
                <w:b/>
                <w:bCs/>
                <w:color w:val="000000"/>
                <w:spacing w:val="2"/>
                <w:sz w:val="22"/>
                <w:szCs w:val="24"/>
                <w:lang w:val="es-ES"/>
              </w:rPr>
            </w:pPr>
            <w:r w:rsidRPr="00BB6BFB">
              <w:rPr>
                <w:lang w:val="es-ES"/>
              </w:rPr>
              <w:t xml:space="preserve">Tất cả các tiêu chuẩn nêu trên được đánh giá là đạt. Đạt Không đạt một trong các tiêu chuẩn nêu trên. </w:t>
            </w:r>
            <w:r w:rsidRPr="00BB6BFB">
              <w:t>Không đạt</w:t>
            </w:r>
          </w:p>
        </w:tc>
        <w:tc>
          <w:tcPr>
            <w:tcW w:w="1270" w:type="dxa"/>
          </w:tcPr>
          <w:p w14:paraId="05E5AC16" w14:textId="77777777" w:rsidR="001B2EFF" w:rsidRPr="00BB6BFB" w:rsidRDefault="001B2EFF" w:rsidP="00EA0668">
            <w:pPr>
              <w:jc w:val="center"/>
              <w:rPr>
                <w:rFonts w:ascii="Calibri" w:eastAsia="Calibri" w:hAnsi="Calibri"/>
                <w:color w:val="000000"/>
                <w:spacing w:val="2"/>
                <w:sz w:val="22"/>
                <w:szCs w:val="24"/>
                <w:lang w:val="es-ES"/>
              </w:rPr>
            </w:pPr>
            <w:r w:rsidRPr="00BB6BFB">
              <w:t>Đạt</w:t>
            </w:r>
          </w:p>
        </w:tc>
        <w:tc>
          <w:tcPr>
            <w:tcW w:w="1127" w:type="dxa"/>
          </w:tcPr>
          <w:p w14:paraId="57078548" w14:textId="77777777" w:rsidR="001B2EFF" w:rsidRPr="00BB6BFB" w:rsidRDefault="001B2EFF" w:rsidP="00EA0668">
            <w:pPr>
              <w:jc w:val="center"/>
              <w:rPr>
                <w:rFonts w:ascii="Calibri" w:hAnsi="Calibri"/>
                <w:color w:val="000000"/>
                <w:sz w:val="22"/>
                <w:szCs w:val="24"/>
                <w:lang w:val="es-ES"/>
              </w:rPr>
            </w:pPr>
          </w:p>
        </w:tc>
      </w:tr>
      <w:tr w:rsidR="001B2EFF" w:rsidRPr="00BB6BFB" w14:paraId="00DBAB05" w14:textId="77777777" w:rsidTr="00EA0668">
        <w:tc>
          <w:tcPr>
            <w:tcW w:w="676" w:type="dxa"/>
          </w:tcPr>
          <w:p w14:paraId="156C45C6" w14:textId="77777777" w:rsidR="001B2EFF" w:rsidRPr="00BB6BFB" w:rsidRDefault="001B2EFF" w:rsidP="00EA0668">
            <w:pPr>
              <w:jc w:val="center"/>
              <w:rPr>
                <w:rFonts w:ascii="Calibri" w:hAnsi="Calibri"/>
                <w:b/>
                <w:bCs/>
                <w:color w:val="000000"/>
                <w:sz w:val="22"/>
                <w:szCs w:val="24"/>
                <w:lang w:val="es-ES"/>
              </w:rPr>
            </w:pPr>
          </w:p>
        </w:tc>
        <w:tc>
          <w:tcPr>
            <w:tcW w:w="7842" w:type="dxa"/>
          </w:tcPr>
          <w:p w14:paraId="75BD6F81" w14:textId="77777777" w:rsidR="001B2EFF" w:rsidRPr="00BB6BFB" w:rsidRDefault="001B2EFF" w:rsidP="00EA0668">
            <w:pPr>
              <w:jc w:val="left"/>
              <w:rPr>
                <w:rFonts w:eastAsia="Calibri"/>
                <w:color w:val="000000"/>
                <w:spacing w:val="2"/>
                <w:szCs w:val="24"/>
                <w:lang w:val="vi-VN"/>
              </w:rPr>
            </w:pPr>
            <w:r w:rsidRPr="00BB6BFB">
              <w:rPr>
                <w:lang w:val="es-ES"/>
              </w:rPr>
              <w:t>Không đạt một trong các tiêu chuẩn nêu trên</w:t>
            </w:r>
          </w:p>
        </w:tc>
        <w:tc>
          <w:tcPr>
            <w:tcW w:w="1270" w:type="dxa"/>
          </w:tcPr>
          <w:p w14:paraId="7F6B9900" w14:textId="77777777" w:rsidR="001B2EFF" w:rsidRPr="00BB6BFB" w:rsidRDefault="001B2EFF" w:rsidP="00EA0668">
            <w:pPr>
              <w:jc w:val="center"/>
              <w:rPr>
                <w:rFonts w:ascii="Calibri" w:eastAsia="Calibri" w:hAnsi="Calibri"/>
                <w:color w:val="000000"/>
                <w:spacing w:val="2"/>
                <w:sz w:val="22"/>
                <w:szCs w:val="24"/>
                <w:lang w:val="vi-VN"/>
              </w:rPr>
            </w:pPr>
            <w:r w:rsidRPr="00BB6BFB">
              <w:t>Không đạt</w:t>
            </w:r>
          </w:p>
        </w:tc>
        <w:tc>
          <w:tcPr>
            <w:tcW w:w="1127" w:type="dxa"/>
          </w:tcPr>
          <w:p w14:paraId="5DD99FFE" w14:textId="77777777" w:rsidR="001B2EFF" w:rsidRPr="00BB6BFB" w:rsidRDefault="001B2EFF" w:rsidP="00EA0668">
            <w:pPr>
              <w:jc w:val="center"/>
              <w:rPr>
                <w:rFonts w:ascii="Calibri" w:hAnsi="Calibri"/>
                <w:color w:val="000000"/>
                <w:sz w:val="22"/>
                <w:szCs w:val="24"/>
                <w:lang w:val="es-ES"/>
              </w:rPr>
            </w:pPr>
          </w:p>
        </w:tc>
      </w:tr>
    </w:tbl>
    <w:p w14:paraId="063C86D5" w14:textId="77777777" w:rsidR="001B2EFF" w:rsidRPr="00BB6BFB" w:rsidRDefault="001B2EFF" w:rsidP="001B2EFF">
      <w:pPr>
        <w:pStyle w:val="TOC1"/>
        <w:spacing w:line="264" w:lineRule="auto"/>
        <w:rPr>
          <w:sz w:val="26"/>
          <w:szCs w:val="26"/>
        </w:rPr>
      </w:pPr>
      <w:r w:rsidRPr="00BB6BFB">
        <w:rPr>
          <w:sz w:val="26"/>
          <w:szCs w:val="26"/>
        </w:rPr>
        <w:t>Mục 4. Tiêu chuẩn đánh giá về tài chính</w:t>
      </w:r>
    </w:p>
    <w:p w14:paraId="5B0D4CB4" w14:textId="77777777" w:rsidR="001B2EFF" w:rsidRPr="00BB6BFB" w:rsidRDefault="001B2EFF" w:rsidP="001B2EFF">
      <w:pPr>
        <w:spacing w:before="80" w:after="80" w:line="264" w:lineRule="auto"/>
        <w:ind w:firstLine="709"/>
        <w:rPr>
          <w:i/>
          <w:sz w:val="26"/>
          <w:szCs w:val="26"/>
          <w:lang w:val="es-ES"/>
        </w:rPr>
      </w:pPr>
      <w:r w:rsidRPr="00BB6BFB">
        <w:rPr>
          <w:i/>
          <w:sz w:val="26"/>
          <w:szCs w:val="26"/>
          <w:lang w:val="es-ES"/>
        </w:rPr>
        <w:t>Căn cứ tính chất, quy mô của từng gói thầu cụ thể mà lựa chọn một trong các phương pháp dưới đây cho phù hợp:</w:t>
      </w:r>
    </w:p>
    <w:p w14:paraId="28448AFD" w14:textId="77777777" w:rsidR="001B2EFF" w:rsidRPr="00BB6BFB" w:rsidRDefault="001B2EFF" w:rsidP="001B2EFF">
      <w:pPr>
        <w:spacing w:before="80" w:after="80" w:line="264" w:lineRule="auto"/>
        <w:ind w:firstLine="709"/>
        <w:rPr>
          <w:b/>
          <w:sz w:val="26"/>
          <w:szCs w:val="26"/>
          <w:lang w:val="es-ES"/>
        </w:rPr>
      </w:pPr>
      <w:r w:rsidRPr="00BB6BFB">
        <w:rPr>
          <w:b/>
          <w:sz w:val="26"/>
          <w:szCs w:val="26"/>
          <w:lang w:val="es-ES"/>
        </w:rPr>
        <w:t>4.1. Phương pháp giá thấp nhất</w:t>
      </w:r>
      <w:r w:rsidRPr="00BB6BFB">
        <w:rPr>
          <w:rStyle w:val="FootnoteReference"/>
          <w:sz w:val="26"/>
          <w:szCs w:val="26"/>
        </w:rPr>
        <w:footnoteReference w:id="1"/>
      </w:r>
      <w:r w:rsidRPr="00BB6BFB">
        <w:rPr>
          <w:b/>
          <w:sz w:val="26"/>
          <w:szCs w:val="26"/>
          <w:lang w:val="es-ES"/>
        </w:rPr>
        <w:t>:</w:t>
      </w:r>
    </w:p>
    <w:p w14:paraId="6894CE38" w14:textId="77777777" w:rsidR="001B2EFF" w:rsidRPr="00BB6BFB" w:rsidRDefault="001B2EFF" w:rsidP="001B2EFF">
      <w:pPr>
        <w:spacing w:before="80" w:after="80" w:line="264" w:lineRule="auto"/>
        <w:ind w:firstLine="709"/>
        <w:rPr>
          <w:sz w:val="26"/>
          <w:szCs w:val="26"/>
          <w:lang w:val="es-ES"/>
        </w:rPr>
      </w:pPr>
      <w:r w:rsidRPr="00BB6BFB">
        <w:rPr>
          <w:sz w:val="26"/>
          <w:szCs w:val="26"/>
          <w:lang w:val="es-ES"/>
        </w:rPr>
        <w:t>Cách xác định giá thấp nhất theo các bước sau đây:</w:t>
      </w:r>
    </w:p>
    <w:p w14:paraId="2FB83108" w14:textId="77777777" w:rsidR="001B2EFF" w:rsidRPr="00BB6BFB" w:rsidRDefault="001B2EFF" w:rsidP="001B2EFF">
      <w:pPr>
        <w:spacing w:before="120" w:after="120" w:line="264" w:lineRule="auto"/>
        <w:ind w:firstLine="709"/>
        <w:rPr>
          <w:sz w:val="26"/>
          <w:szCs w:val="26"/>
          <w:lang w:val="es-ES"/>
        </w:rPr>
      </w:pPr>
      <w:r w:rsidRPr="00BB6BFB">
        <w:rPr>
          <w:sz w:val="26"/>
          <w:szCs w:val="26"/>
          <w:lang w:val="es-ES"/>
        </w:rPr>
        <w:t xml:space="preserve">- </w:t>
      </w:r>
      <w:r w:rsidRPr="00BB6BFB">
        <w:rPr>
          <w:i/>
          <w:sz w:val="26"/>
          <w:szCs w:val="26"/>
          <w:lang w:val="es-ES"/>
        </w:rPr>
        <w:t xml:space="preserve">Trường hợp Mục 13.5 </w:t>
      </w:r>
      <w:r w:rsidRPr="00BB6BFB">
        <w:rPr>
          <w:b/>
          <w:i/>
          <w:sz w:val="26"/>
          <w:szCs w:val="26"/>
          <w:lang w:val="es-ES"/>
        </w:rPr>
        <w:t>E-BDL</w:t>
      </w:r>
      <w:r w:rsidRPr="00BB6BFB">
        <w:rPr>
          <w:i/>
          <w:sz w:val="26"/>
          <w:szCs w:val="26"/>
          <w:lang w:val="es-ES"/>
        </w:rPr>
        <w:t xml:space="preserve"> quy định nhà thầu chào theo Mẫu số 12.1 (12.1A hoặc 12.1B hoặc 12.1C) Chương IV</w:t>
      </w:r>
      <w:r w:rsidRPr="00BB6BFB">
        <w:rPr>
          <w:sz w:val="26"/>
          <w:szCs w:val="26"/>
          <w:lang w:val="es-ES"/>
        </w:rPr>
        <w:t>:</w:t>
      </w:r>
    </w:p>
    <w:p w14:paraId="483DCEF5" w14:textId="77777777" w:rsidR="001B2EFF" w:rsidRPr="00BB6BFB" w:rsidRDefault="001B2EFF" w:rsidP="001B2EFF">
      <w:pPr>
        <w:spacing w:before="120" w:after="120" w:line="264" w:lineRule="auto"/>
        <w:ind w:firstLine="709"/>
        <w:rPr>
          <w:sz w:val="26"/>
          <w:szCs w:val="26"/>
          <w:lang w:val="es-ES"/>
        </w:rPr>
      </w:pPr>
      <w:r w:rsidRPr="00BB6BFB">
        <w:rPr>
          <w:sz w:val="26"/>
          <w:szCs w:val="26"/>
          <w:lang w:val="es-ES"/>
        </w:rPr>
        <w:t>Bước 1. Xác định giá dự thầu, giá dự thầu sau giảm giá (nếu có);</w:t>
      </w:r>
    </w:p>
    <w:p w14:paraId="063958AF" w14:textId="77777777" w:rsidR="001B2EFF" w:rsidRPr="00BB6BFB" w:rsidRDefault="001B2EFF" w:rsidP="001B2EFF">
      <w:pPr>
        <w:spacing w:before="120" w:after="120" w:line="264" w:lineRule="auto"/>
        <w:ind w:firstLine="709"/>
        <w:rPr>
          <w:sz w:val="26"/>
          <w:szCs w:val="26"/>
          <w:lang w:val="es-ES"/>
        </w:rPr>
      </w:pPr>
      <w:r w:rsidRPr="00BB6BFB">
        <w:rPr>
          <w:sz w:val="26"/>
          <w:szCs w:val="26"/>
          <w:lang w:val="es-ES"/>
        </w:rPr>
        <w:t>Bước 2. Xác định giá trị ưu đãi (nếu có) theo quy định tại Mục 28 E-CDNT;</w:t>
      </w:r>
    </w:p>
    <w:p w14:paraId="610BF695" w14:textId="77777777" w:rsidR="001B2EFF" w:rsidRPr="00BB6BFB" w:rsidRDefault="001B2EFF" w:rsidP="001B2EFF">
      <w:pPr>
        <w:tabs>
          <w:tab w:val="center" w:pos="4961"/>
        </w:tabs>
        <w:spacing w:before="120" w:after="120" w:line="264" w:lineRule="auto"/>
        <w:ind w:firstLine="709"/>
        <w:rPr>
          <w:spacing w:val="-6"/>
          <w:sz w:val="26"/>
          <w:szCs w:val="26"/>
          <w:lang w:val="es-ES"/>
        </w:rPr>
      </w:pPr>
      <w:r w:rsidRPr="00BB6BFB">
        <w:rPr>
          <w:spacing w:val="-6"/>
          <w:sz w:val="26"/>
          <w:szCs w:val="26"/>
          <w:lang w:val="es-ES"/>
        </w:rPr>
        <w:t>Bước 3. Xếp hạng nhà thầu: E-HSDT có giá dự thầu sau khi trừ đi giá trị giảm giá (nếu có), cộng giá trị ưu đãi (nếu có) thấp nhất được xếp hạng thứ nhất.</w:t>
      </w:r>
    </w:p>
    <w:p w14:paraId="22FF9722" w14:textId="77777777" w:rsidR="001B2EFF" w:rsidRPr="00BB6BFB" w:rsidRDefault="001B2EFF" w:rsidP="001B2EFF">
      <w:pPr>
        <w:tabs>
          <w:tab w:val="center" w:pos="4961"/>
        </w:tabs>
        <w:spacing w:before="120" w:after="120" w:line="264" w:lineRule="auto"/>
        <w:ind w:firstLine="709"/>
        <w:rPr>
          <w:spacing w:val="-6"/>
          <w:sz w:val="26"/>
          <w:szCs w:val="26"/>
          <w:lang w:val="es-ES"/>
        </w:rPr>
      </w:pPr>
      <w:r w:rsidRPr="00BB6BFB">
        <w:rPr>
          <w:i/>
          <w:iCs/>
          <w:spacing w:val="-6"/>
          <w:sz w:val="26"/>
          <w:szCs w:val="26"/>
          <w:lang w:val="es-ES"/>
        </w:rPr>
        <w:t xml:space="preserve">- </w:t>
      </w:r>
      <w:r w:rsidRPr="00BB6BFB">
        <w:rPr>
          <w:i/>
          <w:iCs/>
          <w:sz w:val="26"/>
          <w:szCs w:val="26"/>
          <w:lang w:val="es-ES"/>
        </w:rPr>
        <w:t xml:space="preserve">Trường hợp Mục 13.5 </w:t>
      </w:r>
      <w:r w:rsidRPr="00BB6BFB">
        <w:rPr>
          <w:b/>
          <w:i/>
          <w:iCs/>
          <w:sz w:val="26"/>
          <w:szCs w:val="26"/>
          <w:lang w:val="es-ES"/>
        </w:rPr>
        <w:t>E-BDL</w:t>
      </w:r>
      <w:r w:rsidRPr="00BB6BFB">
        <w:rPr>
          <w:i/>
          <w:iCs/>
          <w:sz w:val="26"/>
          <w:szCs w:val="26"/>
          <w:lang w:val="es-ES"/>
        </w:rPr>
        <w:t xml:space="preserve"> quy định nhà thầu</w:t>
      </w:r>
      <w:r w:rsidRPr="00BB6BFB">
        <w:rPr>
          <w:i/>
          <w:iCs/>
          <w:spacing w:val="-6"/>
          <w:sz w:val="26"/>
          <w:szCs w:val="26"/>
          <w:lang w:val="es-ES"/>
        </w:rPr>
        <w:t xml:space="preserve"> chào theo Mẫu số 12.2 </w:t>
      </w:r>
      <w:r w:rsidRPr="00BB6BFB">
        <w:rPr>
          <w:i/>
          <w:iCs/>
          <w:sz w:val="26"/>
          <w:szCs w:val="26"/>
          <w:lang w:val="es-ES"/>
        </w:rPr>
        <w:t>(12.2A hoặc 12.2B hoặc 12.2C)</w:t>
      </w:r>
      <w:r w:rsidRPr="00BB6BFB">
        <w:rPr>
          <w:sz w:val="26"/>
          <w:szCs w:val="26"/>
          <w:lang w:val="es-ES"/>
        </w:rPr>
        <w:t xml:space="preserve"> </w:t>
      </w:r>
      <w:r w:rsidRPr="00BB6BFB">
        <w:rPr>
          <w:i/>
          <w:spacing w:val="-6"/>
          <w:sz w:val="26"/>
          <w:szCs w:val="26"/>
          <w:lang w:val="es-ES"/>
        </w:rPr>
        <w:t>Chương IV</w:t>
      </w:r>
      <w:r w:rsidRPr="00BB6BFB">
        <w:rPr>
          <w:spacing w:val="-6"/>
          <w:sz w:val="26"/>
          <w:szCs w:val="26"/>
          <w:lang w:val="es-ES"/>
        </w:rPr>
        <w:t>:</w:t>
      </w:r>
    </w:p>
    <w:p w14:paraId="4255C77F" w14:textId="77777777" w:rsidR="001B2EFF" w:rsidRPr="00BB6BFB" w:rsidRDefault="001B2EFF" w:rsidP="001B2EFF">
      <w:pPr>
        <w:spacing w:before="120" w:after="120" w:line="264" w:lineRule="auto"/>
        <w:ind w:firstLine="709"/>
        <w:rPr>
          <w:sz w:val="26"/>
          <w:szCs w:val="26"/>
          <w:lang w:val="es-ES"/>
        </w:rPr>
      </w:pPr>
      <w:r w:rsidRPr="00BB6BFB">
        <w:rPr>
          <w:sz w:val="26"/>
          <w:szCs w:val="26"/>
          <w:lang w:val="es-ES"/>
        </w:rPr>
        <w:t>Bước 1. Xác định giá dự thầu không bao gồm thuế, phí, lệ phí liên quan đến nhập khẩu, thuế tiêu thụ đặc biệt (nếu có), thuế VAT, sau khi giảm giá (nếu có);</w:t>
      </w:r>
    </w:p>
    <w:p w14:paraId="6FD32C4C" w14:textId="77777777" w:rsidR="001B2EFF" w:rsidRPr="00BB6BFB" w:rsidRDefault="001B2EFF" w:rsidP="001B2EFF">
      <w:pPr>
        <w:spacing w:before="120" w:after="120" w:line="264" w:lineRule="auto"/>
        <w:ind w:firstLine="709"/>
        <w:rPr>
          <w:sz w:val="26"/>
          <w:szCs w:val="26"/>
          <w:lang w:val="es-ES"/>
        </w:rPr>
      </w:pPr>
      <w:r w:rsidRPr="00BB6BFB">
        <w:rPr>
          <w:sz w:val="26"/>
          <w:szCs w:val="26"/>
          <w:lang w:val="es-ES"/>
        </w:rPr>
        <w:t>Bước 2. Xác định giá trị ưu đãi (nếu có) theo quy định tại Mục 28 E-CDNT;</w:t>
      </w:r>
    </w:p>
    <w:p w14:paraId="135765A9" w14:textId="77777777" w:rsidR="001B2EFF" w:rsidRPr="00BB6BFB" w:rsidRDefault="001B2EFF" w:rsidP="001B2EFF">
      <w:pPr>
        <w:tabs>
          <w:tab w:val="center" w:pos="4961"/>
        </w:tabs>
        <w:spacing w:before="80" w:after="80" w:line="264" w:lineRule="auto"/>
        <w:ind w:firstLine="709"/>
        <w:rPr>
          <w:spacing w:val="-6"/>
          <w:sz w:val="26"/>
          <w:szCs w:val="26"/>
          <w:lang w:val="es-ES"/>
        </w:rPr>
      </w:pPr>
      <w:r w:rsidRPr="00BB6BFB">
        <w:rPr>
          <w:spacing w:val="-6"/>
          <w:sz w:val="26"/>
          <w:szCs w:val="26"/>
          <w:lang w:val="es-ES"/>
        </w:rPr>
        <w:t xml:space="preserve">Bước 3. Xếp hạng nhà thầu: E-HSDT có giá dự thầu </w:t>
      </w:r>
      <w:r w:rsidRPr="00BB6BFB">
        <w:rPr>
          <w:sz w:val="26"/>
          <w:szCs w:val="26"/>
          <w:lang w:val="es-ES"/>
        </w:rPr>
        <w:t>không bao gồm thuế, phí, lệ phí liên quan đến nhập khẩu, thuế tiêu thụ đặc biệt (nếu có), thuế VAT,</w:t>
      </w:r>
      <w:r w:rsidRPr="00BB6BFB">
        <w:rPr>
          <w:spacing w:val="-6"/>
          <w:sz w:val="26"/>
          <w:szCs w:val="26"/>
          <w:lang w:val="es-ES"/>
        </w:rPr>
        <w:t xml:space="preserve"> sau khi trừ đi giá trị giảm giá (nếu có), cộng giá trị ưu đãi (nếu có) thấp nhất được xếp hạng thứ nhất.</w:t>
      </w:r>
    </w:p>
    <w:p w14:paraId="1AE3B639" w14:textId="77777777" w:rsidR="001B2EFF" w:rsidRPr="00BB6BFB" w:rsidRDefault="001B2EFF" w:rsidP="001B2EFF">
      <w:pPr>
        <w:pStyle w:val="ListParagraph"/>
        <w:numPr>
          <w:ilvl w:val="0"/>
          <w:numId w:val="1"/>
        </w:numPr>
        <w:tabs>
          <w:tab w:val="center" w:pos="4961"/>
        </w:tabs>
        <w:spacing w:before="80" w:after="80" w:line="264" w:lineRule="auto"/>
        <w:rPr>
          <w:spacing w:val="-6"/>
          <w:sz w:val="26"/>
          <w:szCs w:val="26"/>
          <w:lang w:val="es-ES"/>
        </w:rPr>
      </w:pPr>
      <w:r w:rsidRPr="00BB6BFB">
        <w:rPr>
          <w:lang w:val="es-ES"/>
        </w:rPr>
        <w:t>Việc đánh giá tài chính và xét chọn nhà thầu được thực hiện riêng biệt cho từng lô. Mỗi lô sẽ có một kết quả xét thầu và lựa chọn nhà thầu độc lập</w:t>
      </w:r>
    </w:p>
    <w:p w14:paraId="4A46FC6D" w14:textId="77777777" w:rsidR="008336C8" w:rsidRPr="001B2EFF" w:rsidRDefault="008336C8">
      <w:pPr>
        <w:rPr>
          <w:lang w:val="nl-NL"/>
        </w:rPr>
      </w:pPr>
    </w:p>
    <w:sectPr w:rsidR="008336C8" w:rsidRPr="001B2EFF" w:rsidSect="00147727">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1F9A" w14:textId="77777777" w:rsidR="004C603D" w:rsidRDefault="004C603D" w:rsidP="001B2EFF">
      <w:r>
        <w:separator/>
      </w:r>
    </w:p>
  </w:endnote>
  <w:endnote w:type="continuationSeparator" w:id="0">
    <w:p w14:paraId="58BE2B19" w14:textId="77777777" w:rsidR="004C603D" w:rsidRDefault="004C603D" w:rsidP="001B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70CE" w14:textId="77777777" w:rsidR="004C603D" w:rsidRDefault="004C603D" w:rsidP="001B2EFF">
      <w:r>
        <w:separator/>
      </w:r>
    </w:p>
  </w:footnote>
  <w:footnote w:type="continuationSeparator" w:id="0">
    <w:p w14:paraId="75AAE4C7" w14:textId="77777777" w:rsidR="004C603D" w:rsidRDefault="004C603D" w:rsidP="001B2EFF">
      <w:r>
        <w:continuationSeparator/>
      </w:r>
    </w:p>
  </w:footnote>
  <w:footnote w:id="1">
    <w:p w14:paraId="788A8991" w14:textId="77777777" w:rsidR="001B2EFF" w:rsidRPr="00D52DAD" w:rsidRDefault="001B2EFF" w:rsidP="001B2EFF">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794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23"/>
    <w:rsid w:val="000030D7"/>
    <w:rsid w:val="000213CB"/>
    <w:rsid w:val="00032760"/>
    <w:rsid w:val="000723FD"/>
    <w:rsid w:val="00072A84"/>
    <w:rsid w:val="00073EB6"/>
    <w:rsid w:val="000C18FE"/>
    <w:rsid w:val="000D2102"/>
    <w:rsid w:val="000D2BD4"/>
    <w:rsid w:val="00125C4D"/>
    <w:rsid w:val="001312BB"/>
    <w:rsid w:val="0014133F"/>
    <w:rsid w:val="00147727"/>
    <w:rsid w:val="00162B23"/>
    <w:rsid w:val="00165773"/>
    <w:rsid w:val="00170515"/>
    <w:rsid w:val="001B2EFF"/>
    <w:rsid w:val="001B32B1"/>
    <w:rsid w:val="001C00D9"/>
    <w:rsid w:val="001C6429"/>
    <w:rsid w:val="001D784F"/>
    <w:rsid w:val="001E21C0"/>
    <w:rsid w:val="001E39B2"/>
    <w:rsid w:val="00204594"/>
    <w:rsid w:val="00224915"/>
    <w:rsid w:val="00231A64"/>
    <w:rsid w:val="002445EF"/>
    <w:rsid w:val="00244823"/>
    <w:rsid w:val="00256718"/>
    <w:rsid w:val="00267E36"/>
    <w:rsid w:val="0027041D"/>
    <w:rsid w:val="00281A05"/>
    <w:rsid w:val="00292C47"/>
    <w:rsid w:val="002C1078"/>
    <w:rsid w:val="002C4918"/>
    <w:rsid w:val="002C61F0"/>
    <w:rsid w:val="002D74D7"/>
    <w:rsid w:val="002F578A"/>
    <w:rsid w:val="0031153F"/>
    <w:rsid w:val="003156AA"/>
    <w:rsid w:val="00331B65"/>
    <w:rsid w:val="00333A83"/>
    <w:rsid w:val="00341C80"/>
    <w:rsid w:val="00347CB9"/>
    <w:rsid w:val="003524F8"/>
    <w:rsid w:val="003540C2"/>
    <w:rsid w:val="003563BD"/>
    <w:rsid w:val="003616E3"/>
    <w:rsid w:val="00373DD0"/>
    <w:rsid w:val="0039022C"/>
    <w:rsid w:val="003A0757"/>
    <w:rsid w:val="003B66D2"/>
    <w:rsid w:val="003C69B1"/>
    <w:rsid w:val="003D1A1B"/>
    <w:rsid w:val="003F09AE"/>
    <w:rsid w:val="003F166E"/>
    <w:rsid w:val="004372A6"/>
    <w:rsid w:val="00440ABD"/>
    <w:rsid w:val="004758E9"/>
    <w:rsid w:val="00475D1A"/>
    <w:rsid w:val="00497418"/>
    <w:rsid w:val="004A338F"/>
    <w:rsid w:val="004A630F"/>
    <w:rsid w:val="004A7BEA"/>
    <w:rsid w:val="004B3CA6"/>
    <w:rsid w:val="004B4092"/>
    <w:rsid w:val="004C603D"/>
    <w:rsid w:val="004C6BC3"/>
    <w:rsid w:val="004C6BD1"/>
    <w:rsid w:val="004E0723"/>
    <w:rsid w:val="004E4F89"/>
    <w:rsid w:val="005077CA"/>
    <w:rsid w:val="0051540F"/>
    <w:rsid w:val="00535216"/>
    <w:rsid w:val="00573D79"/>
    <w:rsid w:val="00585A03"/>
    <w:rsid w:val="005920DC"/>
    <w:rsid w:val="005B3147"/>
    <w:rsid w:val="005D4EB0"/>
    <w:rsid w:val="005D64C5"/>
    <w:rsid w:val="005E77D6"/>
    <w:rsid w:val="005F73C5"/>
    <w:rsid w:val="00602368"/>
    <w:rsid w:val="00603A13"/>
    <w:rsid w:val="006245A7"/>
    <w:rsid w:val="00626733"/>
    <w:rsid w:val="00637326"/>
    <w:rsid w:val="00665E68"/>
    <w:rsid w:val="00675F6A"/>
    <w:rsid w:val="006804FE"/>
    <w:rsid w:val="006B0CC2"/>
    <w:rsid w:val="006B5798"/>
    <w:rsid w:val="006E2AEB"/>
    <w:rsid w:val="006F6387"/>
    <w:rsid w:val="00702757"/>
    <w:rsid w:val="007055EB"/>
    <w:rsid w:val="0072230A"/>
    <w:rsid w:val="00723312"/>
    <w:rsid w:val="00732892"/>
    <w:rsid w:val="00735877"/>
    <w:rsid w:val="00735E12"/>
    <w:rsid w:val="007667D9"/>
    <w:rsid w:val="00777A8E"/>
    <w:rsid w:val="00781D65"/>
    <w:rsid w:val="00785B39"/>
    <w:rsid w:val="007F0705"/>
    <w:rsid w:val="008014F7"/>
    <w:rsid w:val="008336C8"/>
    <w:rsid w:val="00834AE5"/>
    <w:rsid w:val="00841658"/>
    <w:rsid w:val="00856BDF"/>
    <w:rsid w:val="008579FA"/>
    <w:rsid w:val="00871CEB"/>
    <w:rsid w:val="00881E4C"/>
    <w:rsid w:val="008A114A"/>
    <w:rsid w:val="008B0775"/>
    <w:rsid w:val="008E28D4"/>
    <w:rsid w:val="008E6E63"/>
    <w:rsid w:val="008F0EC8"/>
    <w:rsid w:val="00904C12"/>
    <w:rsid w:val="00905342"/>
    <w:rsid w:val="00932C05"/>
    <w:rsid w:val="00952B39"/>
    <w:rsid w:val="00961937"/>
    <w:rsid w:val="00965767"/>
    <w:rsid w:val="0096622E"/>
    <w:rsid w:val="00972B03"/>
    <w:rsid w:val="009828A2"/>
    <w:rsid w:val="00986567"/>
    <w:rsid w:val="009B52D3"/>
    <w:rsid w:val="009B6605"/>
    <w:rsid w:val="009C3314"/>
    <w:rsid w:val="009C4B63"/>
    <w:rsid w:val="009D7866"/>
    <w:rsid w:val="009E6CAC"/>
    <w:rsid w:val="009F0DE7"/>
    <w:rsid w:val="009F71F9"/>
    <w:rsid w:val="00A23A9A"/>
    <w:rsid w:val="00A60FC6"/>
    <w:rsid w:val="00A84632"/>
    <w:rsid w:val="00AC0098"/>
    <w:rsid w:val="00AD6390"/>
    <w:rsid w:val="00AF6A06"/>
    <w:rsid w:val="00B00127"/>
    <w:rsid w:val="00B21991"/>
    <w:rsid w:val="00B24501"/>
    <w:rsid w:val="00B31451"/>
    <w:rsid w:val="00B33E81"/>
    <w:rsid w:val="00B36CD3"/>
    <w:rsid w:val="00B44113"/>
    <w:rsid w:val="00B6401F"/>
    <w:rsid w:val="00B721BA"/>
    <w:rsid w:val="00BA2E74"/>
    <w:rsid w:val="00BB6BFB"/>
    <w:rsid w:val="00BC6B85"/>
    <w:rsid w:val="00C15C81"/>
    <w:rsid w:val="00C24F3C"/>
    <w:rsid w:val="00C26B99"/>
    <w:rsid w:val="00C303DD"/>
    <w:rsid w:val="00C67CEC"/>
    <w:rsid w:val="00C906E2"/>
    <w:rsid w:val="00CB31DE"/>
    <w:rsid w:val="00CC14F9"/>
    <w:rsid w:val="00CC1620"/>
    <w:rsid w:val="00CE476A"/>
    <w:rsid w:val="00D12478"/>
    <w:rsid w:val="00D30151"/>
    <w:rsid w:val="00D34211"/>
    <w:rsid w:val="00D4679C"/>
    <w:rsid w:val="00D46D8D"/>
    <w:rsid w:val="00D90E05"/>
    <w:rsid w:val="00DC3DA8"/>
    <w:rsid w:val="00DD0705"/>
    <w:rsid w:val="00E015DA"/>
    <w:rsid w:val="00E020D3"/>
    <w:rsid w:val="00E14E71"/>
    <w:rsid w:val="00E33BA5"/>
    <w:rsid w:val="00E51333"/>
    <w:rsid w:val="00E86342"/>
    <w:rsid w:val="00EA7C94"/>
    <w:rsid w:val="00EB2904"/>
    <w:rsid w:val="00EC671C"/>
    <w:rsid w:val="00EE0ACC"/>
    <w:rsid w:val="00EE0CEA"/>
    <w:rsid w:val="00EE12FC"/>
    <w:rsid w:val="00EE27EC"/>
    <w:rsid w:val="00EE517C"/>
    <w:rsid w:val="00EE663A"/>
    <w:rsid w:val="00F03FF2"/>
    <w:rsid w:val="00F15FC7"/>
    <w:rsid w:val="00F564DC"/>
    <w:rsid w:val="00F85DC3"/>
    <w:rsid w:val="00FA51D5"/>
    <w:rsid w:val="00FC29E0"/>
    <w:rsid w:val="00FE0E5B"/>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1290"/>
  <w15:chartTrackingRefBased/>
  <w15:docId w15:val="{FDB8C992-54DA-483D-AC5A-649B446E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FF"/>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E07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7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7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7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07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E07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07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07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07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7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7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7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7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07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07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07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07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07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0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7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7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0723"/>
    <w:pPr>
      <w:spacing w:before="160"/>
      <w:jc w:val="center"/>
    </w:pPr>
    <w:rPr>
      <w:i/>
      <w:iCs/>
      <w:color w:val="404040" w:themeColor="text1" w:themeTint="BF"/>
    </w:rPr>
  </w:style>
  <w:style w:type="character" w:customStyle="1" w:styleId="QuoteChar">
    <w:name w:val="Quote Char"/>
    <w:basedOn w:val="DefaultParagraphFont"/>
    <w:link w:val="Quote"/>
    <w:uiPriority w:val="29"/>
    <w:rsid w:val="004E072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E0723"/>
    <w:pPr>
      <w:ind w:left="720"/>
      <w:contextualSpacing/>
    </w:pPr>
  </w:style>
  <w:style w:type="character" w:styleId="IntenseEmphasis">
    <w:name w:val="Intense Emphasis"/>
    <w:basedOn w:val="DefaultParagraphFont"/>
    <w:uiPriority w:val="21"/>
    <w:qFormat/>
    <w:rsid w:val="004E0723"/>
    <w:rPr>
      <w:i/>
      <w:iCs/>
      <w:color w:val="2F5496" w:themeColor="accent1" w:themeShade="BF"/>
    </w:rPr>
  </w:style>
  <w:style w:type="paragraph" w:styleId="IntenseQuote">
    <w:name w:val="Intense Quote"/>
    <w:basedOn w:val="Normal"/>
    <w:next w:val="Normal"/>
    <w:link w:val="IntenseQuoteChar"/>
    <w:uiPriority w:val="30"/>
    <w:qFormat/>
    <w:rsid w:val="004E0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723"/>
    <w:rPr>
      <w:i/>
      <w:iCs/>
      <w:color w:val="2F5496" w:themeColor="accent1" w:themeShade="BF"/>
    </w:rPr>
  </w:style>
  <w:style w:type="character" w:styleId="IntenseReference">
    <w:name w:val="Intense Reference"/>
    <w:basedOn w:val="DefaultParagraphFont"/>
    <w:uiPriority w:val="32"/>
    <w:qFormat/>
    <w:rsid w:val="004E0723"/>
    <w:rPr>
      <w:b/>
      <w:bCs/>
      <w:smallCaps/>
      <w:color w:val="2F5496" w:themeColor="accent1" w:themeShade="BF"/>
      <w:spacing w:val="5"/>
    </w:rPr>
  </w:style>
  <w:style w:type="paragraph" w:styleId="TOC1">
    <w:name w:val="toc 1"/>
    <w:basedOn w:val="Normal"/>
    <w:next w:val="Normal"/>
    <w:autoRedefine/>
    <w:uiPriority w:val="39"/>
    <w:qFormat/>
    <w:rsid w:val="001B2EFF"/>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1B2EFF"/>
    <w:pPr>
      <w:tabs>
        <w:tab w:val="left" w:pos="360"/>
      </w:tabs>
      <w:ind w:left="360" w:hanging="360"/>
    </w:pPr>
    <w:rPr>
      <w:sz w:val="20"/>
    </w:rPr>
  </w:style>
  <w:style w:type="character" w:customStyle="1" w:styleId="FootnoteTextChar">
    <w:name w:val="Footnote Text Char"/>
    <w:basedOn w:val="DefaultParagraphFont"/>
    <w:link w:val="FootnoteText"/>
    <w:rsid w:val="001B2EFF"/>
    <w:rPr>
      <w:rFonts w:eastAsia="Times New Roman" w:cs="Times New Roman"/>
      <w:kern w:val="0"/>
      <w:sz w:val="20"/>
      <w:szCs w:val="20"/>
      <w14:ligatures w14:val="none"/>
    </w:rPr>
  </w:style>
  <w:style w:type="character" w:styleId="FootnoteReference">
    <w:name w:val="footnote reference"/>
    <w:aliases w:val="callout"/>
    <w:uiPriority w:val="99"/>
    <w:rsid w:val="001B2EFF"/>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B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2025-08-19T07:38:00Z</dcterms:created>
  <dcterms:modified xsi:type="dcterms:W3CDTF">2025-08-19T07:42:00Z</dcterms:modified>
</cp:coreProperties>
</file>