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FD" w:rsidRPr="009E2EC9" w:rsidRDefault="003960FD" w:rsidP="009E2EC9">
      <w:pPr>
        <w:pStyle w:val="TOC1"/>
      </w:pPr>
      <w:bookmarkStart w:id="0" w:name="_GoBack"/>
      <w:bookmarkEnd w:id="0"/>
      <w:r w:rsidRPr="009E2EC9">
        <w:t xml:space="preserve">Mục </w:t>
      </w:r>
      <w:r w:rsidRPr="009E2EC9">
        <w:rPr>
          <w:lang w:val="pl-PL"/>
        </w:rPr>
        <w:t>3</w:t>
      </w:r>
      <w:r w:rsidRPr="009E2EC9">
        <w:t>. Tiêu chuẩn đánh giá về kỹ thuật</w:t>
      </w: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1984"/>
      </w:tblGrid>
      <w:tr w:rsidR="003960FD" w:rsidRPr="00C80BAA" w:rsidTr="00F9609B">
        <w:trPr>
          <w:trHeight w:val="818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FD" w:rsidRPr="00482971" w:rsidRDefault="003960FD" w:rsidP="00F9609B">
            <w:pPr>
              <w:spacing w:before="40" w:after="40"/>
              <w:ind w:firstLine="567"/>
              <w:jc w:val="center"/>
              <w:rPr>
                <w:b/>
                <w:sz w:val="26"/>
                <w:szCs w:val="26"/>
              </w:rPr>
            </w:pPr>
            <w:r w:rsidRPr="00482971">
              <w:rPr>
                <w:b/>
                <w:sz w:val="26"/>
                <w:szCs w:val="26"/>
              </w:rPr>
              <w:t>Nội dung đánh giá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FD" w:rsidRPr="00482971" w:rsidRDefault="003960FD" w:rsidP="00F9609B">
            <w:pPr>
              <w:spacing w:before="40" w:after="40"/>
              <w:rPr>
                <w:b/>
                <w:sz w:val="26"/>
                <w:szCs w:val="26"/>
              </w:rPr>
            </w:pPr>
            <w:r w:rsidRPr="00482971">
              <w:rPr>
                <w:b/>
                <w:sz w:val="26"/>
                <w:szCs w:val="26"/>
              </w:rPr>
              <w:t>Sử dụng tiêu chí đạt, không 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9322" w:type="dxa"/>
            <w:gridSpan w:val="3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 xml:space="preserve">1. </w:t>
            </w:r>
            <w:r w:rsidRPr="00C80BAA">
              <w:rPr>
                <w:b/>
                <w:szCs w:val="24"/>
                <w:shd w:val="clear" w:color="auto" w:fill="FFFFFF"/>
              </w:rPr>
              <w:t>Đặc tính, thông số kỹ thuật của hàng hóa, tiêu chuẩn sản xuất, tiêu chuẩn chế tạo và công nghệ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>Đáp ứng tất cả các yêu cầu tại Phần 2, Chương V, Mục 1.2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>Không đáp ứng một trong các yêu cầu tại Phần 2, Chương V, Mục 1.2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Không 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9322" w:type="dxa"/>
            <w:gridSpan w:val="3"/>
            <w:shd w:val="clear" w:color="auto" w:fill="auto"/>
            <w:vAlign w:val="center"/>
          </w:tcPr>
          <w:p w:rsidR="003960FD" w:rsidRPr="00C80BAA" w:rsidRDefault="003960FD" w:rsidP="003960FD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 xml:space="preserve">2. </w:t>
            </w:r>
            <w:r w:rsidRPr="00C80BAA">
              <w:rPr>
                <w:b/>
                <w:szCs w:val="24"/>
                <w:shd w:val="clear" w:color="auto" w:fill="FFFFFF"/>
              </w:rPr>
              <w:t>Tính hợp lý và hiệu quả kinh tế của các giải pháp kỹ thu</w:t>
            </w:r>
            <w:r>
              <w:rPr>
                <w:b/>
                <w:szCs w:val="24"/>
                <w:shd w:val="clear" w:color="auto" w:fill="FFFFFF"/>
              </w:rPr>
              <w:t xml:space="preserve">ật, biện pháp tổ chức cung cấp </w:t>
            </w:r>
            <w:r w:rsidRPr="00C80BAA">
              <w:rPr>
                <w:b/>
                <w:szCs w:val="24"/>
                <w:shd w:val="clear" w:color="auto" w:fill="FFFFFF"/>
              </w:rPr>
              <w:t>hàng hóa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>Đáp ứng tất cả các yêu cầu tại Phần 2, Chương V, Mục 1.3.1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>Không đáp ứng một trong các yêu cầu tại Phần 2, Chương V, Mục 1.3.1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szCs w:val="24"/>
              </w:rPr>
            </w:pPr>
            <w:r w:rsidRPr="00C80BAA">
              <w:rPr>
                <w:b/>
                <w:szCs w:val="24"/>
              </w:rPr>
              <w:t>Không 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9322" w:type="dxa"/>
            <w:gridSpan w:val="3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 xml:space="preserve">3. </w:t>
            </w:r>
            <w:r w:rsidRPr="00C80BAA">
              <w:rPr>
                <w:b/>
                <w:szCs w:val="24"/>
                <w:shd w:val="clear" w:color="auto" w:fill="FFFFFF"/>
              </w:rPr>
              <w:t>Mức độ đáp ứng các yêu cầu về bảo hành, bảo trì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>Đáp ứng tất cả các yêu cầu</w:t>
            </w:r>
            <w:r w:rsidR="009E2EC9">
              <w:rPr>
                <w:szCs w:val="24"/>
              </w:rPr>
              <w:t xml:space="preserve"> tại Phần 2, Chương V, Mục 1.3.3</w:t>
            </w:r>
            <w:r w:rsidRPr="00C80BAA">
              <w:rPr>
                <w:szCs w:val="24"/>
              </w:rPr>
              <w:t xml:space="preserve">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szCs w:val="24"/>
              </w:rPr>
            </w:pPr>
            <w:r w:rsidRPr="00C80BAA">
              <w:rPr>
                <w:b/>
                <w:szCs w:val="24"/>
              </w:rPr>
              <w:t>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>Không đáp ứng một trong các yêu cầu</w:t>
            </w:r>
            <w:r w:rsidR="009E2EC9">
              <w:rPr>
                <w:szCs w:val="24"/>
              </w:rPr>
              <w:t xml:space="preserve"> tại Phần 2, Chương V, Mục 1.3.3</w:t>
            </w:r>
            <w:r w:rsidRPr="00C80BAA">
              <w:rPr>
                <w:szCs w:val="24"/>
              </w:rPr>
              <w:t xml:space="preserve">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szCs w:val="24"/>
              </w:rPr>
            </w:pPr>
            <w:r w:rsidRPr="00C80BAA">
              <w:rPr>
                <w:b/>
                <w:szCs w:val="24"/>
              </w:rPr>
              <w:t>Không 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9322" w:type="dxa"/>
            <w:gridSpan w:val="3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 xml:space="preserve">4. </w:t>
            </w:r>
            <w:r w:rsidRPr="00C80BAA">
              <w:rPr>
                <w:b/>
                <w:szCs w:val="24"/>
                <w:shd w:val="clear" w:color="auto" w:fill="FFFFFF"/>
              </w:rPr>
              <w:t>Khả năng thích ứng về mặt địa lý, môi trường</w:t>
            </w:r>
            <w:r>
              <w:rPr>
                <w:b/>
                <w:szCs w:val="24"/>
                <w:shd w:val="clear" w:color="auto" w:fill="FFFFFF"/>
              </w:rPr>
              <w:t xml:space="preserve"> </w:t>
            </w:r>
            <w:r w:rsidRPr="009537C5">
              <w:rPr>
                <w:bCs/>
                <w:szCs w:val="24"/>
                <w:shd w:val="clear" w:color="auto" w:fill="FFFFFF"/>
              </w:rPr>
              <w:t>(Không đánh giá mục này)</w:t>
            </w:r>
          </w:p>
        </w:tc>
      </w:tr>
      <w:tr w:rsidR="003960FD" w:rsidRPr="00C80BAA" w:rsidTr="00F9609B">
        <w:trPr>
          <w:trHeight w:val="148"/>
        </w:trPr>
        <w:tc>
          <w:tcPr>
            <w:tcW w:w="9322" w:type="dxa"/>
            <w:gridSpan w:val="3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b/>
                <w:szCs w:val="24"/>
              </w:rPr>
            </w:pPr>
            <w:r w:rsidRPr="00C80BAA">
              <w:rPr>
                <w:b/>
                <w:szCs w:val="24"/>
                <w:shd w:val="clear" w:color="auto" w:fill="FFFFFF"/>
              </w:rPr>
              <w:t>5. Tác động đối với môi trường và biện pháp giải quyết</w:t>
            </w:r>
            <w:r>
              <w:rPr>
                <w:b/>
                <w:szCs w:val="24"/>
                <w:shd w:val="clear" w:color="auto" w:fill="FFFFFF"/>
              </w:rPr>
              <w:t xml:space="preserve"> </w:t>
            </w:r>
            <w:r w:rsidRPr="00A9695A">
              <w:rPr>
                <w:bCs/>
                <w:szCs w:val="24"/>
                <w:shd w:val="clear" w:color="auto" w:fill="FFFFFF"/>
              </w:rPr>
              <w:t>(Không đánh giá mục này)</w:t>
            </w:r>
          </w:p>
        </w:tc>
      </w:tr>
      <w:tr w:rsidR="003960FD" w:rsidRPr="00C80BAA" w:rsidTr="00F9609B">
        <w:trPr>
          <w:trHeight w:val="148"/>
        </w:trPr>
        <w:tc>
          <w:tcPr>
            <w:tcW w:w="9322" w:type="dxa"/>
            <w:gridSpan w:val="3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 xml:space="preserve">6. </w:t>
            </w:r>
            <w:r w:rsidRPr="00C80BAA">
              <w:rPr>
                <w:b/>
                <w:szCs w:val="24"/>
                <w:shd w:val="clear" w:color="auto" w:fill="FFFFFF"/>
              </w:rPr>
              <w:t>Hướng dẫn quản trị vận hành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 w:val="restart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>Đáp ứng tất cả các yêu cầu</w:t>
            </w:r>
            <w:r w:rsidR="009E2EC9">
              <w:rPr>
                <w:szCs w:val="24"/>
              </w:rPr>
              <w:t xml:space="preserve"> tại Phần 2, Chương V, Mục 1.3.4</w:t>
            </w:r>
            <w:r w:rsidRPr="00C80BAA">
              <w:rPr>
                <w:szCs w:val="24"/>
              </w:rPr>
              <w:t xml:space="preserve">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>Không đáp ứng một trong các yêu cầu</w:t>
            </w:r>
            <w:r w:rsidR="009E2EC9">
              <w:rPr>
                <w:szCs w:val="24"/>
              </w:rPr>
              <w:t xml:space="preserve"> tại Phần 2, Chương V, Mục 1.3.4</w:t>
            </w:r>
            <w:r w:rsidRPr="00C80BAA">
              <w:rPr>
                <w:szCs w:val="24"/>
              </w:rPr>
              <w:t xml:space="preserve">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Không 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9322" w:type="dxa"/>
            <w:gridSpan w:val="3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 xml:space="preserve">7. </w:t>
            </w:r>
            <w:r w:rsidRPr="00A668B4">
              <w:rPr>
                <w:b/>
                <w:szCs w:val="24"/>
              </w:rPr>
              <w:t>Tiến độ cung cấp hàng hóa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 w:val="restart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9E2EC9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>Đáp ứng yêu cầu về tiến độ cung cấp hàng hóa</w:t>
            </w:r>
            <w:r w:rsidR="00D14433">
              <w:rPr>
                <w:szCs w:val="24"/>
              </w:rPr>
              <w:t xml:space="preserve"> tại Phần 2, Chương V, Mục 1.3.</w:t>
            </w:r>
            <w:r w:rsidR="009E2EC9">
              <w:rPr>
                <w:szCs w:val="24"/>
              </w:rPr>
              <w:t>2</w:t>
            </w:r>
            <w:r w:rsidRPr="00C80BAA">
              <w:rPr>
                <w:szCs w:val="24"/>
              </w:rPr>
              <w:t xml:space="preserve">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 xml:space="preserve">Không đáp ứng yêu cầu về tiến độ cung cấp hàng hóa tại Phần 2, </w:t>
            </w:r>
            <w:r w:rsidR="009E2EC9">
              <w:rPr>
                <w:szCs w:val="24"/>
              </w:rPr>
              <w:t>Chương V, Mục 1.3.2</w:t>
            </w:r>
            <w:r w:rsidRPr="00C80BAA">
              <w:rPr>
                <w:szCs w:val="24"/>
              </w:rPr>
              <w:t xml:space="preserve"> của E-HSMT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Không 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9322" w:type="dxa"/>
            <w:gridSpan w:val="3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8. Yếu tố thân thiện môi trường</w:t>
            </w:r>
            <w:r>
              <w:rPr>
                <w:b/>
                <w:szCs w:val="24"/>
              </w:rPr>
              <w:t xml:space="preserve"> </w:t>
            </w:r>
            <w:r w:rsidRPr="00A9695A">
              <w:rPr>
                <w:bCs/>
                <w:szCs w:val="24"/>
                <w:shd w:val="clear" w:color="auto" w:fill="FFFFFF"/>
              </w:rPr>
              <w:t>(Không đánh giá mục này)</w:t>
            </w:r>
          </w:p>
        </w:tc>
      </w:tr>
      <w:tr w:rsidR="003960FD" w:rsidRPr="00C80BAA" w:rsidTr="00F9609B">
        <w:trPr>
          <w:trHeight w:val="148"/>
        </w:trPr>
        <w:tc>
          <w:tcPr>
            <w:tcW w:w="9322" w:type="dxa"/>
            <w:gridSpan w:val="3"/>
            <w:shd w:val="clear" w:color="auto" w:fill="auto"/>
          </w:tcPr>
          <w:p w:rsidR="003960FD" w:rsidRPr="00C80BAA" w:rsidRDefault="003960FD" w:rsidP="007941AE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9. Kết quả thực hiện hợp đồng của nhà thầu đối với gói thầu cung cấp hàng hóa, EPC, EP, PC, chìa khóa trao tay theo quy định tại Điều 1</w:t>
            </w:r>
            <w:r w:rsidR="007941AE">
              <w:rPr>
                <w:b/>
                <w:szCs w:val="24"/>
              </w:rPr>
              <w:t>9 và Điều 20</w:t>
            </w:r>
            <w:r w:rsidRPr="00C80BAA">
              <w:rPr>
                <w:b/>
                <w:szCs w:val="24"/>
              </w:rPr>
              <w:t xml:space="preserve"> của Nghị định số 2</w:t>
            </w:r>
            <w:r w:rsidR="007941AE">
              <w:rPr>
                <w:b/>
                <w:szCs w:val="24"/>
              </w:rPr>
              <w:t>1</w:t>
            </w:r>
            <w:r w:rsidRPr="00C80BAA">
              <w:rPr>
                <w:b/>
                <w:szCs w:val="24"/>
              </w:rPr>
              <w:t>4/202</w:t>
            </w:r>
            <w:r w:rsidR="007941AE">
              <w:rPr>
                <w:b/>
                <w:szCs w:val="24"/>
              </w:rPr>
              <w:t>5</w:t>
            </w:r>
            <w:r w:rsidRPr="00C80BAA">
              <w:rPr>
                <w:b/>
                <w:szCs w:val="24"/>
              </w:rPr>
              <w:t>/NĐ-CP, chất lượng hàng hóa tương tự được công khai theo quy định</w:t>
            </w:r>
            <w:r w:rsidR="007941AE">
              <w:rPr>
                <w:b/>
                <w:szCs w:val="24"/>
              </w:rPr>
              <w:t xml:space="preserve"> tại Điều 20 của Nghị định số 214</w:t>
            </w:r>
            <w:r w:rsidRPr="00C80BAA">
              <w:rPr>
                <w:b/>
                <w:szCs w:val="24"/>
              </w:rPr>
              <w:t>/202</w:t>
            </w:r>
            <w:r w:rsidR="007941AE">
              <w:rPr>
                <w:b/>
                <w:szCs w:val="24"/>
              </w:rPr>
              <w:t>5</w:t>
            </w:r>
            <w:r w:rsidRPr="00C80BAA">
              <w:rPr>
                <w:b/>
                <w:szCs w:val="24"/>
              </w:rPr>
              <w:t>/NĐ-CP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 w:val="restart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  <w:r w:rsidRPr="00C80BAA">
              <w:rPr>
                <w:szCs w:val="24"/>
              </w:rPr>
              <w:t xml:space="preserve">Không có lịch sử vi phạm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1526" w:type="dxa"/>
            <w:vMerge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960FD" w:rsidRPr="00A668B4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rPr>
                <w:szCs w:val="24"/>
                <w:lang w:val="sv-SE"/>
              </w:rPr>
            </w:pPr>
            <w:r w:rsidRPr="00A668B4">
              <w:rPr>
                <w:szCs w:val="24"/>
                <w:lang w:val="sv-SE"/>
              </w:rPr>
              <w:t>Có lịch sử vi phạm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Không đạt</w:t>
            </w:r>
          </w:p>
        </w:tc>
      </w:tr>
      <w:tr w:rsidR="003960FD" w:rsidRPr="00C80BAA" w:rsidTr="00F9609B">
        <w:trPr>
          <w:trHeight w:val="148"/>
        </w:trPr>
        <w:tc>
          <w:tcPr>
            <w:tcW w:w="7338" w:type="dxa"/>
            <w:gridSpan w:val="2"/>
            <w:shd w:val="clear" w:color="auto" w:fill="auto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C80BAA">
              <w:rPr>
                <w:b/>
                <w:szCs w:val="24"/>
              </w:rPr>
              <w:t>Kết luận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0FD" w:rsidRPr="00C80BAA" w:rsidRDefault="003960FD" w:rsidP="00F9609B">
            <w:pPr>
              <w:widowControl w:val="0"/>
              <w:tabs>
                <w:tab w:val="left" w:pos="851"/>
              </w:tabs>
              <w:spacing w:before="120" w:after="120" w:line="264" w:lineRule="auto"/>
              <w:jc w:val="center"/>
              <w:rPr>
                <w:b/>
                <w:szCs w:val="24"/>
              </w:rPr>
            </w:pPr>
          </w:p>
        </w:tc>
      </w:tr>
    </w:tbl>
    <w:p w:rsidR="00810C15" w:rsidRDefault="00810C15"/>
    <w:sectPr w:rsidR="0081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FD"/>
    <w:rsid w:val="00207627"/>
    <w:rsid w:val="003960FD"/>
    <w:rsid w:val="005E103D"/>
    <w:rsid w:val="00680803"/>
    <w:rsid w:val="007941AE"/>
    <w:rsid w:val="00810C15"/>
    <w:rsid w:val="008A51D5"/>
    <w:rsid w:val="0097440E"/>
    <w:rsid w:val="009E2EC9"/>
    <w:rsid w:val="00AC5CED"/>
    <w:rsid w:val="00D14433"/>
    <w:rsid w:val="00F7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E2EC9"/>
    <w:pPr>
      <w:tabs>
        <w:tab w:val="right" w:leader="dot" w:pos="9062"/>
      </w:tabs>
      <w:spacing w:before="80" w:after="80" w:line="264" w:lineRule="auto"/>
      <w:ind w:firstLine="709"/>
      <w:jc w:val="center"/>
      <w:outlineLvl w:val="2"/>
    </w:pPr>
    <w:rPr>
      <w:rFonts w:eastAsia="Batang"/>
      <w:b/>
      <w:bCs/>
      <w:iCs/>
      <w:noProof/>
      <w:kern w:val="36"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E2EC9"/>
    <w:pPr>
      <w:tabs>
        <w:tab w:val="right" w:leader="dot" w:pos="9062"/>
      </w:tabs>
      <w:spacing w:before="80" w:after="80" w:line="264" w:lineRule="auto"/>
      <w:ind w:firstLine="709"/>
      <w:jc w:val="center"/>
      <w:outlineLvl w:val="2"/>
    </w:pPr>
    <w:rPr>
      <w:rFonts w:eastAsia="Batang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Dai An (CNTT)</dc:creator>
  <cp:lastModifiedBy>DA</cp:lastModifiedBy>
  <cp:revision>2</cp:revision>
  <dcterms:created xsi:type="dcterms:W3CDTF">2025-10-27T03:02:00Z</dcterms:created>
  <dcterms:modified xsi:type="dcterms:W3CDTF">2025-10-27T03:02:00Z</dcterms:modified>
</cp:coreProperties>
</file>