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D1" w:rsidRPr="00F5142B" w:rsidRDefault="002A17D1" w:rsidP="002A17D1">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rsidR="002A17D1" w:rsidRPr="00F5142B" w:rsidRDefault="002A17D1" w:rsidP="002A17D1">
      <w:pPr>
        <w:pStyle w:val="Style11"/>
        <w:tabs>
          <w:tab w:val="left" w:pos="0"/>
          <w:tab w:val="left" w:pos="851"/>
          <w:tab w:val="left" w:pos="1418"/>
        </w:tabs>
        <w:spacing w:before="120" w:after="120" w:line="264" w:lineRule="auto"/>
        <w:ind w:firstLine="567"/>
        <w:jc w:val="center"/>
        <w:rPr>
          <w:b/>
          <w:sz w:val="28"/>
          <w:szCs w:val="28"/>
          <w:lang w:val="vi-VN"/>
        </w:rPr>
      </w:pPr>
    </w:p>
    <w:p w:rsidR="002A17D1" w:rsidRPr="00F5142B" w:rsidRDefault="002A17D1" w:rsidP="002A17D1">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2A17D1" w:rsidRPr="00A85B3E" w:rsidRDefault="002A17D1" w:rsidP="002A17D1">
      <w:pPr>
        <w:tabs>
          <w:tab w:val="left" w:pos="1418"/>
        </w:tabs>
        <w:spacing w:before="120" w:after="120" w:line="264" w:lineRule="auto"/>
        <w:ind w:firstLine="709"/>
        <w:rPr>
          <w:color w:val="EE0000"/>
          <w:sz w:val="28"/>
          <w:szCs w:val="28"/>
        </w:rPr>
      </w:pPr>
      <w:r w:rsidRPr="00A85B3E">
        <w:rPr>
          <w:color w:val="EE0000"/>
          <w:sz w:val="28"/>
          <w:szCs w:val="28"/>
          <w:lang w:val="vi-VN"/>
        </w:rPr>
        <w:t>1. Phạm vi công việc của gói thầu</w:t>
      </w:r>
    </w:p>
    <w:p w:rsidR="002A17D1" w:rsidRPr="00A85B3E" w:rsidRDefault="002A17D1" w:rsidP="002A17D1">
      <w:pPr>
        <w:spacing w:before="40" w:after="40" w:line="340" w:lineRule="exact"/>
        <w:ind w:firstLine="720"/>
        <w:rPr>
          <w:bCs/>
          <w:iCs/>
          <w:spacing w:val="-2"/>
          <w:sz w:val="28"/>
          <w:szCs w:val="28"/>
          <w:lang w:val="pt-BR"/>
        </w:rPr>
      </w:pPr>
      <w:r w:rsidRPr="00A85B3E">
        <w:rPr>
          <w:bCs/>
          <w:iCs/>
          <w:spacing w:val="-2"/>
          <w:sz w:val="28"/>
          <w:szCs w:val="28"/>
          <w:lang w:val="pt-BR"/>
        </w:rPr>
        <w:t>Quy mô đầu tư xây dựng:</w:t>
      </w:r>
    </w:p>
    <w:p w:rsidR="002A17D1" w:rsidRDefault="002A17D1" w:rsidP="002A17D1">
      <w:pPr>
        <w:tabs>
          <w:tab w:val="left" w:pos="1418"/>
        </w:tabs>
        <w:spacing w:before="120" w:after="120" w:line="264" w:lineRule="auto"/>
        <w:ind w:firstLine="709"/>
        <w:rPr>
          <w:bCs/>
          <w:iCs/>
          <w:spacing w:val="-2"/>
          <w:sz w:val="28"/>
          <w:szCs w:val="28"/>
        </w:rPr>
      </w:pPr>
      <w:r w:rsidRPr="002B6BA6">
        <w:rPr>
          <w:b/>
          <w:i/>
          <w:spacing w:val="-2"/>
          <w:sz w:val="28"/>
          <w:szCs w:val="28"/>
        </w:rPr>
        <w:t>1.1. Giao thông</w:t>
      </w:r>
      <w:r w:rsidRPr="002B6BA6">
        <w:rPr>
          <w:bCs/>
          <w:iCs/>
          <w:spacing w:val="-2"/>
          <w:sz w:val="28"/>
          <w:szCs w:val="28"/>
        </w:rPr>
        <w:t xml:space="preserve"> </w:t>
      </w:r>
    </w:p>
    <w:p w:rsidR="002A17D1"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xml:space="preserve">a. Quy mô: </w:t>
      </w:r>
    </w:p>
    <w:p w:rsidR="002A17D1"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xml:space="preserve">- Xây dựng 05 tuyến đường giao thông với kết cấu mặt đường bê tông nhựa theo quy hoạch được duyệt với tổng chiều dài khoảng 561,63m. Quy mô xây dựng các tuyến đường dự kiến như sau: </w:t>
      </w:r>
    </w:p>
    <w:p w:rsidR="002A17D1"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xml:space="preserve">+ Tuyến đường N1 điểm đầu giao với tuyến N5 (đường nhựa hiện trạng) tại nút N5; điểm cuối giao với tuyến N2 (đường BTXM hiện trạng) tại nút N2, dài 175,73m; </w:t>
      </w:r>
    </w:p>
    <w:p w:rsidR="002A17D1"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xml:space="preserve">+ Tuyến đường N2 điểm đầu giao với tuyến N1 tại nút N2; điểm cuối tại nút N1, dài 96,10m; </w:t>
      </w:r>
    </w:p>
    <w:p w:rsidR="002A17D1"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đường N3 điểm đầu giao với tuyến N1 tại nút N3; điểm cuối giao với đường BTXM hiện trạng, dài 96,10m;</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đường N4 điểm đầu giao với tuyến N1 tại nút N4; điểm cuối giáp</w:t>
      </w:r>
      <w:r>
        <w:rPr>
          <w:bCs/>
          <w:iCs/>
          <w:spacing w:val="-2"/>
          <w:sz w:val="28"/>
          <w:szCs w:val="28"/>
        </w:rPr>
        <w:t xml:space="preserve"> </w:t>
      </w:r>
      <w:r w:rsidRPr="002B6BA6">
        <w:rPr>
          <w:bCs/>
          <w:iCs/>
          <w:spacing w:val="-2"/>
          <w:sz w:val="28"/>
          <w:szCs w:val="28"/>
        </w:rPr>
        <w:t>dân cư hiện trạng, dài 96,84m;</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đường N5 điểm đầu giao với tuyến N1 tại nút N5; điểm cuối tại</w:t>
      </w:r>
      <w:r>
        <w:rPr>
          <w:bCs/>
          <w:iCs/>
          <w:spacing w:val="-2"/>
          <w:sz w:val="28"/>
          <w:szCs w:val="28"/>
        </w:rPr>
        <w:t xml:space="preserve"> </w:t>
      </w:r>
      <w:r w:rsidRPr="002B6BA6">
        <w:rPr>
          <w:bCs/>
          <w:iCs/>
          <w:spacing w:val="-2"/>
          <w:sz w:val="28"/>
          <w:szCs w:val="28"/>
        </w:rPr>
        <w:t>nút N6, dài 96,86m;</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b. Kết quả thiết kế:</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N1 (mặt cắt 1-1) có quy mô như sau: Chiều rộng nền đường</w:t>
      </w:r>
      <w:r>
        <w:rPr>
          <w:bCs/>
          <w:iCs/>
          <w:spacing w:val="-2"/>
          <w:sz w:val="28"/>
          <w:szCs w:val="28"/>
        </w:rPr>
        <w:t xml:space="preserve"> </w:t>
      </w:r>
      <w:r w:rsidRPr="002B6BA6">
        <w:rPr>
          <w:bCs/>
          <w:iCs/>
          <w:spacing w:val="-2"/>
          <w:sz w:val="28"/>
          <w:szCs w:val="28"/>
        </w:rPr>
        <w:t>Bn=25,0m; chiều rộng mặt đường Bm= 7,5 x 2 = 7,50m; chiều rộng vỉa hè Bvh=</w:t>
      </w:r>
      <w:r>
        <w:rPr>
          <w:bCs/>
          <w:iCs/>
          <w:spacing w:val="-2"/>
          <w:sz w:val="28"/>
          <w:szCs w:val="28"/>
        </w:rPr>
        <w:t xml:space="preserve"> </w:t>
      </w:r>
      <w:r w:rsidRPr="002B6BA6">
        <w:rPr>
          <w:bCs/>
          <w:iCs/>
          <w:spacing w:val="-2"/>
          <w:sz w:val="28"/>
          <w:szCs w:val="28"/>
        </w:rPr>
        <w:t>5,0 x2 =10,0m. Trong giai đoạn này, phân kỳ đầu tư tuyến đường phía bên dự</w:t>
      </w:r>
      <w:r>
        <w:rPr>
          <w:bCs/>
          <w:iCs/>
          <w:spacing w:val="-2"/>
          <w:sz w:val="28"/>
          <w:szCs w:val="28"/>
        </w:rPr>
        <w:t xml:space="preserve"> </w:t>
      </w:r>
      <w:r w:rsidRPr="002B6BA6">
        <w:rPr>
          <w:bCs/>
          <w:iCs/>
          <w:spacing w:val="-2"/>
          <w:sz w:val="28"/>
          <w:szCs w:val="28"/>
        </w:rPr>
        <w:t>án theo quy mô sau: Chiều rộng nền đường Bn=13,0m; chiều rộng mặt đường</w:t>
      </w:r>
      <w:r>
        <w:rPr>
          <w:bCs/>
          <w:iCs/>
          <w:spacing w:val="-2"/>
          <w:sz w:val="28"/>
          <w:szCs w:val="28"/>
        </w:rPr>
        <w:t xml:space="preserve"> </w:t>
      </w:r>
      <w:r w:rsidRPr="002B6BA6">
        <w:rPr>
          <w:bCs/>
          <w:iCs/>
          <w:spacing w:val="-2"/>
          <w:sz w:val="28"/>
          <w:szCs w:val="28"/>
        </w:rPr>
        <w:t>Bm= 7,50m; chiều rộng vỉa hè phải tuyến Bvhp= 5,0m; chiều rộng lề đất trái</w:t>
      </w:r>
      <w:r>
        <w:rPr>
          <w:bCs/>
          <w:iCs/>
          <w:spacing w:val="-2"/>
          <w:sz w:val="28"/>
          <w:szCs w:val="28"/>
        </w:rPr>
        <w:t xml:space="preserve"> </w:t>
      </w:r>
      <w:r w:rsidRPr="002B6BA6">
        <w:rPr>
          <w:bCs/>
          <w:iCs/>
          <w:spacing w:val="-2"/>
          <w:sz w:val="28"/>
          <w:szCs w:val="28"/>
        </w:rPr>
        <w:t>tuyến Blđ=0,5m.</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N2 (mặt cắt 2-2) có quy mô như sau: Chiều rộng nền đường</w:t>
      </w:r>
      <w:r>
        <w:rPr>
          <w:bCs/>
          <w:iCs/>
          <w:spacing w:val="-2"/>
          <w:sz w:val="28"/>
          <w:szCs w:val="28"/>
        </w:rPr>
        <w:t xml:space="preserve"> </w:t>
      </w:r>
      <w:r w:rsidRPr="002B6BA6">
        <w:rPr>
          <w:bCs/>
          <w:iCs/>
          <w:spacing w:val="-2"/>
          <w:sz w:val="28"/>
          <w:szCs w:val="28"/>
        </w:rPr>
        <w:t>Bn=20,50m; chiều rộng mặt đường Bm= 5,25 x 2 = 10,50m; chiều rộng vỉa hè</w:t>
      </w:r>
      <w:r>
        <w:rPr>
          <w:bCs/>
          <w:iCs/>
          <w:spacing w:val="-2"/>
          <w:sz w:val="28"/>
          <w:szCs w:val="28"/>
        </w:rPr>
        <w:t xml:space="preserve"> </w:t>
      </w:r>
      <w:r w:rsidRPr="002B6BA6">
        <w:rPr>
          <w:bCs/>
          <w:iCs/>
          <w:spacing w:val="-2"/>
          <w:sz w:val="28"/>
          <w:szCs w:val="28"/>
        </w:rPr>
        <w:t>Bvh= 5,0 x2 =10,0m. Trong giai đoạn này, giữ nguyên mặt đường hiện trạng,</w:t>
      </w:r>
      <w:r>
        <w:rPr>
          <w:bCs/>
          <w:iCs/>
          <w:spacing w:val="-2"/>
          <w:sz w:val="28"/>
          <w:szCs w:val="28"/>
        </w:rPr>
        <w:t xml:space="preserve"> </w:t>
      </w:r>
      <w:r w:rsidRPr="002B6BA6">
        <w:rPr>
          <w:bCs/>
          <w:iCs/>
          <w:spacing w:val="-2"/>
          <w:sz w:val="28"/>
          <w:szCs w:val="28"/>
        </w:rPr>
        <w:t>chỉ đầu tư phần vỉa hè phải tuyến phía mặt bằng quy hoạch: Chiều rộng vỉa hè</w:t>
      </w:r>
      <w:r>
        <w:rPr>
          <w:bCs/>
          <w:iCs/>
          <w:spacing w:val="-2"/>
          <w:sz w:val="28"/>
          <w:szCs w:val="28"/>
        </w:rPr>
        <w:t xml:space="preserve"> </w:t>
      </w:r>
      <w:r w:rsidRPr="002B6BA6">
        <w:rPr>
          <w:bCs/>
          <w:iCs/>
          <w:spacing w:val="-2"/>
          <w:sz w:val="28"/>
          <w:szCs w:val="28"/>
        </w:rPr>
        <w:t>phải tuyến Bvhp= 5,0m.</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lastRenderedPageBreak/>
        <w:t>- Tuyến N3 (mặt cắt 3-3) có quy mô như sau: Chiều rộng nền đường</w:t>
      </w:r>
      <w:r>
        <w:rPr>
          <w:bCs/>
          <w:iCs/>
          <w:spacing w:val="-2"/>
          <w:sz w:val="28"/>
          <w:szCs w:val="28"/>
        </w:rPr>
        <w:t xml:space="preserve"> </w:t>
      </w:r>
      <w:r w:rsidRPr="002B6BA6">
        <w:rPr>
          <w:bCs/>
          <w:iCs/>
          <w:spacing w:val="-2"/>
          <w:sz w:val="28"/>
          <w:szCs w:val="28"/>
        </w:rPr>
        <w:t>Bn=17,50m; chiều rộng mặt đường Bm= 3,75 x 2 = 7,50m; chiều rộng vỉa hè</w:t>
      </w:r>
      <w:r>
        <w:rPr>
          <w:bCs/>
          <w:iCs/>
          <w:spacing w:val="-2"/>
          <w:sz w:val="28"/>
          <w:szCs w:val="28"/>
        </w:rPr>
        <w:t xml:space="preserve"> </w:t>
      </w:r>
      <w:r w:rsidRPr="002B6BA6">
        <w:rPr>
          <w:bCs/>
          <w:iCs/>
          <w:spacing w:val="-2"/>
          <w:sz w:val="28"/>
          <w:szCs w:val="28"/>
        </w:rPr>
        <w:t>Bvh= 5,0 x2 =10,0m.</w:t>
      </w:r>
    </w:p>
    <w:p w:rsidR="002A17D1" w:rsidRPr="002B6BA6"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N4 (mặt cắt 3-3) có quy mô như sau: Chiều rộng nền đường</w:t>
      </w:r>
      <w:r>
        <w:rPr>
          <w:bCs/>
          <w:iCs/>
          <w:spacing w:val="-2"/>
          <w:sz w:val="28"/>
          <w:szCs w:val="28"/>
        </w:rPr>
        <w:t xml:space="preserve"> </w:t>
      </w:r>
      <w:r w:rsidRPr="002B6BA6">
        <w:rPr>
          <w:bCs/>
          <w:iCs/>
          <w:spacing w:val="-2"/>
          <w:sz w:val="28"/>
          <w:szCs w:val="28"/>
        </w:rPr>
        <w:t>Bn=17,50m; chiều rộng mặt đường Bm= 3,75 x 2 = 7,50m; chiều rộng vỉa hè</w:t>
      </w:r>
      <w:r>
        <w:rPr>
          <w:bCs/>
          <w:iCs/>
          <w:spacing w:val="-2"/>
          <w:sz w:val="28"/>
          <w:szCs w:val="28"/>
        </w:rPr>
        <w:t xml:space="preserve"> </w:t>
      </w:r>
      <w:r w:rsidRPr="002B6BA6">
        <w:rPr>
          <w:bCs/>
          <w:iCs/>
          <w:spacing w:val="-2"/>
          <w:sz w:val="28"/>
          <w:szCs w:val="28"/>
        </w:rPr>
        <w:t>Bvh= 5,0 x2 =10,0m.</w:t>
      </w:r>
    </w:p>
    <w:p w:rsidR="002A17D1" w:rsidRDefault="002A17D1" w:rsidP="002A17D1">
      <w:pPr>
        <w:tabs>
          <w:tab w:val="left" w:pos="1418"/>
        </w:tabs>
        <w:spacing w:before="120" w:after="120" w:line="264" w:lineRule="auto"/>
        <w:ind w:firstLine="709"/>
        <w:rPr>
          <w:bCs/>
          <w:iCs/>
          <w:spacing w:val="-2"/>
          <w:sz w:val="28"/>
          <w:szCs w:val="28"/>
        </w:rPr>
      </w:pPr>
      <w:r w:rsidRPr="002B6BA6">
        <w:rPr>
          <w:bCs/>
          <w:iCs/>
          <w:spacing w:val="-2"/>
          <w:sz w:val="28"/>
          <w:szCs w:val="28"/>
        </w:rPr>
        <w:t>- Tuyến N5 (mặt cắt 4-4) có quy mô như sau: Chiều rộng nền đường</w:t>
      </w:r>
      <w:r>
        <w:rPr>
          <w:bCs/>
          <w:iCs/>
          <w:spacing w:val="-2"/>
          <w:sz w:val="28"/>
          <w:szCs w:val="28"/>
        </w:rPr>
        <w:t xml:space="preserve"> </w:t>
      </w:r>
      <w:r w:rsidRPr="002B6BA6">
        <w:rPr>
          <w:bCs/>
          <w:iCs/>
          <w:spacing w:val="-2"/>
          <w:sz w:val="28"/>
          <w:szCs w:val="28"/>
        </w:rPr>
        <w:t>Bn=12,50m; chiều rộng mặt đường Bm= 3,75 x 2 = 7,50m; chiều rộng vỉa hè</w:t>
      </w:r>
      <w:r>
        <w:rPr>
          <w:bCs/>
          <w:iCs/>
          <w:spacing w:val="-2"/>
          <w:sz w:val="28"/>
          <w:szCs w:val="28"/>
        </w:rPr>
        <w:t xml:space="preserve"> </w:t>
      </w:r>
      <w:r w:rsidRPr="002B6BA6">
        <w:rPr>
          <w:bCs/>
          <w:iCs/>
          <w:spacing w:val="-2"/>
          <w:sz w:val="28"/>
          <w:szCs w:val="28"/>
        </w:rPr>
        <w:t>phải Bvhp= 5,0m. Trong giai đoạn này, giữ nguyên mặt đường hiện trạng, chỉ</w:t>
      </w:r>
      <w:r>
        <w:rPr>
          <w:bCs/>
          <w:iCs/>
          <w:spacing w:val="-2"/>
          <w:sz w:val="28"/>
          <w:szCs w:val="28"/>
        </w:rPr>
        <w:t xml:space="preserve"> </w:t>
      </w:r>
      <w:r w:rsidRPr="002B6BA6">
        <w:rPr>
          <w:bCs/>
          <w:iCs/>
          <w:spacing w:val="-2"/>
          <w:sz w:val="28"/>
          <w:szCs w:val="28"/>
        </w:rPr>
        <w:t>đầu tư phần vỉa hè phải tuyến phía mặt bằng quy hoạch: Chiều rộng vỉa hè phải</w:t>
      </w:r>
      <w:r>
        <w:rPr>
          <w:bCs/>
          <w:iCs/>
          <w:spacing w:val="-2"/>
          <w:sz w:val="28"/>
          <w:szCs w:val="28"/>
        </w:rPr>
        <w:t xml:space="preserve"> </w:t>
      </w:r>
      <w:r w:rsidRPr="002B6BA6">
        <w:rPr>
          <w:bCs/>
          <w:iCs/>
          <w:spacing w:val="-2"/>
          <w:sz w:val="28"/>
          <w:szCs w:val="28"/>
        </w:rPr>
        <w:t>tuyến Bvhp= 5,0m.</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c) Nền đường:</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 Đắp nền đường bằng đất cấp 3, đảm bảo độ chặt K ≥ 0,95. Lớp đất sát</w:t>
      </w:r>
      <w:r>
        <w:rPr>
          <w:bCs/>
          <w:iCs/>
          <w:spacing w:val="-2"/>
          <w:sz w:val="28"/>
          <w:szCs w:val="28"/>
        </w:rPr>
        <w:t xml:space="preserve"> </w:t>
      </w:r>
      <w:r w:rsidRPr="0035677B">
        <w:rPr>
          <w:bCs/>
          <w:iCs/>
          <w:spacing w:val="-2"/>
          <w:sz w:val="28"/>
          <w:szCs w:val="28"/>
        </w:rPr>
        <w:t>đáy kết cấu áo đường đảm bảo độ chặt K98 dày 50cm; trước khi đắp nền phải</w:t>
      </w:r>
      <w:r>
        <w:rPr>
          <w:bCs/>
          <w:iCs/>
          <w:spacing w:val="-2"/>
          <w:sz w:val="28"/>
          <w:szCs w:val="28"/>
        </w:rPr>
        <w:t xml:space="preserve"> </w:t>
      </w:r>
      <w:r w:rsidRPr="0035677B">
        <w:rPr>
          <w:bCs/>
          <w:iCs/>
          <w:spacing w:val="-2"/>
          <w:sz w:val="28"/>
          <w:szCs w:val="28"/>
        </w:rPr>
        <w:t>bóc bỏ lớp đất không thích hợp tùy theo lớp địa chất.</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d) Kết cấu mặt đường: Lớp mặt thảm BTN C19 dày 6cm; tưới nhựa thấm</w:t>
      </w:r>
      <w:r>
        <w:rPr>
          <w:bCs/>
          <w:iCs/>
          <w:spacing w:val="-2"/>
          <w:sz w:val="28"/>
          <w:szCs w:val="28"/>
        </w:rPr>
        <w:t xml:space="preserve"> </w:t>
      </w:r>
      <w:r w:rsidRPr="0035677B">
        <w:rPr>
          <w:bCs/>
          <w:iCs/>
          <w:spacing w:val="-2"/>
          <w:sz w:val="28"/>
          <w:szCs w:val="28"/>
        </w:rPr>
        <w:t>bám TCN 1,0kg/m2; móng trên cấp phối đá dăm loại 1 dày 15cm; móng dưới</w:t>
      </w:r>
      <w:r>
        <w:rPr>
          <w:bCs/>
          <w:iCs/>
          <w:spacing w:val="-2"/>
          <w:sz w:val="28"/>
          <w:szCs w:val="28"/>
        </w:rPr>
        <w:t xml:space="preserve"> </w:t>
      </w:r>
      <w:r w:rsidRPr="0035677B">
        <w:rPr>
          <w:bCs/>
          <w:iCs/>
          <w:spacing w:val="-2"/>
          <w:sz w:val="28"/>
          <w:szCs w:val="28"/>
        </w:rPr>
        <w:t>cấp phối đá dăm loại 2 dày 18cm; đắp đất K98 dày 50cm.</w:t>
      </w:r>
    </w:p>
    <w:p w:rsidR="002A17D1"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e) Kết cấu hè đường, đường dạo, bó vỉa, đan rãnh, gờ bó hè, hố trồng cây</w:t>
      </w:r>
      <w:r>
        <w:rPr>
          <w:bCs/>
          <w:iCs/>
          <w:spacing w:val="-2"/>
          <w:sz w:val="28"/>
          <w:szCs w:val="28"/>
        </w:rPr>
        <w:t xml:space="preserve"> </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 Hè đường: Lát gạch Terrazzo kích thước 400x400x33cm, lót vữa đệm</w:t>
      </w:r>
      <w:r>
        <w:rPr>
          <w:bCs/>
          <w:iCs/>
          <w:spacing w:val="-2"/>
          <w:sz w:val="28"/>
          <w:szCs w:val="28"/>
        </w:rPr>
        <w:t xml:space="preserve"> </w:t>
      </w:r>
      <w:r w:rsidRPr="0035677B">
        <w:rPr>
          <w:bCs/>
          <w:iCs/>
          <w:spacing w:val="-2"/>
          <w:sz w:val="28"/>
          <w:szCs w:val="28"/>
        </w:rPr>
        <w:t>M75 dày 2cm, đệm móng bằng BTXM M150 dày 7cm;</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 Bó vỉa: Bó vỉa bằng BTXM M200, lắp ghép. Kích thước (23x26)cm;</w:t>
      </w:r>
      <w:r>
        <w:rPr>
          <w:bCs/>
          <w:iCs/>
          <w:spacing w:val="-2"/>
          <w:sz w:val="28"/>
          <w:szCs w:val="28"/>
        </w:rPr>
        <w:t xml:space="preserve"> </w:t>
      </w:r>
      <w:r w:rsidRPr="0035677B">
        <w:rPr>
          <w:bCs/>
          <w:iCs/>
          <w:spacing w:val="-2"/>
          <w:sz w:val="28"/>
          <w:szCs w:val="28"/>
        </w:rPr>
        <w:t>trong đường thẳng dài 100cm, trong đường cong dài 40cm. Đệm móng bằng</w:t>
      </w:r>
      <w:r>
        <w:rPr>
          <w:bCs/>
          <w:iCs/>
          <w:spacing w:val="-2"/>
          <w:sz w:val="28"/>
          <w:szCs w:val="28"/>
        </w:rPr>
        <w:t xml:space="preserve"> </w:t>
      </w:r>
      <w:r w:rsidRPr="0035677B">
        <w:rPr>
          <w:bCs/>
          <w:iCs/>
          <w:spacing w:val="-2"/>
          <w:sz w:val="28"/>
          <w:szCs w:val="28"/>
        </w:rPr>
        <w:t>BTXM M150 đá 1x2, dày 10cm.</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 Đan rãnh: Đan rãnh bằng BTXM M200 đổ tại chỗ dày 5cm, cứ 0,5m</w:t>
      </w:r>
      <w:r>
        <w:rPr>
          <w:bCs/>
          <w:iCs/>
          <w:spacing w:val="-2"/>
          <w:sz w:val="28"/>
          <w:szCs w:val="28"/>
        </w:rPr>
        <w:t xml:space="preserve"> </w:t>
      </w:r>
      <w:r w:rsidRPr="0035677B">
        <w:rPr>
          <w:bCs/>
          <w:iCs/>
          <w:spacing w:val="-2"/>
          <w:sz w:val="28"/>
          <w:szCs w:val="28"/>
        </w:rPr>
        <w:t>cắt 1khe.</w:t>
      </w:r>
    </w:p>
    <w:p w:rsidR="002A17D1" w:rsidRPr="0035677B"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 Gờ bó hè: Xây gạch không nung VXM M50, lót móng bằng lớp BTXM</w:t>
      </w:r>
      <w:r>
        <w:rPr>
          <w:bCs/>
          <w:iCs/>
          <w:spacing w:val="-2"/>
          <w:sz w:val="28"/>
          <w:szCs w:val="28"/>
        </w:rPr>
        <w:t xml:space="preserve"> </w:t>
      </w:r>
      <w:r w:rsidRPr="0035677B">
        <w:rPr>
          <w:bCs/>
          <w:iCs/>
          <w:spacing w:val="-2"/>
          <w:sz w:val="28"/>
          <w:szCs w:val="28"/>
        </w:rPr>
        <w:t>M150 dày 10cm.</w:t>
      </w:r>
    </w:p>
    <w:p w:rsidR="002A17D1" w:rsidRDefault="002A17D1" w:rsidP="002A17D1">
      <w:pPr>
        <w:tabs>
          <w:tab w:val="left" w:pos="1418"/>
        </w:tabs>
        <w:spacing w:before="120" w:after="120" w:line="264" w:lineRule="auto"/>
        <w:ind w:firstLine="709"/>
        <w:rPr>
          <w:bCs/>
          <w:iCs/>
          <w:spacing w:val="-2"/>
          <w:sz w:val="28"/>
          <w:szCs w:val="28"/>
        </w:rPr>
      </w:pPr>
      <w:r w:rsidRPr="0035677B">
        <w:rPr>
          <w:bCs/>
          <w:iCs/>
          <w:spacing w:val="-2"/>
          <w:sz w:val="28"/>
          <w:szCs w:val="28"/>
        </w:rPr>
        <w:t>- Hố trồng cây: Hố trồng cây có kích thước (120x120)cm, xây gạch không</w:t>
      </w:r>
      <w:r>
        <w:rPr>
          <w:bCs/>
          <w:iCs/>
          <w:spacing w:val="-2"/>
          <w:sz w:val="28"/>
          <w:szCs w:val="28"/>
        </w:rPr>
        <w:t xml:space="preserve"> </w:t>
      </w:r>
      <w:r w:rsidRPr="0035677B">
        <w:rPr>
          <w:bCs/>
          <w:iCs/>
          <w:spacing w:val="-2"/>
          <w:sz w:val="28"/>
          <w:szCs w:val="28"/>
        </w:rPr>
        <w:t>nung VXM M50, lót móng bằng lớp BTXM M150, dày 10cm.</w:t>
      </w:r>
    </w:p>
    <w:p w:rsidR="002A17D1" w:rsidRPr="00FD4C2B" w:rsidRDefault="002A17D1" w:rsidP="002A17D1">
      <w:pPr>
        <w:tabs>
          <w:tab w:val="left" w:pos="1418"/>
        </w:tabs>
        <w:spacing w:before="120" w:after="120" w:line="264" w:lineRule="auto"/>
        <w:ind w:firstLine="709"/>
        <w:rPr>
          <w:b/>
          <w:i/>
          <w:sz w:val="28"/>
          <w:szCs w:val="28"/>
        </w:rPr>
      </w:pPr>
      <w:r w:rsidRPr="00FD4C2B">
        <w:rPr>
          <w:b/>
          <w:i/>
          <w:sz w:val="28"/>
          <w:szCs w:val="28"/>
        </w:rPr>
        <w:t>1.2. Thoát nước mưa</w:t>
      </w:r>
    </w:p>
    <w:p w:rsidR="002A17D1" w:rsidRPr="003F2C88" w:rsidRDefault="002A17D1" w:rsidP="002A17D1">
      <w:pPr>
        <w:tabs>
          <w:tab w:val="left" w:pos="1418"/>
        </w:tabs>
        <w:spacing w:before="120" w:after="120" w:line="264" w:lineRule="auto"/>
        <w:ind w:firstLine="709"/>
        <w:rPr>
          <w:bCs/>
          <w:iCs/>
          <w:sz w:val="28"/>
          <w:szCs w:val="28"/>
        </w:rPr>
      </w:pPr>
      <w:r w:rsidRPr="003F2C88">
        <w:rPr>
          <w:bCs/>
          <w:iCs/>
          <w:sz w:val="28"/>
          <w:szCs w:val="28"/>
        </w:rPr>
        <w:t>- Hệ thống thoát nước được thiết kế theo nguyên tắc tự chảy, mương thoát</w:t>
      </w:r>
      <w:r>
        <w:rPr>
          <w:bCs/>
          <w:iCs/>
          <w:sz w:val="28"/>
          <w:szCs w:val="28"/>
        </w:rPr>
        <w:t xml:space="preserve"> </w:t>
      </w:r>
      <w:r w:rsidRPr="003F2C88">
        <w:rPr>
          <w:bCs/>
          <w:iCs/>
          <w:sz w:val="28"/>
          <w:szCs w:val="28"/>
        </w:rPr>
        <w:t>nước thiết kế là mương xây gạch đặc không nung và cống tròn BTLT D1000 đi</w:t>
      </w:r>
      <w:r>
        <w:rPr>
          <w:bCs/>
          <w:iCs/>
          <w:sz w:val="28"/>
          <w:szCs w:val="28"/>
        </w:rPr>
        <w:t xml:space="preserve"> </w:t>
      </w:r>
      <w:r w:rsidRPr="003F2C88">
        <w:rPr>
          <w:bCs/>
          <w:iCs/>
          <w:sz w:val="28"/>
          <w:szCs w:val="28"/>
        </w:rPr>
        <w:t>trên vỉa hè các tuyến đường giao thông.</w:t>
      </w:r>
    </w:p>
    <w:p w:rsidR="002A17D1" w:rsidRPr="003F2C88" w:rsidRDefault="002A17D1" w:rsidP="002A17D1">
      <w:pPr>
        <w:tabs>
          <w:tab w:val="left" w:pos="1418"/>
        </w:tabs>
        <w:spacing w:before="120" w:after="120" w:line="264" w:lineRule="auto"/>
        <w:ind w:firstLine="709"/>
        <w:rPr>
          <w:bCs/>
          <w:iCs/>
          <w:sz w:val="28"/>
          <w:szCs w:val="28"/>
        </w:rPr>
      </w:pPr>
      <w:r w:rsidRPr="003F2C88">
        <w:rPr>
          <w:bCs/>
          <w:iCs/>
          <w:sz w:val="28"/>
          <w:szCs w:val="28"/>
        </w:rPr>
        <w:t>- Kết cấu rãnh B50 trên vỉa hè: Thân rãnh xây gạch đặc không nung VXM</w:t>
      </w:r>
      <w:r>
        <w:rPr>
          <w:bCs/>
          <w:iCs/>
          <w:sz w:val="28"/>
          <w:szCs w:val="28"/>
        </w:rPr>
        <w:t xml:space="preserve"> </w:t>
      </w:r>
      <w:r w:rsidRPr="003F2C88">
        <w:rPr>
          <w:bCs/>
          <w:iCs/>
          <w:sz w:val="28"/>
          <w:szCs w:val="28"/>
        </w:rPr>
        <w:t>M50 dày 22cm, trát vữa xi măng M75 dày 1,5cm; mũ mố bằng BTCT M200 đá</w:t>
      </w:r>
      <w:r>
        <w:rPr>
          <w:bCs/>
          <w:iCs/>
          <w:sz w:val="28"/>
          <w:szCs w:val="28"/>
        </w:rPr>
        <w:t xml:space="preserve"> </w:t>
      </w:r>
      <w:r w:rsidRPr="003F2C88">
        <w:rPr>
          <w:bCs/>
          <w:iCs/>
          <w:sz w:val="28"/>
          <w:szCs w:val="28"/>
        </w:rPr>
        <w:lastRenderedPageBreak/>
        <w:t>1x2; tấm đan bằng BTCT M200, đúc sẵn dày 10cm; móng rãnh bằng BTXM</w:t>
      </w:r>
      <w:r>
        <w:rPr>
          <w:bCs/>
          <w:iCs/>
          <w:sz w:val="28"/>
          <w:szCs w:val="28"/>
        </w:rPr>
        <w:t xml:space="preserve"> </w:t>
      </w:r>
      <w:r w:rsidRPr="003F2C88">
        <w:rPr>
          <w:bCs/>
          <w:iCs/>
          <w:sz w:val="28"/>
          <w:szCs w:val="28"/>
        </w:rPr>
        <w:t>M150 đá 1x2, dày 15cm, đặt trên lớp đá dăm đệm dày 10cm.</w:t>
      </w:r>
    </w:p>
    <w:p w:rsidR="002A17D1" w:rsidRPr="003F2C88" w:rsidRDefault="002A17D1" w:rsidP="002A17D1">
      <w:pPr>
        <w:tabs>
          <w:tab w:val="left" w:pos="1418"/>
        </w:tabs>
        <w:spacing w:before="120" w:after="120" w:line="264" w:lineRule="auto"/>
        <w:ind w:firstLine="709"/>
        <w:rPr>
          <w:bCs/>
          <w:iCs/>
          <w:sz w:val="28"/>
          <w:szCs w:val="28"/>
        </w:rPr>
      </w:pPr>
      <w:r w:rsidRPr="003F2C88">
        <w:rPr>
          <w:bCs/>
          <w:iCs/>
          <w:sz w:val="28"/>
          <w:szCs w:val="28"/>
        </w:rPr>
        <w:t>- Kết cấu rãnh chịu lực B50 qua đường: Thân rãnh bằng BTXM M200 đá</w:t>
      </w:r>
      <w:r>
        <w:rPr>
          <w:bCs/>
          <w:iCs/>
          <w:sz w:val="28"/>
          <w:szCs w:val="28"/>
        </w:rPr>
        <w:t xml:space="preserve"> </w:t>
      </w:r>
      <w:r w:rsidRPr="003F2C88">
        <w:rPr>
          <w:bCs/>
          <w:iCs/>
          <w:sz w:val="28"/>
          <w:szCs w:val="28"/>
        </w:rPr>
        <w:t>1x2 dày 30cm; mũ mố bằng BTCT M200 đá 1x2; tấm đan bằng BTCT M250,</w:t>
      </w:r>
      <w:r>
        <w:rPr>
          <w:bCs/>
          <w:iCs/>
          <w:sz w:val="28"/>
          <w:szCs w:val="28"/>
        </w:rPr>
        <w:t xml:space="preserve"> </w:t>
      </w:r>
      <w:r w:rsidRPr="003F2C88">
        <w:rPr>
          <w:bCs/>
          <w:iCs/>
          <w:sz w:val="28"/>
          <w:szCs w:val="28"/>
        </w:rPr>
        <w:t>đúc sẵn, dày 15cm; đáy rãnh bằng BTXM M200 đá 1x2, dày 20cm, đặt trên lớp</w:t>
      </w:r>
      <w:r>
        <w:rPr>
          <w:bCs/>
          <w:iCs/>
          <w:sz w:val="28"/>
          <w:szCs w:val="28"/>
        </w:rPr>
        <w:t xml:space="preserve"> </w:t>
      </w:r>
      <w:r w:rsidRPr="003F2C88">
        <w:rPr>
          <w:bCs/>
          <w:iCs/>
          <w:sz w:val="28"/>
          <w:szCs w:val="28"/>
        </w:rPr>
        <w:t>đá dăm đệm dày 10cm.</w:t>
      </w:r>
    </w:p>
    <w:p w:rsidR="002A17D1" w:rsidRPr="003F2C88" w:rsidRDefault="002A17D1" w:rsidP="002A17D1">
      <w:pPr>
        <w:tabs>
          <w:tab w:val="left" w:pos="1418"/>
        </w:tabs>
        <w:spacing w:before="120" w:after="120" w:line="264" w:lineRule="auto"/>
        <w:ind w:firstLine="709"/>
        <w:rPr>
          <w:bCs/>
          <w:iCs/>
          <w:sz w:val="28"/>
          <w:szCs w:val="28"/>
        </w:rPr>
      </w:pPr>
      <w:r w:rsidRPr="003F2C88">
        <w:rPr>
          <w:bCs/>
          <w:iCs/>
          <w:sz w:val="28"/>
          <w:szCs w:val="28"/>
        </w:rPr>
        <w:t>- Kết cấu giếng thu rãnh B50: Thân hố xây bằng gạch đặc không nung dày</w:t>
      </w:r>
      <w:r>
        <w:rPr>
          <w:bCs/>
          <w:iCs/>
          <w:sz w:val="28"/>
          <w:szCs w:val="28"/>
        </w:rPr>
        <w:t xml:space="preserve"> </w:t>
      </w:r>
      <w:r w:rsidRPr="003F2C88">
        <w:rPr>
          <w:bCs/>
          <w:iCs/>
          <w:sz w:val="28"/>
          <w:szCs w:val="28"/>
        </w:rPr>
        <w:t>22cm, trát VXM M75 dày 1,5cm; mũ mố bằng BTCT M200 đá 1x2; đáy hố thu</w:t>
      </w:r>
      <w:r>
        <w:rPr>
          <w:bCs/>
          <w:iCs/>
          <w:sz w:val="28"/>
          <w:szCs w:val="28"/>
        </w:rPr>
        <w:t xml:space="preserve"> </w:t>
      </w:r>
      <w:r w:rsidRPr="003F2C88">
        <w:rPr>
          <w:bCs/>
          <w:iCs/>
          <w:sz w:val="28"/>
          <w:szCs w:val="28"/>
        </w:rPr>
        <w:t>bằng BTXM M150, dày 15cm, đặt trên lớp đá dăm đệm dày 10cm; tấm đan</w:t>
      </w:r>
      <w:r>
        <w:rPr>
          <w:bCs/>
          <w:iCs/>
          <w:sz w:val="28"/>
          <w:szCs w:val="28"/>
        </w:rPr>
        <w:t xml:space="preserve"> </w:t>
      </w:r>
      <w:r w:rsidRPr="003F2C88">
        <w:rPr>
          <w:bCs/>
          <w:iCs/>
          <w:sz w:val="28"/>
          <w:szCs w:val="28"/>
        </w:rPr>
        <w:t>BTCT M250 đá 1x2, đúc sẵn, dày 10cm.</w:t>
      </w:r>
    </w:p>
    <w:p w:rsidR="002A17D1" w:rsidRDefault="002A17D1" w:rsidP="002A17D1">
      <w:pPr>
        <w:tabs>
          <w:tab w:val="left" w:pos="1418"/>
        </w:tabs>
        <w:spacing w:before="120" w:after="120" w:line="264" w:lineRule="auto"/>
        <w:ind w:firstLine="709"/>
        <w:rPr>
          <w:bCs/>
          <w:iCs/>
          <w:sz w:val="28"/>
          <w:szCs w:val="28"/>
        </w:rPr>
      </w:pPr>
      <w:r w:rsidRPr="003F2C88">
        <w:rPr>
          <w:bCs/>
          <w:iCs/>
          <w:sz w:val="28"/>
          <w:szCs w:val="28"/>
        </w:rPr>
        <w:t>- Kết cấu giếng thăm thu trên hè (đối với cống tròn BTLT D1000): Lót</w:t>
      </w:r>
      <w:r>
        <w:rPr>
          <w:bCs/>
          <w:iCs/>
          <w:sz w:val="28"/>
          <w:szCs w:val="28"/>
        </w:rPr>
        <w:t xml:space="preserve"> </w:t>
      </w:r>
      <w:r w:rsidRPr="003F2C88">
        <w:rPr>
          <w:bCs/>
          <w:iCs/>
          <w:sz w:val="28"/>
          <w:szCs w:val="28"/>
        </w:rPr>
        <w:t>móng bằng đá dăm 4x6, dày 10cm; đế giếng bằng BTCT M200 đá (1x2) dày</w:t>
      </w:r>
      <w:r>
        <w:rPr>
          <w:bCs/>
          <w:iCs/>
          <w:sz w:val="28"/>
          <w:szCs w:val="28"/>
        </w:rPr>
        <w:t xml:space="preserve"> </w:t>
      </w:r>
      <w:r w:rsidRPr="003F2C88">
        <w:rPr>
          <w:bCs/>
          <w:iCs/>
          <w:sz w:val="28"/>
          <w:szCs w:val="28"/>
        </w:rPr>
        <w:t>15cm, thành giếng xây gạch không nung VXM M75, dày 33cm; trát tường giếng</w:t>
      </w:r>
      <w:r>
        <w:rPr>
          <w:bCs/>
          <w:iCs/>
          <w:sz w:val="28"/>
          <w:szCs w:val="28"/>
        </w:rPr>
        <w:t xml:space="preserve"> </w:t>
      </w:r>
      <w:r w:rsidRPr="003F2C88">
        <w:rPr>
          <w:bCs/>
          <w:iCs/>
          <w:sz w:val="28"/>
          <w:szCs w:val="28"/>
        </w:rPr>
        <w:t>bằng VXM M75 dày 2cm; tấm đan giếng bằng BTCT M250 dày 15cm, kết hợp</w:t>
      </w:r>
      <w:r>
        <w:rPr>
          <w:bCs/>
          <w:iCs/>
          <w:sz w:val="28"/>
          <w:szCs w:val="28"/>
        </w:rPr>
        <w:t xml:space="preserve"> </w:t>
      </w:r>
      <w:r w:rsidRPr="003F2C88">
        <w:rPr>
          <w:bCs/>
          <w:iCs/>
          <w:sz w:val="28"/>
          <w:szCs w:val="28"/>
        </w:rPr>
        <w:t>khung Composite thân vuông chìm kích thước (90x90x8)cm, nắp tròn bằng</w:t>
      </w:r>
      <w:r>
        <w:rPr>
          <w:bCs/>
          <w:iCs/>
          <w:sz w:val="28"/>
          <w:szCs w:val="28"/>
        </w:rPr>
        <w:t xml:space="preserve"> </w:t>
      </w:r>
      <w:r w:rsidRPr="003F2C88">
        <w:rPr>
          <w:bCs/>
          <w:iCs/>
          <w:sz w:val="28"/>
          <w:szCs w:val="28"/>
        </w:rPr>
        <w:t>Composite tải trọng 40KN. Giếng thu dùng tấm sàn BTCT M200 để thu nước và</w:t>
      </w:r>
      <w:r>
        <w:rPr>
          <w:bCs/>
          <w:iCs/>
          <w:sz w:val="28"/>
          <w:szCs w:val="28"/>
        </w:rPr>
        <w:t xml:space="preserve"> </w:t>
      </w:r>
      <w:r w:rsidRPr="003F2C88">
        <w:rPr>
          <w:bCs/>
          <w:iCs/>
          <w:sz w:val="28"/>
          <w:szCs w:val="28"/>
        </w:rPr>
        <w:t>lắng cặn (nguyên lý kiểu xiphông); khung song chắn rác bằng composite kích</w:t>
      </w:r>
      <w:r>
        <w:rPr>
          <w:bCs/>
          <w:iCs/>
          <w:sz w:val="28"/>
          <w:szCs w:val="28"/>
        </w:rPr>
        <w:t xml:space="preserve"> </w:t>
      </w:r>
      <w:r w:rsidRPr="003F2C88">
        <w:rPr>
          <w:bCs/>
          <w:iCs/>
          <w:sz w:val="28"/>
          <w:szCs w:val="28"/>
        </w:rPr>
        <w:t>thước (96x53)cm tải trọng thiết kế 40KN, chèn khung song chắn rác bằng</w:t>
      </w:r>
      <w:r>
        <w:rPr>
          <w:bCs/>
          <w:iCs/>
          <w:sz w:val="28"/>
          <w:szCs w:val="28"/>
        </w:rPr>
        <w:t xml:space="preserve"> </w:t>
      </w:r>
      <w:r w:rsidRPr="003F2C88">
        <w:rPr>
          <w:bCs/>
          <w:iCs/>
          <w:sz w:val="28"/>
          <w:szCs w:val="28"/>
        </w:rPr>
        <w:t>BTXM M200.</w:t>
      </w:r>
    </w:p>
    <w:p w:rsidR="002A17D1" w:rsidRPr="00FD4C2B" w:rsidRDefault="002A17D1" w:rsidP="002A17D1">
      <w:pPr>
        <w:tabs>
          <w:tab w:val="left" w:pos="1418"/>
        </w:tabs>
        <w:spacing w:before="120" w:after="120" w:line="264" w:lineRule="auto"/>
        <w:ind w:firstLine="709"/>
        <w:rPr>
          <w:b/>
          <w:i/>
          <w:sz w:val="28"/>
          <w:szCs w:val="28"/>
        </w:rPr>
      </w:pPr>
      <w:r w:rsidRPr="00FD4C2B">
        <w:rPr>
          <w:b/>
          <w:i/>
          <w:sz w:val="28"/>
          <w:szCs w:val="28"/>
        </w:rPr>
        <w:t>1.3. Thoát nước thải</w:t>
      </w:r>
    </w:p>
    <w:p w:rsidR="002A17D1" w:rsidRPr="000E5BDB" w:rsidRDefault="002A17D1" w:rsidP="002A17D1">
      <w:pPr>
        <w:tabs>
          <w:tab w:val="left" w:pos="1418"/>
        </w:tabs>
        <w:spacing w:before="120" w:after="120" w:line="264" w:lineRule="auto"/>
        <w:ind w:firstLine="709"/>
        <w:rPr>
          <w:bCs/>
          <w:iCs/>
          <w:sz w:val="28"/>
          <w:szCs w:val="28"/>
        </w:rPr>
      </w:pPr>
      <w:r w:rsidRPr="000E5BDB">
        <w:rPr>
          <w:bCs/>
          <w:iCs/>
          <w:sz w:val="28"/>
          <w:szCs w:val="28"/>
        </w:rPr>
        <w:t>- Thiết kế theo nguyên tắc tự chảy, thiết kế riêng so với hệ thống thoát</w:t>
      </w:r>
      <w:r>
        <w:rPr>
          <w:bCs/>
          <w:iCs/>
          <w:sz w:val="28"/>
          <w:szCs w:val="28"/>
        </w:rPr>
        <w:t xml:space="preserve"> </w:t>
      </w:r>
      <w:r w:rsidRPr="000E5BDB">
        <w:rPr>
          <w:bCs/>
          <w:iCs/>
          <w:sz w:val="28"/>
          <w:szCs w:val="28"/>
        </w:rPr>
        <w:t>nước mưa, cống thoát nước thải là cống tròn li tâm BTCT D300 -:- D400 và</w:t>
      </w:r>
      <w:r>
        <w:rPr>
          <w:bCs/>
          <w:iCs/>
          <w:sz w:val="28"/>
          <w:szCs w:val="28"/>
        </w:rPr>
        <w:t xml:space="preserve"> </w:t>
      </w:r>
      <w:r w:rsidRPr="000E5BDB">
        <w:rPr>
          <w:bCs/>
          <w:iCs/>
          <w:sz w:val="28"/>
          <w:szCs w:val="28"/>
        </w:rPr>
        <w:t>được bố trí phía dưới vỉa hè. Tại những khúc ngoặt hoặc chuyển giao giữa hệ</w:t>
      </w:r>
      <w:r>
        <w:rPr>
          <w:bCs/>
          <w:iCs/>
          <w:sz w:val="28"/>
          <w:szCs w:val="28"/>
        </w:rPr>
        <w:t xml:space="preserve"> </w:t>
      </w:r>
      <w:r w:rsidRPr="000E5BDB">
        <w:rPr>
          <w:bCs/>
          <w:iCs/>
          <w:sz w:val="28"/>
          <w:szCs w:val="28"/>
        </w:rPr>
        <w:t>thống cống và rãnh mương có bố trí ga thăm, ngoài ra các hố thu được bố trí với</w:t>
      </w:r>
      <w:r>
        <w:rPr>
          <w:bCs/>
          <w:iCs/>
          <w:sz w:val="28"/>
          <w:szCs w:val="28"/>
        </w:rPr>
        <w:t xml:space="preserve"> </w:t>
      </w:r>
      <w:r w:rsidRPr="000E5BDB">
        <w:rPr>
          <w:bCs/>
          <w:iCs/>
          <w:sz w:val="28"/>
          <w:szCs w:val="28"/>
        </w:rPr>
        <w:t>khoảng cách 30 - 40m để gom nước từ các hộ dân.</w:t>
      </w:r>
    </w:p>
    <w:p w:rsidR="002A17D1" w:rsidRPr="000E5BDB" w:rsidRDefault="002A17D1" w:rsidP="002A17D1">
      <w:pPr>
        <w:tabs>
          <w:tab w:val="left" w:pos="1418"/>
        </w:tabs>
        <w:spacing w:before="120" w:after="120" w:line="264" w:lineRule="auto"/>
        <w:ind w:firstLine="709"/>
        <w:rPr>
          <w:bCs/>
          <w:iCs/>
          <w:sz w:val="28"/>
          <w:szCs w:val="28"/>
        </w:rPr>
      </w:pPr>
      <w:r w:rsidRPr="000E5BDB">
        <w:rPr>
          <w:bCs/>
          <w:iCs/>
          <w:sz w:val="28"/>
          <w:szCs w:val="28"/>
        </w:rPr>
        <w:t>- Kết cấu hố thu, thăm trên vỉa hè: Thân hố xây bằng gạch không nung</w:t>
      </w:r>
      <w:r>
        <w:rPr>
          <w:bCs/>
          <w:iCs/>
          <w:sz w:val="28"/>
          <w:szCs w:val="28"/>
        </w:rPr>
        <w:t xml:space="preserve"> </w:t>
      </w:r>
      <w:r w:rsidRPr="000E5BDB">
        <w:rPr>
          <w:bCs/>
          <w:iCs/>
          <w:sz w:val="28"/>
          <w:szCs w:val="28"/>
        </w:rPr>
        <w:t>VXM M75, trát VXM M75 dày 1,5cm mặt trong; mũ mố bằng BTCT M200 đá</w:t>
      </w:r>
      <w:r>
        <w:rPr>
          <w:bCs/>
          <w:iCs/>
          <w:sz w:val="28"/>
          <w:szCs w:val="28"/>
        </w:rPr>
        <w:t xml:space="preserve"> </w:t>
      </w:r>
      <w:r w:rsidRPr="000E5BDB">
        <w:rPr>
          <w:bCs/>
          <w:iCs/>
          <w:sz w:val="28"/>
          <w:szCs w:val="28"/>
        </w:rPr>
        <w:t>1x2; móng bằng BTXM M150 đá 1x2, dày 15cm, đặt trên lớp đá dăm đệm dày</w:t>
      </w:r>
      <w:r>
        <w:rPr>
          <w:bCs/>
          <w:iCs/>
          <w:sz w:val="28"/>
          <w:szCs w:val="28"/>
        </w:rPr>
        <w:t xml:space="preserve"> </w:t>
      </w:r>
      <w:r w:rsidRPr="000E5BDB">
        <w:rPr>
          <w:bCs/>
          <w:iCs/>
          <w:sz w:val="28"/>
          <w:szCs w:val="28"/>
        </w:rPr>
        <w:t>10cm. Tấm đan bằng BTCT M250 đá 1x2, đúc sẵn, dày 10cm.</w:t>
      </w:r>
    </w:p>
    <w:p w:rsidR="002A17D1" w:rsidRPr="00FD4C2B" w:rsidRDefault="002A17D1" w:rsidP="002A17D1">
      <w:pPr>
        <w:tabs>
          <w:tab w:val="left" w:pos="1418"/>
        </w:tabs>
        <w:spacing w:before="120" w:after="120" w:line="264" w:lineRule="auto"/>
        <w:ind w:firstLine="709"/>
        <w:rPr>
          <w:b/>
          <w:i/>
          <w:sz w:val="28"/>
          <w:szCs w:val="28"/>
        </w:rPr>
      </w:pPr>
      <w:r w:rsidRPr="00FD4C2B">
        <w:rPr>
          <w:b/>
          <w:i/>
          <w:sz w:val="28"/>
          <w:szCs w:val="28"/>
        </w:rPr>
        <w:t>1.4. Cấp nước</w:t>
      </w:r>
    </w:p>
    <w:p w:rsidR="002A17D1" w:rsidRPr="00FD4C2B" w:rsidRDefault="002A17D1" w:rsidP="002A17D1">
      <w:pPr>
        <w:tabs>
          <w:tab w:val="left" w:pos="1418"/>
        </w:tabs>
        <w:spacing w:before="120" w:after="120" w:line="264" w:lineRule="auto"/>
        <w:ind w:firstLine="709"/>
        <w:rPr>
          <w:bCs/>
          <w:i/>
          <w:sz w:val="28"/>
          <w:szCs w:val="28"/>
        </w:rPr>
      </w:pPr>
      <w:r w:rsidRPr="00FD4C2B">
        <w:rPr>
          <w:bCs/>
          <w:i/>
          <w:sz w:val="28"/>
          <w:szCs w:val="28"/>
        </w:rPr>
        <w:t>a. Cấp nước sinh hoạt</w:t>
      </w:r>
    </w:p>
    <w:p w:rsidR="002A17D1" w:rsidRPr="000E5BDB" w:rsidRDefault="002A17D1" w:rsidP="002A17D1">
      <w:pPr>
        <w:tabs>
          <w:tab w:val="left" w:pos="1418"/>
        </w:tabs>
        <w:spacing w:before="120" w:after="120" w:line="264" w:lineRule="auto"/>
        <w:ind w:firstLine="709"/>
        <w:rPr>
          <w:bCs/>
          <w:iCs/>
          <w:sz w:val="28"/>
          <w:szCs w:val="28"/>
        </w:rPr>
      </w:pPr>
      <w:r w:rsidRPr="000E5BDB">
        <w:rPr>
          <w:bCs/>
          <w:iCs/>
          <w:sz w:val="28"/>
          <w:szCs w:val="28"/>
        </w:rPr>
        <w:t>- Nguồn nước: Khu vực dự án được đấu nối từ tuyến ống D110 đã có.</w:t>
      </w:r>
    </w:p>
    <w:p w:rsidR="002A17D1" w:rsidRPr="000E5BDB" w:rsidRDefault="002A17D1" w:rsidP="002A17D1">
      <w:pPr>
        <w:tabs>
          <w:tab w:val="left" w:pos="1418"/>
        </w:tabs>
        <w:spacing w:before="120" w:after="120" w:line="264" w:lineRule="auto"/>
        <w:ind w:firstLine="709"/>
        <w:rPr>
          <w:bCs/>
          <w:iCs/>
          <w:sz w:val="28"/>
          <w:szCs w:val="28"/>
        </w:rPr>
      </w:pPr>
      <w:r w:rsidRPr="000E5BDB">
        <w:rPr>
          <w:bCs/>
          <w:iCs/>
          <w:sz w:val="28"/>
          <w:szCs w:val="28"/>
        </w:rPr>
        <w:t>- Xây dựng mới các tuyến ống HDPE D50 chạy trên các tuyến đường</w:t>
      </w:r>
      <w:r>
        <w:rPr>
          <w:bCs/>
          <w:iCs/>
          <w:sz w:val="28"/>
          <w:szCs w:val="28"/>
        </w:rPr>
        <w:t xml:space="preserve"> </w:t>
      </w:r>
      <w:r w:rsidRPr="000E5BDB">
        <w:rPr>
          <w:bCs/>
          <w:iCs/>
          <w:sz w:val="28"/>
          <w:szCs w:val="28"/>
        </w:rPr>
        <w:t>nhánh cấp nước đến từng công trình và hộ gia đình.</w:t>
      </w:r>
    </w:p>
    <w:p w:rsidR="002A17D1" w:rsidRDefault="002A17D1" w:rsidP="002A17D1">
      <w:pPr>
        <w:tabs>
          <w:tab w:val="left" w:pos="1418"/>
        </w:tabs>
        <w:spacing w:before="120" w:after="120" w:line="264" w:lineRule="auto"/>
        <w:ind w:firstLine="709"/>
        <w:rPr>
          <w:bCs/>
          <w:iCs/>
          <w:sz w:val="28"/>
          <w:szCs w:val="28"/>
        </w:rPr>
      </w:pPr>
      <w:r w:rsidRPr="000E5BDB">
        <w:rPr>
          <w:bCs/>
          <w:iCs/>
          <w:sz w:val="28"/>
          <w:szCs w:val="28"/>
        </w:rPr>
        <w:t>- Ống cấp nước được thiết kế độ sâu chôn ống là 0,6m. Ống đi qua đường</w:t>
      </w:r>
      <w:r>
        <w:rPr>
          <w:bCs/>
          <w:iCs/>
          <w:sz w:val="28"/>
          <w:szCs w:val="28"/>
        </w:rPr>
        <w:t xml:space="preserve"> </w:t>
      </w:r>
      <w:r w:rsidRPr="000E5BDB">
        <w:rPr>
          <w:bCs/>
          <w:iCs/>
          <w:sz w:val="28"/>
          <w:szCs w:val="28"/>
        </w:rPr>
        <w:t>với được bảo vệ bằng ống thép.</w:t>
      </w:r>
    </w:p>
    <w:p w:rsidR="002A17D1" w:rsidRPr="00FD4C2B" w:rsidRDefault="002A17D1" w:rsidP="002A17D1">
      <w:pPr>
        <w:tabs>
          <w:tab w:val="left" w:pos="1418"/>
        </w:tabs>
        <w:spacing w:before="120" w:after="120" w:line="264" w:lineRule="auto"/>
        <w:ind w:firstLine="709"/>
        <w:rPr>
          <w:bCs/>
          <w:i/>
          <w:sz w:val="28"/>
          <w:szCs w:val="28"/>
        </w:rPr>
      </w:pPr>
      <w:r w:rsidRPr="00FD4C2B">
        <w:rPr>
          <w:bCs/>
          <w:i/>
          <w:sz w:val="28"/>
          <w:szCs w:val="28"/>
        </w:rPr>
        <w:t>b. Cấp nước PCCC</w:t>
      </w:r>
    </w:p>
    <w:p w:rsidR="002A17D1" w:rsidRPr="00FD4C2B" w:rsidRDefault="002A17D1" w:rsidP="002A17D1">
      <w:pPr>
        <w:tabs>
          <w:tab w:val="left" w:pos="1418"/>
        </w:tabs>
        <w:spacing w:before="120" w:after="120" w:line="264" w:lineRule="auto"/>
        <w:ind w:firstLine="709"/>
        <w:rPr>
          <w:bCs/>
          <w:iCs/>
          <w:sz w:val="28"/>
          <w:szCs w:val="28"/>
        </w:rPr>
      </w:pPr>
      <w:r w:rsidRPr="00FD4C2B">
        <w:rPr>
          <w:bCs/>
          <w:iCs/>
          <w:sz w:val="28"/>
          <w:szCs w:val="28"/>
        </w:rPr>
        <w:lastRenderedPageBreak/>
        <w:t>- Nguồn nước: Khu vực dự án được đấu nối từ tuyến ống D110 đã có.</w:t>
      </w:r>
    </w:p>
    <w:p w:rsidR="002A17D1" w:rsidRPr="00FD4C2B" w:rsidRDefault="002A17D1" w:rsidP="002A17D1">
      <w:pPr>
        <w:tabs>
          <w:tab w:val="left" w:pos="1418"/>
        </w:tabs>
        <w:spacing w:before="120" w:after="120" w:line="264" w:lineRule="auto"/>
        <w:ind w:firstLine="709"/>
        <w:rPr>
          <w:bCs/>
          <w:iCs/>
          <w:sz w:val="28"/>
          <w:szCs w:val="28"/>
        </w:rPr>
      </w:pPr>
      <w:r w:rsidRPr="00FD4C2B">
        <w:rPr>
          <w:bCs/>
          <w:iCs/>
          <w:sz w:val="28"/>
          <w:szCs w:val="28"/>
        </w:rPr>
        <w:t>- Xây dựng mới các tuyến ống HDPE D110 chạy trên các tuyến đường</w:t>
      </w:r>
      <w:r>
        <w:rPr>
          <w:bCs/>
          <w:iCs/>
          <w:sz w:val="28"/>
          <w:szCs w:val="28"/>
        </w:rPr>
        <w:t xml:space="preserve"> </w:t>
      </w:r>
      <w:r w:rsidRPr="00FD4C2B">
        <w:rPr>
          <w:bCs/>
          <w:iCs/>
          <w:sz w:val="28"/>
          <w:szCs w:val="28"/>
        </w:rPr>
        <w:t>nhánh đến các trụ cứu hoả.</w:t>
      </w:r>
    </w:p>
    <w:p w:rsidR="002A17D1" w:rsidRPr="00FD4C2B" w:rsidRDefault="002A17D1" w:rsidP="002A17D1">
      <w:pPr>
        <w:tabs>
          <w:tab w:val="left" w:pos="1418"/>
        </w:tabs>
        <w:spacing w:before="120" w:after="120" w:line="264" w:lineRule="auto"/>
        <w:ind w:firstLine="709"/>
        <w:rPr>
          <w:bCs/>
          <w:iCs/>
          <w:sz w:val="28"/>
          <w:szCs w:val="28"/>
        </w:rPr>
      </w:pPr>
      <w:r w:rsidRPr="00FD4C2B">
        <w:rPr>
          <w:bCs/>
          <w:iCs/>
          <w:sz w:val="28"/>
          <w:szCs w:val="28"/>
        </w:rPr>
        <w:t>- Ống cấp nước PCCC được thiết kế độ sâu chôn ống là 0,7m - 1m. Các vị</w:t>
      </w:r>
      <w:r>
        <w:rPr>
          <w:bCs/>
          <w:iCs/>
          <w:sz w:val="28"/>
          <w:szCs w:val="28"/>
        </w:rPr>
        <w:t xml:space="preserve"> </w:t>
      </w:r>
      <w:r w:rsidRPr="00FD4C2B">
        <w:rPr>
          <w:bCs/>
          <w:iCs/>
          <w:sz w:val="28"/>
          <w:szCs w:val="28"/>
        </w:rPr>
        <w:t>trí qua đường với được bảo vệ bằng ống thép.</w:t>
      </w:r>
    </w:p>
    <w:p w:rsidR="002A17D1" w:rsidRPr="00FD4C2B" w:rsidRDefault="002A17D1" w:rsidP="002A17D1">
      <w:pPr>
        <w:tabs>
          <w:tab w:val="left" w:pos="1418"/>
        </w:tabs>
        <w:spacing w:before="120" w:after="120" w:line="264" w:lineRule="auto"/>
        <w:ind w:firstLine="709"/>
        <w:rPr>
          <w:b/>
          <w:i/>
          <w:sz w:val="28"/>
          <w:szCs w:val="28"/>
        </w:rPr>
      </w:pPr>
      <w:r w:rsidRPr="00FD4C2B">
        <w:rPr>
          <w:b/>
          <w:i/>
          <w:sz w:val="28"/>
          <w:szCs w:val="28"/>
        </w:rPr>
        <w:t>1.5. Cấp điện sinh hoạt</w:t>
      </w:r>
    </w:p>
    <w:p w:rsidR="002A17D1" w:rsidRPr="00FD4C2B" w:rsidRDefault="002A17D1" w:rsidP="002A17D1">
      <w:pPr>
        <w:tabs>
          <w:tab w:val="left" w:pos="1418"/>
        </w:tabs>
        <w:spacing w:before="120" w:after="120" w:line="264" w:lineRule="auto"/>
        <w:ind w:firstLine="709"/>
        <w:rPr>
          <w:bCs/>
          <w:iCs/>
          <w:sz w:val="28"/>
          <w:szCs w:val="28"/>
        </w:rPr>
      </w:pPr>
      <w:r w:rsidRPr="00FD4C2B">
        <w:rPr>
          <w:bCs/>
          <w:iCs/>
          <w:sz w:val="28"/>
          <w:szCs w:val="28"/>
        </w:rPr>
        <w:t>- Nguồn điện cấp cho trạm biến áp trong khu vực được lấy nguồn từ</w:t>
      </w:r>
      <w:r>
        <w:rPr>
          <w:bCs/>
          <w:iCs/>
          <w:sz w:val="28"/>
          <w:szCs w:val="28"/>
        </w:rPr>
        <w:t xml:space="preserve"> </w:t>
      </w:r>
      <w:r w:rsidRPr="00FD4C2B">
        <w:rPr>
          <w:bCs/>
          <w:iCs/>
          <w:sz w:val="28"/>
          <w:szCs w:val="28"/>
        </w:rPr>
        <w:t>đường điện trung áp 35KV hiện có. Xây dựng mới 01 trạm biến áp 250kV để</w:t>
      </w:r>
      <w:r>
        <w:rPr>
          <w:bCs/>
          <w:iCs/>
          <w:sz w:val="28"/>
          <w:szCs w:val="28"/>
        </w:rPr>
        <w:t xml:space="preserve"> </w:t>
      </w:r>
      <w:r w:rsidRPr="00FD4C2B">
        <w:rPr>
          <w:bCs/>
          <w:iCs/>
          <w:sz w:val="28"/>
          <w:szCs w:val="28"/>
        </w:rPr>
        <w:t>cấp điện cho khu dân cư.</w:t>
      </w:r>
    </w:p>
    <w:p w:rsidR="002A17D1" w:rsidRPr="00FD4C2B" w:rsidRDefault="002A17D1" w:rsidP="002A17D1">
      <w:pPr>
        <w:tabs>
          <w:tab w:val="left" w:pos="1418"/>
        </w:tabs>
        <w:spacing w:before="120" w:after="120" w:line="264" w:lineRule="auto"/>
        <w:ind w:firstLine="709"/>
        <w:rPr>
          <w:bCs/>
          <w:iCs/>
          <w:sz w:val="28"/>
          <w:szCs w:val="28"/>
        </w:rPr>
      </w:pPr>
      <w:r w:rsidRPr="00FD4C2B">
        <w:rPr>
          <w:bCs/>
          <w:iCs/>
          <w:sz w:val="28"/>
          <w:szCs w:val="28"/>
        </w:rPr>
        <w:t>- Điện sinh hoạt: Sử dụng cáp ngầm đi trên vỉa hè quy hoạch và qua</w:t>
      </w:r>
      <w:r>
        <w:rPr>
          <w:bCs/>
          <w:iCs/>
          <w:sz w:val="28"/>
          <w:szCs w:val="28"/>
        </w:rPr>
        <w:t xml:space="preserve"> </w:t>
      </w:r>
      <w:r w:rsidRPr="00FD4C2B">
        <w:rPr>
          <w:bCs/>
          <w:iCs/>
          <w:sz w:val="28"/>
          <w:szCs w:val="28"/>
        </w:rPr>
        <w:t>đường, trục chính dùng dây dẫn cáp ngầm Cu/XLPE/PVC/DSTA/PVC; bố trí tủ</w:t>
      </w:r>
      <w:r>
        <w:rPr>
          <w:bCs/>
          <w:iCs/>
          <w:sz w:val="28"/>
          <w:szCs w:val="28"/>
        </w:rPr>
        <w:t xml:space="preserve"> </w:t>
      </w:r>
      <w:r w:rsidRPr="00FD4C2B">
        <w:rPr>
          <w:bCs/>
          <w:iCs/>
          <w:sz w:val="28"/>
          <w:szCs w:val="28"/>
        </w:rPr>
        <w:t>công tơ hè phố.</w:t>
      </w:r>
    </w:p>
    <w:p w:rsidR="002A17D1" w:rsidRDefault="002A17D1" w:rsidP="002A17D1">
      <w:pPr>
        <w:tabs>
          <w:tab w:val="left" w:pos="1418"/>
        </w:tabs>
        <w:spacing w:before="120" w:after="120" w:line="264" w:lineRule="auto"/>
        <w:ind w:firstLine="709"/>
        <w:rPr>
          <w:bCs/>
          <w:iCs/>
          <w:sz w:val="28"/>
          <w:szCs w:val="28"/>
        </w:rPr>
      </w:pPr>
      <w:r w:rsidRPr="00FD4C2B">
        <w:rPr>
          <w:bCs/>
          <w:iCs/>
          <w:sz w:val="28"/>
          <w:szCs w:val="28"/>
        </w:rPr>
        <w:t>- Điện chiếu sáng: Xây dựng mới tuyến đường dây chiếu sáng, toàn bộ</w:t>
      </w:r>
      <w:r>
        <w:rPr>
          <w:bCs/>
          <w:iCs/>
          <w:sz w:val="28"/>
          <w:szCs w:val="28"/>
        </w:rPr>
        <w:t xml:space="preserve"> </w:t>
      </w:r>
      <w:r w:rsidRPr="00FD4C2B">
        <w:rPr>
          <w:bCs/>
          <w:iCs/>
          <w:sz w:val="28"/>
          <w:szCs w:val="28"/>
        </w:rPr>
        <w:t>tuyến được đi ngầm trên vỉa hè khu quy hoạch dân cư, cột đèn chiếu sáng dùng</w:t>
      </w:r>
      <w:r>
        <w:rPr>
          <w:bCs/>
          <w:iCs/>
          <w:sz w:val="28"/>
          <w:szCs w:val="28"/>
        </w:rPr>
        <w:t xml:space="preserve"> </w:t>
      </w:r>
      <w:r w:rsidRPr="00FD4C2B">
        <w:rPr>
          <w:bCs/>
          <w:iCs/>
          <w:sz w:val="28"/>
          <w:szCs w:val="28"/>
        </w:rPr>
        <w:t>cột thép bát giác, bóng LED, tủ điều khiển chiếu sáng. Dùng cáp</w:t>
      </w:r>
      <w:r>
        <w:rPr>
          <w:bCs/>
          <w:iCs/>
          <w:sz w:val="28"/>
          <w:szCs w:val="28"/>
        </w:rPr>
        <w:t xml:space="preserve"> </w:t>
      </w:r>
      <w:r w:rsidRPr="00FD4C2B">
        <w:rPr>
          <w:bCs/>
          <w:iCs/>
          <w:sz w:val="28"/>
          <w:szCs w:val="28"/>
        </w:rPr>
        <w:t>Cu/XLPE/PVC/DSTA/PVC để cấp điện chiếu sáng đến các cột đèn chiếu sáng.</w:t>
      </w:r>
    </w:p>
    <w:p w:rsidR="002A17D1" w:rsidRPr="00330936" w:rsidRDefault="002A17D1" w:rsidP="002A17D1">
      <w:pPr>
        <w:tabs>
          <w:tab w:val="left" w:pos="1418"/>
        </w:tabs>
        <w:spacing w:before="120" w:after="120" w:line="264" w:lineRule="auto"/>
        <w:ind w:firstLine="709"/>
        <w:rPr>
          <w:sz w:val="28"/>
          <w:szCs w:val="28"/>
        </w:rPr>
      </w:pPr>
      <w:r w:rsidRPr="00A85B3E">
        <w:rPr>
          <w:color w:val="EE0000"/>
          <w:sz w:val="28"/>
          <w:szCs w:val="28"/>
          <w:lang w:val="vi-VN"/>
        </w:rPr>
        <w:t>2. Thời hạn hoàn thành</w:t>
      </w:r>
      <w:r w:rsidRPr="00A85B3E">
        <w:rPr>
          <w:color w:val="EE0000"/>
          <w:sz w:val="28"/>
          <w:szCs w:val="28"/>
        </w:rPr>
        <w:t xml:space="preserve"> gói thầu: </w:t>
      </w:r>
      <w:r>
        <w:rPr>
          <w:color w:val="EE0000"/>
          <w:sz w:val="28"/>
          <w:szCs w:val="28"/>
        </w:rPr>
        <w:t>150 ngày</w:t>
      </w:r>
      <w:r>
        <w:rPr>
          <w:sz w:val="28"/>
          <w:szCs w:val="28"/>
        </w:rPr>
        <w:t>.</w:t>
      </w:r>
    </w:p>
    <w:p w:rsidR="002A17D1" w:rsidRPr="00F5142B" w:rsidRDefault="002A17D1" w:rsidP="002A17D1">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2A17D1" w:rsidRPr="00F5142B" w:rsidRDefault="002A17D1" w:rsidP="002A17D1">
      <w:pPr>
        <w:widowControl w:val="0"/>
        <w:tabs>
          <w:tab w:val="left" w:pos="1418"/>
        </w:tabs>
        <w:spacing w:before="120" w:after="120" w:line="264" w:lineRule="auto"/>
        <w:ind w:firstLine="709"/>
        <w:rPr>
          <w:sz w:val="28"/>
          <w:szCs w:val="28"/>
          <w:lang w:val="vi-VN"/>
        </w:rPr>
      </w:pPr>
      <w:r>
        <w:rPr>
          <w:sz w:val="28"/>
          <w:szCs w:val="28"/>
        </w:rPr>
        <w:t>T</w:t>
      </w:r>
      <w:r w:rsidRPr="00F5142B">
        <w:rPr>
          <w:sz w:val="28"/>
          <w:szCs w:val="28"/>
          <w:lang w:val="vi-VN"/>
        </w:rPr>
        <w:t xml:space="preserve">hời gian từ khi khởi công </w:t>
      </w:r>
      <w:r w:rsidRPr="00F5142B">
        <w:rPr>
          <w:rFonts w:eastAsia="Calibri"/>
          <w:kern w:val="24"/>
          <w:sz w:val="28"/>
          <w:szCs w:val="28"/>
          <w:lang w:val="vi-VN" w:eastAsia="vi-VN"/>
        </w:rPr>
        <w:t>đến</w:t>
      </w:r>
      <w:r w:rsidRPr="00F5142B">
        <w:rPr>
          <w:sz w:val="28"/>
          <w:szCs w:val="28"/>
          <w:lang w:val="vi-VN"/>
        </w:rPr>
        <w:t xml:space="preserve"> khi hoàn công trình</w:t>
      </w:r>
      <w:r>
        <w:rPr>
          <w:sz w:val="28"/>
          <w:szCs w:val="28"/>
        </w:rPr>
        <w:t>: 150 ngày</w:t>
      </w:r>
      <w:r w:rsidRPr="00F5142B">
        <w:rPr>
          <w:sz w:val="28"/>
          <w:szCs w:val="28"/>
          <w:lang w:val="vi-VN"/>
        </w:rPr>
        <w:t>.</w:t>
      </w:r>
    </w:p>
    <w:p w:rsidR="002A17D1" w:rsidRPr="00F5142B" w:rsidRDefault="002A17D1" w:rsidP="002A17D1">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1. Yêu cầu về tổ chức kỹ thuật thi công, giám sát:</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phải nêu rõ biện pháp tổ chức thi công và giám sát chất lượng của mình một cách hợp lý khả thi trên cơ sở tiêu chuẩn tổ chức thi công TCVN 4055: 2012 và các quy chuẩn, tiêu chuẩn hiện hành.</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2. Yêu cầu về chủng loại, chất lượng vật tư, máy móc, thiết bị (kèm theo các tiêu chuẩn về phương pháp thử)</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xml:space="preserve">* Vật tư: </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phải được thể hiện bằng văn bản và được TVGS ký xác nhận.</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xml:space="preserve">- Khi có bất cứ sự nghi ngờ nào về chất lượng công trình và công tác thí </w:t>
      </w:r>
      <w:r w:rsidRPr="00D05AE5">
        <w:rPr>
          <w:bCs/>
          <w:sz w:val="28"/>
          <w:szCs w:val="28"/>
        </w:rPr>
        <w:lastRenderedPageBreak/>
        <w:t>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Thiết bị thi công:</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Các thiết bị luôn ở trạng thái hoạt động tốt, phù hợp với yêu cầu của dây chuyền công nghệ thi công.</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Trong quá trình thi công nhà thầu phải chở hàng đúng tải trọng theo quy định; không cơi nới thành thùng xe để chở hàng quá tải; xe chở hàng phải có mui, bạt che chắn, không rơi vãi vật liệu gây mất ATGT và vệ sinh môi trường và đảm bảo đầy đủ quy định của pháp luật về tải trọng, ATGT, VSMT.</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3. Yêu cầu về trình tự thi công, lắp đặt</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trình bày được trình tự, biện pháp thi công từng hạng mục công trình, từng bước công việc tuân thủ các quy định hiện hành, đảm bảo các yêu cầu về tiến độ, chất lượng và đủ thời gian để kiểm tra, nghiệm thu.</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4. Yêu cầu về nghiệm thu, vận hành thử nghiệm, an toàn</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Nhà thầu phải chuẩn bị đầy đủ các hồ sơ phục vụ công tác nghiệm thu chuyển giai đoạn, nghiệm thu đưa công trình vào sử dụng theo quy định: Bản vẽ hoàn công, biên bản nghiệm thu từng phần, biên bản thí nghiệm...</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Nhà thầu chuẩn bị nhân lực, phương tiện phục vụ cho công tác thử áp hệ thống cấp nước, nghiệm thu đóng điện, xử lý sự cố (nếu có) và các yêu cầu khác của hội đồng nghiệm thu.</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5. Yêu cầu về phòng, chống cháy, nổ</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tuyệt đối tuân thủ các yêu cầu về phòng chống cháy nổ hiện hành của Nhà nước.</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6. Yêu cầu về vệ sinh môi trường, an toàn lao động</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 xml:space="preserve">Nhà thầu phải Tuân thủ các quy định về quy chuẩn, tiêu chuẩn, về quản lý </w:t>
      </w:r>
      <w:r w:rsidRPr="00D05AE5">
        <w:rPr>
          <w:bCs/>
          <w:sz w:val="28"/>
          <w:szCs w:val="28"/>
        </w:rPr>
        <w:lastRenderedPageBreak/>
        <w:t>chất lượng công trình xây dựng, an toàn lao động và bảo vệ môi trường cũng như các quy định khác của pháp luật Việt Nam có liên quan.</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7. Biện pháp huy động nhân lực và thiết bị phục vụ thi công</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phải có biện pháp huy động nhân lực và máy móc thiết bị thi công đảm bảo tiến độ thi công theo yêu cầu của dự án và phù hợp với tiến độ do nhà thầu lập.</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8. Yêu cầu về biện pháp tổ chức thi công tổng thể và các hạng mục</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phải lập biện pháp tổ chức thi công tổng thể và chi tiết các hạng mục hợp lý nhất trên cơ sở hồ sơ thiết kế bản vẽ thi công đã được duyệt và kết quả nghiên cứu, điều tra mặt bằng thi công của nhà thầu.</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9. Yêu cầu về hệ thống kiểm tra, giám sát chất lượng của nhà thầu</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phải tuân thủ theo Nghị định 06/2021/NĐ-CP  ngày 26/01/2021 của Chính phủ quy định chi tiết một số nội dung về quản lý chất lượng, thi công xây dựng và bảo trì công trình xây dựng và các quy định hiện hành.</w:t>
      </w:r>
    </w:p>
    <w:p w:rsidR="002A17D1" w:rsidRPr="00D05AE5"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10. Yêu cầu về bảo hành</w:t>
      </w:r>
    </w:p>
    <w:p w:rsidR="002A17D1" w:rsidRDefault="002A17D1" w:rsidP="002A17D1">
      <w:pPr>
        <w:widowControl w:val="0"/>
        <w:tabs>
          <w:tab w:val="left" w:pos="700"/>
          <w:tab w:val="left" w:pos="1418"/>
        </w:tabs>
        <w:spacing w:before="120" w:after="120" w:line="264" w:lineRule="auto"/>
        <w:ind w:firstLine="709"/>
        <w:rPr>
          <w:bCs/>
          <w:sz w:val="28"/>
          <w:szCs w:val="28"/>
        </w:rPr>
      </w:pPr>
      <w:r w:rsidRPr="00D05AE5">
        <w:rPr>
          <w:bCs/>
          <w:sz w:val="28"/>
          <w:szCs w:val="28"/>
        </w:rPr>
        <w:t>Nhà thầu thi công xây dựng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rsidR="002A17D1" w:rsidRPr="00F5142B" w:rsidRDefault="002A17D1" w:rsidP="002A17D1">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rsidR="002A17D1" w:rsidRPr="00F5142B" w:rsidRDefault="002A17D1" w:rsidP="002A17D1">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p w:rsidR="002A17D1" w:rsidRPr="00F5142B" w:rsidRDefault="002A17D1" w:rsidP="002A17D1">
      <w:pPr>
        <w:widowControl w:val="0"/>
        <w:tabs>
          <w:tab w:val="left" w:pos="1418"/>
          <w:tab w:val="left" w:pos="2127"/>
        </w:tabs>
        <w:spacing w:before="120" w:after="120" w:line="264" w:lineRule="auto"/>
        <w:ind w:firstLine="567"/>
        <w:jc w:val="center"/>
        <w:rPr>
          <w:i/>
          <w:sz w:val="28"/>
          <w:szCs w:val="28"/>
        </w:rPr>
      </w:pPr>
      <w:r>
        <w:rPr>
          <w:i/>
          <w:sz w:val="28"/>
          <w:szCs w:val="28"/>
        </w:rPr>
        <w:t>(Chi tiết có file bản vẽ kèm theo E-HSDT)</w:t>
      </w:r>
    </w:p>
    <w:p w:rsidR="00E60C14" w:rsidRDefault="00E60C14" w:rsidP="002A17D1">
      <w:bookmarkStart w:id="0" w:name="_GoBack"/>
      <w:bookmarkEnd w:id="0"/>
    </w:p>
    <w:sectPr w:rsidR="00E60C14"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D1"/>
    <w:rsid w:val="002A17D1"/>
    <w:rsid w:val="007A25AE"/>
    <w:rsid w:val="00E6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959E8-4F22-4172-A6D5-D89DC3F6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7D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A17D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1732</Words>
  <Characters>9876</Characters>
  <Application>Microsoft Office Word</Application>
  <DocSecurity>0</DocSecurity>
  <Lines>82</Lines>
  <Paragraphs>23</Paragraphs>
  <ScaleCrop>false</ScaleCrop>
  <Company>Microsoft</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2025-08-29T03:09:00Z</dcterms:created>
  <dcterms:modified xsi:type="dcterms:W3CDTF">2025-08-29T03:09:00Z</dcterms:modified>
</cp:coreProperties>
</file>