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65CD" w:rsidRPr="006B45D3" w:rsidRDefault="006B45D3" w:rsidP="00496143">
      <w:pPr>
        <w:spacing w:after="0"/>
        <w:jc w:val="center"/>
        <w:rPr>
          <w:b/>
        </w:rPr>
      </w:pPr>
      <w:r w:rsidRPr="006B45D3">
        <w:rPr>
          <w:b/>
        </w:rPr>
        <w:t>CHƯƠNG V – YÊU CẦU KỸ THUẬT</w:t>
      </w:r>
    </w:p>
    <w:p w:rsidR="006B45D3" w:rsidRPr="00716EA7" w:rsidRDefault="006B45D3" w:rsidP="00496143">
      <w:pPr>
        <w:spacing w:after="0"/>
        <w:jc w:val="center"/>
      </w:pPr>
      <w:r w:rsidRPr="00716EA7">
        <w:t>Gói thầu: Cung cấp đấ</w:t>
      </w:r>
      <w:r w:rsidR="00C54A80" w:rsidRPr="00716EA7">
        <w:t>t giàu</w:t>
      </w:r>
      <w:r w:rsidRPr="00716EA7">
        <w:t xml:space="preserve"> silic (hoặc tương đương) </w:t>
      </w:r>
    </w:p>
    <w:p w:rsidR="006B45D3" w:rsidRPr="00716EA7" w:rsidRDefault="006B45D3" w:rsidP="00FE5A34">
      <w:pPr>
        <w:spacing w:after="480"/>
        <w:jc w:val="center"/>
      </w:pPr>
      <w:r w:rsidRPr="00716EA7">
        <w:t>phục vụ sản xu</w:t>
      </w:r>
      <w:r w:rsidR="004825F2" w:rsidRPr="00716EA7">
        <w:t>ấ</w:t>
      </w:r>
      <w:r w:rsidRPr="00716EA7">
        <w:t>t</w:t>
      </w:r>
      <w:r w:rsidR="004825F2" w:rsidRPr="00716EA7">
        <w:t xml:space="preserve"> các tháng cuối</w:t>
      </w:r>
      <w:r w:rsidRPr="00716EA7">
        <w:t xml:space="preserve"> năm 2025</w:t>
      </w:r>
    </w:p>
    <w:p w:rsidR="006B45D3" w:rsidRPr="008C67FA" w:rsidRDefault="006B45D3" w:rsidP="00E75370">
      <w:pPr>
        <w:spacing w:before="120" w:after="120"/>
        <w:ind w:firstLine="567"/>
        <w:jc w:val="both"/>
        <w:rPr>
          <w:b/>
        </w:rPr>
      </w:pPr>
      <w:r w:rsidRPr="008C67FA">
        <w:rPr>
          <w:b/>
        </w:rPr>
        <w:t>I. Khái quát chung về gói thầu</w:t>
      </w:r>
    </w:p>
    <w:p w:rsidR="006B45D3" w:rsidRPr="008C67FA" w:rsidRDefault="006B45D3" w:rsidP="00E75370">
      <w:pPr>
        <w:spacing w:before="120" w:after="120"/>
        <w:ind w:firstLine="567"/>
        <w:jc w:val="both"/>
      </w:pPr>
      <w:r w:rsidRPr="008C67FA">
        <w:t>Chủ đầu tư: Công ty TNHH Một thành viên Xi măng Vicem Tam Điệp</w:t>
      </w:r>
    </w:p>
    <w:p w:rsidR="006B45D3" w:rsidRDefault="006B45D3" w:rsidP="00E75370">
      <w:pPr>
        <w:spacing w:before="120" w:after="120"/>
        <w:ind w:firstLine="567"/>
        <w:jc w:val="both"/>
      </w:pPr>
      <w:r w:rsidRPr="008C67FA">
        <w:t xml:space="preserve">Thời gian thực hiện hợp đồng: </w:t>
      </w:r>
      <w:r w:rsidR="008C67FA">
        <w:t>03</w:t>
      </w:r>
      <w:r w:rsidRPr="008C67FA">
        <w:t xml:space="preserve"> tháng</w:t>
      </w:r>
    </w:p>
    <w:p w:rsidR="00916CDC" w:rsidRPr="008C67FA" w:rsidRDefault="00916CDC" w:rsidP="00E75370">
      <w:pPr>
        <w:spacing w:before="120" w:after="120"/>
        <w:ind w:firstLine="567"/>
        <w:jc w:val="both"/>
      </w:pPr>
      <w:r>
        <w:t>Loại hợp đồng: Đơn giá điều chỉnh</w:t>
      </w:r>
    </w:p>
    <w:p w:rsidR="006B45D3" w:rsidRPr="008C67FA" w:rsidRDefault="006B45D3" w:rsidP="00E75370">
      <w:pPr>
        <w:spacing w:before="120" w:after="120"/>
        <w:ind w:firstLine="567"/>
        <w:jc w:val="both"/>
      </w:pPr>
      <w:r w:rsidRPr="008C67FA">
        <w:t xml:space="preserve">Địa điểm </w:t>
      </w:r>
      <w:r w:rsidR="005B6794">
        <w:t>thực hiện</w:t>
      </w:r>
      <w:r w:rsidRPr="008C67FA">
        <w:t xml:space="preserve">: </w:t>
      </w:r>
      <w:r w:rsidR="000E757C">
        <w:t>Phường</w:t>
      </w:r>
      <w:r w:rsidRPr="008C67FA">
        <w:t xml:space="preserve"> Tam Điệp, tỉnh Ninh Bình</w:t>
      </w:r>
    </w:p>
    <w:p w:rsidR="006B45D3" w:rsidRPr="008C67FA" w:rsidRDefault="006B45D3" w:rsidP="00E75370">
      <w:pPr>
        <w:spacing w:before="120" w:after="120"/>
        <w:ind w:firstLine="567"/>
        <w:jc w:val="both"/>
        <w:rPr>
          <w:b/>
        </w:rPr>
      </w:pPr>
      <w:r w:rsidRPr="008C67FA">
        <w:rPr>
          <w:b/>
        </w:rPr>
        <w:t>II. Yêu cầu kỹ thuật của gói thầu</w:t>
      </w:r>
    </w:p>
    <w:p w:rsidR="006B45D3" w:rsidRPr="008C67FA" w:rsidRDefault="006B45D3" w:rsidP="00E75370">
      <w:pPr>
        <w:spacing w:before="120" w:after="120"/>
        <w:ind w:firstLine="567"/>
        <w:jc w:val="both"/>
        <w:rPr>
          <w:b/>
        </w:rPr>
      </w:pPr>
      <w:r w:rsidRPr="008C67FA">
        <w:rPr>
          <w:b/>
        </w:rPr>
        <w:t>1. Chỉ tiêu chất lượng của hàng hóa</w:t>
      </w:r>
    </w:p>
    <w:tbl>
      <w:tblPr>
        <w:tblStyle w:val="TableGrid"/>
        <w:tblW w:w="0" w:type="auto"/>
        <w:tblInd w:w="562" w:type="dxa"/>
        <w:tblLook w:val="04A0" w:firstRow="1" w:lastRow="0" w:firstColumn="1" w:lastColumn="0" w:noHBand="0" w:noVBand="1"/>
      </w:tblPr>
      <w:tblGrid>
        <w:gridCol w:w="590"/>
        <w:gridCol w:w="2729"/>
        <w:gridCol w:w="1245"/>
        <w:gridCol w:w="3938"/>
      </w:tblGrid>
      <w:tr w:rsidR="006B45D3" w:rsidRPr="008C67FA" w:rsidTr="004F76D5">
        <w:trPr>
          <w:trHeight w:val="536"/>
        </w:trPr>
        <w:tc>
          <w:tcPr>
            <w:tcW w:w="567" w:type="dxa"/>
            <w:vAlign w:val="center"/>
          </w:tcPr>
          <w:p w:rsidR="006B45D3" w:rsidRPr="008C67FA" w:rsidRDefault="006B45D3" w:rsidP="00496143">
            <w:pPr>
              <w:spacing w:before="120" w:after="120"/>
              <w:jc w:val="center"/>
              <w:rPr>
                <w:b/>
              </w:rPr>
            </w:pPr>
            <w:r w:rsidRPr="008C67FA">
              <w:rPr>
                <w:b/>
              </w:rPr>
              <w:t>TT</w:t>
            </w:r>
          </w:p>
        </w:tc>
        <w:tc>
          <w:tcPr>
            <w:tcW w:w="2835" w:type="dxa"/>
            <w:vAlign w:val="center"/>
          </w:tcPr>
          <w:p w:rsidR="006B45D3" w:rsidRPr="008C67FA" w:rsidRDefault="006B45D3" w:rsidP="00496143">
            <w:pPr>
              <w:spacing w:before="120" w:after="120"/>
              <w:jc w:val="center"/>
              <w:rPr>
                <w:b/>
              </w:rPr>
            </w:pPr>
            <w:r w:rsidRPr="008C67FA">
              <w:rPr>
                <w:b/>
              </w:rPr>
              <w:t>Tên chỉ tiêu</w:t>
            </w:r>
          </w:p>
        </w:tc>
        <w:tc>
          <w:tcPr>
            <w:tcW w:w="1276" w:type="dxa"/>
            <w:vAlign w:val="center"/>
          </w:tcPr>
          <w:p w:rsidR="006B45D3" w:rsidRPr="008C67FA" w:rsidRDefault="006B45D3" w:rsidP="00496143">
            <w:pPr>
              <w:spacing w:before="120" w:after="120"/>
              <w:jc w:val="center"/>
              <w:rPr>
                <w:b/>
              </w:rPr>
            </w:pPr>
            <w:r w:rsidRPr="008C67FA">
              <w:rPr>
                <w:b/>
              </w:rPr>
              <w:t>Yêu cầu</w:t>
            </w:r>
          </w:p>
        </w:tc>
        <w:tc>
          <w:tcPr>
            <w:tcW w:w="4107" w:type="dxa"/>
            <w:vAlign w:val="center"/>
          </w:tcPr>
          <w:p w:rsidR="006B45D3" w:rsidRPr="008C67FA" w:rsidRDefault="006B45D3" w:rsidP="00496143">
            <w:pPr>
              <w:spacing w:before="120" w:after="120"/>
              <w:jc w:val="center"/>
              <w:rPr>
                <w:b/>
              </w:rPr>
            </w:pPr>
            <w:r w:rsidRPr="008C67FA">
              <w:rPr>
                <w:b/>
              </w:rPr>
              <w:t>Ghi chú</w:t>
            </w:r>
          </w:p>
        </w:tc>
      </w:tr>
      <w:tr w:rsidR="006B45D3" w:rsidRPr="008C67FA" w:rsidTr="004F76D5">
        <w:tc>
          <w:tcPr>
            <w:tcW w:w="567" w:type="dxa"/>
            <w:vAlign w:val="center"/>
          </w:tcPr>
          <w:p w:rsidR="006B45D3" w:rsidRPr="008C67FA" w:rsidRDefault="006B45D3" w:rsidP="00496143">
            <w:pPr>
              <w:spacing w:before="120" w:after="120"/>
              <w:jc w:val="center"/>
            </w:pPr>
            <w:r w:rsidRPr="008C67FA">
              <w:t>1</w:t>
            </w:r>
          </w:p>
        </w:tc>
        <w:tc>
          <w:tcPr>
            <w:tcW w:w="2835" w:type="dxa"/>
            <w:vAlign w:val="center"/>
          </w:tcPr>
          <w:p w:rsidR="006B45D3" w:rsidRPr="008C67FA" w:rsidRDefault="006B45D3" w:rsidP="00496143">
            <w:pPr>
              <w:spacing w:before="120" w:after="120"/>
            </w:pPr>
            <w:r w:rsidRPr="008C67FA">
              <w:t>Hàm lượng SiO</w:t>
            </w:r>
            <w:r w:rsidRPr="008C67FA">
              <w:rPr>
                <w:vertAlign w:val="subscript"/>
              </w:rPr>
              <w:t>2</w:t>
            </w:r>
            <w:r w:rsidRPr="008C67FA">
              <w:t>, (%)</w:t>
            </w:r>
          </w:p>
        </w:tc>
        <w:tc>
          <w:tcPr>
            <w:tcW w:w="1276" w:type="dxa"/>
            <w:vAlign w:val="center"/>
          </w:tcPr>
          <w:p w:rsidR="006B45D3" w:rsidRPr="008C67FA" w:rsidRDefault="006B45D3" w:rsidP="00496143">
            <w:pPr>
              <w:spacing w:before="120" w:after="120"/>
              <w:jc w:val="center"/>
            </w:pPr>
            <w:r w:rsidRPr="008C67FA">
              <w:t>≥ 80</w:t>
            </w:r>
          </w:p>
        </w:tc>
        <w:tc>
          <w:tcPr>
            <w:tcW w:w="4107" w:type="dxa"/>
            <w:vAlign w:val="center"/>
          </w:tcPr>
          <w:p w:rsidR="006B45D3" w:rsidRPr="008C67FA" w:rsidRDefault="006B45D3" w:rsidP="00496143">
            <w:pPr>
              <w:spacing w:before="120" w:after="120"/>
            </w:pPr>
            <w:r w:rsidRPr="008C67FA">
              <w:t>Không nhỏ hơn 78</w:t>
            </w:r>
          </w:p>
        </w:tc>
      </w:tr>
      <w:tr w:rsidR="006B45D3" w:rsidRPr="008C67FA" w:rsidTr="004F76D5">
        <w:tc>
          <w:tcPr>
            <w:tcW w:w="567" w:type="dxa"/>
            <w:vAlign w:val="center"/>
          </w:tcPr>
          <w:p w:rsidR="006B45D3" w:rsidRPr="008C67FA" w:rsidRDefault="006B45D3" w:rsidP="00496143">
            <w:pPr>
              <w:spacing w:before="120" w:after="120"/>
              <w:jc w:val="center"/>
            </w:pPr>
            <w:r w:rsidRPr="008C67FA">
              <w:t>2</w:t>
            </w:r>
          </w:p>
        </w:tc>
        <w:tc>
          <w:tcPr>
            <w:tcW w:w="2835" w:type="dxa"/>
            <w:vAlign w:val="center"/>
          </w:tcPr>
          <w:p w:rsidR="006B45D3" w:rsidRPr="008C67FA" w:rsidRDefault="006B45D3" w:rsidP="00496143">
            <w:pPr>
              <w:spacing w:before="120" w:after="120"/>
            </w:pPr>
            <w:r w:rsidRPr="008C67FA">
              <w:t>Hàm lượng MgO, (%)</w:t>
            </w:r>
          </w:p>
        </w:tc>
        <w:tc>
          <w:tcPr>
            <w:tcW w:w="1276" w:type="dxa"/>
            <w:vAlign w:val="center"/>
          </w:tcPr>
          <w:p w:rsidR="006B45D3" w:rsidRPr="008C67FA" w:rsidRDefault="006B45D3" w:rsidP="00496143">
            <w:pPr>
              <w:spacing w:before="120" w:after="120"/>
              <w:jc w:val="center"/>
            </w:pPr>
            <w:r w:rsidRPr="008C67FA">
              <w:t>≤ 3</w:t>
            </w:r>
          </w:p>
        </w:tc>
        <w:tc>
          <w:tcPr>
            <w:tcW w:w="4107" w:type="dxa"/>
            <w:vAlign w:val="center"/>
          </w:tcPr>
          <w:p w:rsidR="006B45D3" w:rsidRPr="008C67FA" w:rsidRDefault="006B45D3" w:rsidP="00496143">
            <w:pPr>
              <w:spacing w:before="120" w:after="120"/>
            </w:pPr>
            <w:r w:rsidRPr="008C67FA">
              <w:t>Kiểm tra chất lượng theo lô hàng: Trong ngày nhập hàng, quy định tối đa 1.000 ± 10% tấn/lô</w:t>
            </w:r>
            <w:r w:rsidR="0037293D" w:rsidRPr="008C67FA">
              <w:t>.</w:t>
            </w:r>
          </w:p>
        </w:tc>
      </w:tr>
      <w:tr w:rsidR="006B45D3" w:rsidRPr="008C67FA" w:rsidTr="004F76D5">
        <w:tc>
          <w:tcPr>
            <w:tcW w:w="567" w:type="dxa"/>
            <w:vAlign w:val="center"/>
          </w:tcPr>
          <w:p w:rsidR="006B45D3" w:rsidRPr="008C67FA" w:rsidRDefault="006B45D3" w:rsidP="00496143">
            <w:pPr>
              <w:spacing w:before="120" w:after="120"/>
              <w:jc w:val="center"/>
            </w:pPr>
            <w:r w:rsidRPr="008C67FA">
              <w:t>3</w:t>
            </w:r>
          </w:p>
        </w:tc>
        <w:tc>
          <w:tcPr>
            <w:tcW w:w="2835" w:type="dxa"/>
            <w:vAlign w:val="center"/>
          </w:tcPr>
          <w:p w:rsidR="006B45D3" w:rsidRPr="008C67FA" w:rsidRDefault="006B45D3" w:rsidP="00496143">
            <w:pPr>
              <w:spacing w:before="120" w:after="120"/>
            </w:pPr>
            <w:r w:rsidRPr="008C67FA">
              <w:t>Độ ẩm, (%)</w:t>
            </w:r>
          </w:p>
        </w:tc>
        <w:tc>
          <w:tcPr>
            <w:tcW w:w="1276" w:type="dxa"/>
            <w:vAlign w:val="center"/>
          </w:tcPr>
          <w:p w:rsidR="006B45D3" w:rsidRPr="008C67FA" w:rsidRDefault="006B45D3" w:rsidP="00496143">
            <w:pPr>
              <w:spacing w:before="120" w:after="120"/>
              <w:jc w:val="center"/>
            </w:pPr>
            <w:r w:rsidRPr="008C67FA">
              <w:t>≤ 9</w:t>
            </w:r>
          </w:p>
        </w:tc>
        <w:tc>
          <w:tcPr>
            <w:tcW w:w="4107" w:type="dxa"/>
            <w:vAlign w:val="center"/>
          </w:tcPr>
          <w:p w:rsidR="006B45D3" w:rsidRPr="008C67FA" w:rsidRDefault="006B45D3" w:rsidP="00496143">
            <w:pPr>
              <w:spacing w:before="120" w:after="120"/>
            </w:pPr>
            <w:r w:rsidRPr="008C67FA">
              <w:t>Mùa khô không lớn hơn 12</w:t>
            </w:r>
          </w:p>
          <w:p w:rsidR="006B45D3" w:rsidRPr="008C67FA" w:rsidRDefault="006B45D3" w:rsidP="00496143">
            <w:pPr>
              <w:spacing w:before="120" w:after="120"/>
            </w:pPr>
            <w:r w:rsidRPr="008C67FA">
              <w:t>Mùa mưa không lớn hơn 15</w:t>
            </w:r>
          </w:p>
        </w:tc>
      </w:tr>
    </w:tbl>
    <w:p w:rsidR="006B45D3" w:rsidRPr="008C67FA" w:rsidRDefault="006B45D3" w:rsidP="005B6794">
      <w:pPr>
        <w:spacing w:before="120" w:after="120"/>
        <w:ind w:firstLine="567"/>
        <w:jc w:val="both"/>
      </w:pPr>
      <w:r w:rsidRPr="008C67FA">
        <w:t>- Cỡ hạt: Cỡ hạt 95% qua sàng 30mm; max: 50mm</w:t>
      </w:r>
    </w:p>
    <w:p w:rsidR="006B45D3" w:rsidRPr="008C67FA" w:rsidRDefault="006B45D3" w:rsidP="005B6794">
      <w:pPr>
        <w:spacing w:before="120" w:after="120"/>
        <w:ind w:firstLine="567"/>
        <w:jc w:val="both"/>
      </w:pPr>
      <w:r w:rsidRPr="008C67FA">
        <w:t>- Đất giàu silic</w:t>
      </w:r>
      <w:r w:rsidR="005B6794">
        <w:t xml:space="preserve"> (hoặc tương đương)</w:t>
      </w:r>
      <w:r w:rsidRPr="008C67FA">
        <w:t xml:space="preserve"> không lẫn sắt thép, bê tông, dầu mỡ, tạp chất hữu cơ…</w:t>
      </w:r>
    </w:p>
    <w:p w:rsidR="0037293D" w:rsidRPr="008C67FA" w:rsidRDefault="00136871" w:rsidP="00E75370">
      <w:pPr>
        <w:spacing w:before="120" w:after="120"/>
        <w:ind w:firstLine="567"/>
        <w:jc w:val="both"/>
        <w:rPr>
          <w:i/>
          <w:color w:val="000000" w:themeColor="text1"/>
        </w:rPr>
      </w:pPr>
      <w:r w:rsidRPr="008C67FA">
        <w:rPr>
          <w:i/>
          <w:color w:val="000000" w:themeColor="text1"/>
        </w:rPr>
        <w:t xml:space="preserve">Lưu ý: </w:t>
      </w:r>
      <w:r w:rsidR="0037293D" w:rsidRPr="008C67FA">
        <w:rPr>
          <w:i/>
          <w:color w:val="000000" w:themeColor="text1"/>
        </w:rPr>
        <w:t>Nhà thầu</w:t>
      </w:r>
      <w:r w:rsidR="001874EA" w:rsidRPr="008C67FA">
        <w:rPr>
          <w:i/>
          <w:color w:val="000000" w:themeColor="text1"/>
        </w:rPr>
        <w:t xml:space="preserve"> phải</w:t>
      </w:r>
      <w:r w:rsidR="0037293D" w:rsidRPr="008C67FA">
        <w:rPr>
          <w:i/>
          <w:color w:val="000000" w:themeColor="text1"/>
        </w:rPr>
        <w:t xml:space="preserve"> </w:t>
      </w:r>
      <w:r w:rsidRPr="008C67FA">
        <w:rPr>
          <w:i/>
          <w:color w:val="000000" w:themeColor="text1"/>
        </w:rPr>
        <w:t>đính kèm E-HSDT</w:t>
      </w:r>
      <w:r w:rsidR="0037293D" w:rsidRPr="008C67FA">
        <w:rPr>
          <w:i/>
          <w:color w:val="000000" w:themeColor="text1"/>
        </w:rPr>
        <w:t xml:space="preserve"> </w:t>
      </w:r>
      <w:r w:rsidRPr="008C67FA">
        <w:rPr>
          <w:i/>
          <w:color w:val="000000" w:themeColor="text1"/>
        </w:rPr>
        <w:t>P</w:t>
      </w:r>
      <w:r w:rsidR="0037293D" w:rsidRPr="008C67FA">
        <w:rPr>
          <w:i/>
          <w:color w:val="000000" w:themeColor="text1"/>
        </w:rPr>
        <w:t xml:space="preserve">hiếu kết quả phân tích các </w:t>
      </w:r>
      <w:r w:rsidR="004532B5" w:rsidRPr="008C67FA">
        <w:rPr>
          <w:i/>
          <w:color w:val="000000" w:themeColor="text1"/>
        </w:rPr>
        <w:t xml:space="preserve">các chỉ tiêu chất lượng của </w:t>
      </w:r>
      <w:r w:rsidR="0037293D" w:rsidRPr="008C67FA">
        <w:rPr>
          <w:i/>
          <w:color w:val="000000" w:themeColor="text1"/>
        </w:rPr>
        <w:t>hàng hóa do 01 đơn vị độc lập</w:t>
      </w:r>
      <w:r w:rsidR="004532B5" w:rsidRPr="008C67FA">
        <w:rPr>
          <w:i/>
          <w:color w:val="000000" w:themeColor="text1"/>
        </w:rPr>
        <w:t xml:space="preserve"> (có đầy đủ năng lực, pháp lý)</w:t>
      </w:r>
      <w:r w:rsidR="0037293D" w:rsidRPr="008C67FA">
        <w:rPr>
          <w:i/>
          <w:color w:val="000000" w:themeColor="text1"/>
        </w:rPr>
        <w:t xml:space="preserve"> cấp trong vòng 12 tháng kể từ ngày đóng thầu làm cơ sở đánh giá chất lượ</w:t>
      </w:r>
      <w:r w:rsidR="004532B5" w:rsidRPr="008C67FA">
        <w:rPr>
          <w:i/>
          <w:color w:val="000000" w:themeColor="text1"/>
        </w:rPr>
        <w:t>ng hàng hóa do Nhà thầu cung cấp</w:t>
      </w:r>
      <w:r w:rsidR="00883CEF" w:rsidRPr="008C67FA">
        <w:rPr>
          <w:i/>
          <w:color w:val="000000" w:themeColor="text1"/>
        </w:rPr>
        <w:t>.</w:t>
      </w:r>
    </w:p>
    <w:p w:rsidR="008C67FA" w:rsidRPr="008C67FA" w:rsidRDefault="008C67FA" w:rsidP="00E75370">
      <w:pPr>
        <w:spacing w:before="60" w:after="60"/>
        <w:ind w:firstLine="567"/>
        <w:jc w:val="both"/>
        <w:rPr>
          <w:b/>
        </w:rPr>
      </w:pPr>
      <w:r w:rsidRPr="008C67FA">
        <w:rPr>
          <w:b/>
        </w:rPr>
        <w:t>2. Lấy mẫu và kiểm tra chất lượng hàng hóa</w:t>
      </w:r>
    </w:p>
    <w:p w:rsidR="008C67FA" w:rsidRPr="008C67FA" w:rsidRDefault="008C67FA" w:rsidP="00E75370">
      <w:pPr>
        <w:spacing w:before="60" w:after="60"/>
        <w:ind w:firstLine="567"/>
        <w:jc w:val="both"/>
      </w:pPr>
      <w:r w:rsidRPr="008C67FA">
        <w:t xml:space="preserve">a) Hàng hóa sẽ được lấy mẫu và kiểm tra chất lượng theo quy trình của </w:t>
      </w:r>
      <w:r w:rsidR="008F698B">
        <w:t>Chủ đầu tư</w:t>
      </w:r>
      <w:r w:rsidRPr="008C67FA">
        <w:t xml:space="preserve"> tại nơi giao nhận. Việc lấy mẫu có sự chứng kiến của đại diện </w:t>
      </w:r>
      <w:r w:rsidR="008F698B">
        <w:t>Nhà thầu</w:t>
      </w:r>
      <w:r w:rsidRPr="008C67FA">
        <w:t>.</w:t>
      </w:r>
    </w:p>
    <w:p w:rsidR="008C67FA" w:rsidRPr="008C67FA" w:rsidRDefault="008C67FA" w:rsidP="00E75370">
      <w:pPr>
        <w:spacing w:before="60" w:after="60"/>
        <w:ind w:firstLine="567"/>
        <w:jc w:val="both"/>
      </w:pPr>
      <w:r w:rsidRPr="008C67FA">
        <w:t>b) Mẫu hàng hóa sẽ được chia làm 3 phần, được niêm phong và có chữ ký xác nhận của đại diện hai bên để kiểm tra và lưu giữ. Cụ thể như sau:</w:t>
      </w:r>
    </w:p>
    <w:p w:rsidR="008C67FA" w:rsidRPr="008C67FA" w:rsidRDefault="008C67FA" w:rsidP="00E75370">
      <w:pPr>
        <w:spacing w:before="60" w:after="60"/>
        <w:ind w:firstLine="567"/>
        <w:jc w:val="both"/>
      </w:pPr>
      <w:r w:rsidRPr="008C67FA">
        <w:t xml:space="preserve">- Phần 1: Giám định tại Phòng Thí nghiệm của </w:t>
      </w:r>
      <w:r w:rsidR="008F698B">
        <w:t>Chủ đầu tư</w:t>
      </w:r>
      <w:r w:rsidRPr="008C67FA">
        <w:t>.</w:t>
      </w:r>
    </w:p>
    <w:p w:rsidR="008C67FA" w:rsidRPr="008C67FA" w:rsidRDefault="008C67FA" w:rsidP="00E75370">
      <w:pPr>
        <w:spacing w:before="60" w:after="60"/>
        <w:ind w:firstLine="567"/>
        <w:jc w:val="both"/>
      </w:pPr>
      <w:r w:rsidRPr="008C67FA">
        <w:t xml:space="preserve">- Phần 2: </w:t>
      </w:r>
      <w:r w:rsidR="008F698B">
        <w:t>Nhà thầu</w:t>
      </w:r>
      <w:r w:rsidRPr="008C67FA">
        <w:t xml:space="preserve"> lưu giữ.</w:t>
      </w:r>
    </w:p>
    <w:p w:rsidR="008C67FA" w:rsidRPr="008C67FA" w:rsidRDefault="008C67FA" w:rsidP="00E75370">
      <w:pPr>
        <w:spacing w:before="60" w:after="60"/>
        <w:ind w:firstLine="567"/>
        <w:jc w:val="both"/>
      </w:pPr>
      <w:r w:rsidRPr="008C67FA">
        <w:t xml:space="preserve">- Phần 3: </w:t>
      </w:r>
      <w:r w:rsidR="008F698B">
        <w:t>Chủ đầu tư</w:t>
      </w:r>
      <w:r w:rsidR="00893056">
        <w:t xml:space="preserve"> lưu giữ</w:t>
      </w:r>
      <w:bookmarkStart w:id="0" w:name="_GoBack"/>
      <w:bookmarkEnd w:id="0"/>
      <w:r w:rsidRPr="008C67FA">
        <w:t xml:space="preserve"> </w:t>
      </w:r>
    </w:p>
    <w:p w:rsidR="008C67FA" w:rsidRPr="008C67FA" w:rsidRDefault="008C67FA" w:rsidP="00E75370">
      <w:pPr>
        <w:spacing w:before="60" w:after="60"/>
        <w:ind w:firstLine="567"/>
        <w:jc w:val="both"/>
      </w:pPr>
      <w:r w:rsidRPr="008C67FA">
        <w:lastRenderedPageBreak/>
        <w:t>c) Thời gian lưu và bảo quản mẫu: Trong vòng 90 ngày kể từ ngày lấy mẫu.</w:t>
      </w:r>
    </w:p>
    <w:p w:rsidR="008C67FA" w:rsidRPr="008C67FA" w:rsidRDefault="008C67FA" w:rsidP="00E75370">
      <w:pPr>
        <w:spacing w:before="60" w:after="60"/>
        <w:ind w:firstLine="567"/>
        <w:jc w:val="both"/>
      </w:pPr>
      <w:r w:rsidRPr="008C67FA">
        <w:t xml:space="preserve">d) Trong vòng 05 ngày kể từ ngày lấy mẫu, </w:t>
      </w:r>
      <w:r w:rsidR="008F698B">
        <w:t>Chủ đầu tư</w:t>
      </w:r>
      <w:r w:rsidRPr="008C67FA">
        <w:t xml:space="preserve"> gửi cho </w:t>
      </w:r>
      <w:r w:rsidR="008F698B">
        <w:t>Nhà thầu</w:t>
      </w:r>
      <w:r w:rsidRPr="008C67FA">
        <w:t xml:space="preserve"> Phiếu kết quả phân tích chất lượng của lô hàng. Phiếu kết quả phân tích chất lượng sẽ là cơ sở để nghiệm thu chất lượng hàng hóa và thanh toán theo các quy định trong Hợp đồng.</w:t>
      </w:r>
    </w:p>
    <w:p w:rsidR="008C67FA" w:rsidRPr="008C67FA" w:rsidRDefault="008C67FA" w:rsidP="00E75370">
      <w:pPr>
        <w:spacing w:before="60" w:after="60"/>
        <w:ind w:firstLine="567"/>
        <w:jc w:val="both"/>
      </w:pPr>
      <w:r w:rsidRPr="008C67FA">
        <w:t xml:space="preserve">e) Trường hợp </w:t>
      </w:r>
      <w:r w:rsidR="008F698B">
        <w:t>Nhà thầu</w:t>
      </w:r>
      <w:r w:rsidRPr="008C67FA">
        <w:t xml:space="preserve"> có khiếu nại về kết quả phân tích mẫu, Hai bên sẽ sử dụng phần mẫu lưu gửi đến đơn vị thứ ba có đầy đủ năng lực và được các bên thống nhất để giám định. Kết quả giám định do đơn vị </w:t>
      </w:r>
      <w:r w:rsidR="008F698B">
        <w:t>thứ ba</w:t>
      </w:r>
      <w:r w:rsidRPr="008C67FA">
        <w:t xml:space="preserve"> thực hiện sẽ là </w:t>
      </w:r>
      <w:r w:rsidR="008F698B">
        <w:t>cơ sở để đánh giá chất lượng hàng hóa</w:t>
      </w:r>
      <w:r w:rsidRPr="008C67FA">
        <w:t>. Chi phí giám định lại này sẽ do bên vi phạm chịu.</w:t>
      </w:r>
    </w:p>
    <w:p w:rsidR="003D2DFF" w:rsidRPr="008C67FA" w:rsidRDefault="008C67FA" w:rsidP="00E75370">
      <w:pPr>
        <w:spacing w:before="60" w:after="60"/>
        <w:ind w:firstLine="567"/>
        <w:jc w:val="both"/>
        <w:rPr>
          <w:b/>
        </w:rPr>
      </w:pPr>
      <w:r w:rsidRPr="008C67FA">
        <w:rPr>
          <w:b/>
        </w:rPr>
        <w:t>3</w:t>
      </w:r>
      <w:r w:rsidR="003D2DFF" w:rsidRPr="008C67FA">
        <w:rPr>
          <w:b/>
        </w:rPr>
        <w:t xml:space="preserve">. Xử lý vi phạm chỉ tiêu </w:t>
      </w:r>
      <w:r w:rsidR="00E75370">
        <w:rPr>
          <w:b/>
        </w:rPr>
        <w:t>chất lượng</w:t>
      </w:r>
      <w:r w:rsidR="003D2DFF" w:rsidRPr="008C67FA">
        <w:rPr>
          <w:b/>
        </w:rPr>
        <w:t xml:space="preserve"> của hàng hóa</w:t>
      </w:r>
    </w:p>
    <w:p w:rsidR="003D2DFF" w:rsidRPr="008C67FA" w:rsidRDefault="003D2DFF" w:rsidP="00E75370">
      <w:pPr>
        <w:spacing w:before="60" w:after="60"/>
        <w:ind w:firstLine="567"/>
        <w:jc w:val="both"/>
      </w:pPr>
      <w:r w:rsidRPr="008C67FA">
        <w:t>Nếu hàng hóa không đảm bảo chỉ tiêu kỹ thuật theo quy đị</w:t>
      </w:r>
      <w:r w:rsidR="00D1664E">
        <w:t>nh</w:t>
      </w:r>
      <w:r w:rsidRPr="008C67FA">
        <w:t xml:space="preserve"> thì các bên thống nhất xử lý vi phạm như sau:</w:t>
      </w:r>
    </w:p>
    <w:p w:rsidR="003D2DFF" w:rsidRPr="008C67FA" w:rsidRDefault="003D2DFF" w:rsidP="00E75370">
      <w:pPr>
        <w:spacing w:before="60" w:after="60"/>
        <w:ind w:firstLine="567"/>
        <w:jc w:val="both"/>
      </w:pPr>
      <w:r w:rsidRPr="008C67FA">
        <w:t>a) Về hàm lượng SiO</w:t>
      </w:r>
      <w:r w:rsidRPr="008C67FA">
        <w:rPr>
          <w:vertAlign w:val="subscript"/>
        </w:rPr>
        <w:t>2</w:t>
      </w:r>
      <w:r w:rsidRPr="008C67FA">
        <w:t>: Yêu cầu SiO</w:t>
      </w:r>
      <w:r w:rsidRPr="008C67FA">
        <w:rPr>
          <w:vertAlign w:val="subscript"/>
        </w:rPr>
        <w:t>2</w:t>
      </w:r>
      <w:r w:rsidRPr="008C67FA">
        <w:t xml:space="preserve"> ≥ 80%</w:t>
      </w:r>
    </w:p>
    <w:p w:rsidR="003D2DFF" w:rsidRPr="008C67FA" w:rsidRDefault="003D2DFF" w:rsidP="00E75370">
      <w:pPr>
        <w:spacing w:before="60" w:after="60"/>
        <w:ind w:firstLine="567"/>
        <w:jc w:val="both"/>
      </w:pPr>
      <w:r w:rsidRPr="008C67FA">
        <w:t>- Nếu 78% ≤ SiO</w:t>
      </w:r>
      <w:r w:rsidRPr="008C67FA">
        <w:rPr>
          <w:vertAlign w:val="subscript"/>
        </w:rPr>
        <w:t>2</w:t>
      </w:r>
      <w:r w:rsidRPr="008C67FA">
        <w:t xml:space="preserve"> &lt; 80% thì </w:t>
      </w:r>
      <w:r w:rsidR="008F698B">
        <w:t>Chủ đầu tư</w:t>
      </w:r>
      <w:r w:rsidRPr="008C67FA">
        <w:t xml:space="preserve"> sẽ giảm trừ 1% giá trị thanh toán của lô hàng vi phạm.</w:t>
      </w:r>
    </w:p>
    <w:p w:rsidR="003D2DFF" w:rsidRPr="008C67FA" w:rsidRDefault="003D2DFF" w:rsidP="00E75370">
      <w:pPr>
        <w:spacing w:before="60" w:after="60"/>
        <w:ind w:firstLine="567"/>
        <w:jc w:val="both"/>
      </w:pPr>
      <w:r w:rsidRPr="008C67FA">
        <w:t>- Nếu 75% ≤ SiO</w:t>
      </w:r>
      <w:r w:rsidRPr="008C67FA">
        <w:rPr>
          <w:vertAlign w:val="subscript"/>
        </w:rPr>
        <w:t>2</w:t>
      </w:r>
      <w:r w:rsidRPr="008C67FA">
        <w:t xml:space="preserve"> &lt; 78% thì </w:t>
      </w:r>
      <w:r w:rsidR="008F698B">
        <w:t>Chủ đầu tư</w:t>
      </w:r>
      <w:r w:rsidRPr="008C67FA">
        <w:t xml:space="preserve"> sẽ giảm trừ 2% giá trị thanh toán của lô hàng vi phạm.</w:t>
      </w:r>
    </w:p>
    <w:p w:rsidR="003D2DFF" w:rsidRPr="008C67FA" w:rsidRDefault="003D2DFF" w:rsidP="00E75370">
      <w:pPr>
        <w:spacing w:before="60" w:after="60"/>
        <w:ind w:firstLine="567"/>
        <w:jc w:val="both"/>
      </w:pPr>
      <w:r w:rsidRPr="008C67FA">
        <w:t>- Nếu 70% ≤ SiO</w:t>
      </w:r>
      <w:r w:rsidRPr="008C67FA">
        <w:rPr>
          <w:vertAlign w:val="subscript"/>
        </w:rPr>
        <w:t>2</w:t>
      </w:r>
      <w:r w:rsidRPr="008C67FA">
        <w:t xml:space="preserve"> &lt; 75% thì </w:t>
      </w:r>
      <w:r w:rsidR="008F698B">
        <w:t>Chủ đầu tư</w:t>
      </w:r>
      <w:r w:rsidRPr="008C67FA">
        <w:t xml:space="preserve"> sẽ giảm trừ 8% giá trị thanh toán của lô hàng vi phạm</w:t>
      </w:r>
    </w:p>
    <w:p w:rsidR="003D2DFF" w:rsidRPr="008C67FA" w:rsidRDefault="003D2DFF" w:rsidP="00E75370">
      <w:pPr>
        <w:spacing w:before="60" w:after="60"/>
        <w:ind w:firstLine="567"/>
        <w:jc w:val="both"/>
      </w:pPr>
      <w:r w:rsidRPr="008C67FA">
        <w:t>- Nếu Nếu SiO</w:t>
      </w:r>
      <w:r w:rsidRPr="008C67FA">
        <w:rPr>
          <w:vertAlign w:val="subscript"/>
        </w:rPr>
        <w:t>2</w:t>
      </w:r>
      <w:r w:rsidRPr="008C67FA">
        <w:t xml:space="preserve"> &lt; 70% thì hai bên xem xét thống nhất đưa ra phương án xử lý.</w:t>
      </w:r>
    </w:p>
    <w:p w:rsidR="003D2DFF" w:rsidRPr="008C67FA" w:rsidRDefault="003D2DFF" w:rsidP="00E75370">
      <w:pPr>
        <w:spacing w:before="60" w:after="60"/>
        <w:ind w:firstLine="567"/>
        <w:jc w:val="both"/>
      </w:pPr>
      <w:r w:rsidRPr="008C67FA">
        <w:t>b) Về hàm lượng MgO: Yêu cầu MgO ≤ 3%</w:t>
      </w:r>
    </w:p>
    <w:p w:rsidR="003D2DFF" w:rsidRPr="008C67FA" w:rsidRDefault="003D2DFF" w:rsidP="00E75370">
      <w:pPr>
        <w:spacing w:before="60" w:after="60"/>
        <w:ind w:firstLine="567"/>
        <w:jc w:val="both"/>
      </w:pPr>
      <w:r w:rsidRPr="008C67FA">
        <w:t xml:space="preserve">Nếu hàm lượng MgO &gt; 3% thì </w:t>
      </w:r>
      <w:r w:rsidR="008F698B">
        <w:t>Chủ đầu tư</w:t>
      </w:r>
      <w:r w:rsidRPr="008C67FA">
        <w:t xml:space="preserve"> sẽ giảm trừ 1% giá trị thanh toán của lô hàng vi phạm.</w:t>
      </w:r>
    </w:p>
    <w:p w:rsidR="003D2DFF" w:rsidRPr="008C67FA" w:rsidRDefault="003D2DFF" w:rsidP="00E75370">
      <w:pPr>
        <w:spacing w:before="60" w:after="60"/>
        <w:ind w:firstLine="567"/>
        <w:jc w:val="both"/>
      </w:pPr>
      <w:r w:rsidRPr="008C67FA">
        <w:t>c) Về chỉ tiêu độ ẩm: Yêu cầu độ ẩm ≤ 9%</w:t>
      </w:r>
    </w:p>
    <w:p w:rsidR="003D2DFF" w:rsidRPr="008C67FA" w:rsidRDefault="003D2DFF" w:rsidP="00E75370">
      <w:pPr>
        <w:spacing w:before="60" w:after="60"/>
        <w:ind w:firstLine="567"/>
        <w:jc w:val="both"/>
      </w:pPr>
      <w:r w:rsidRPr="008C67FA">
        <w:t>+ Nếu độ ẩm thực tế ≤ 9% thì khối lượng hàng hóa thanh toán bằng khối lượng thực tế qua cầu cân.</w:t>
      </w:r>
    </w:p>
    <w:p w:rsidR="003D2DFF" w:rsidRPr="008C67FA" w:rsidRDefault="003D2DFF" w:rsidP="00E75370">
      <w:pPr>
        <w:spacing w:before="60" w:after="60"/>
        <w:ind w:firstLine="567"/>
        <w:jc w:val="both"/>
      </w:pPr>
      <w:r w:rsidRPr="008C67FA">
        <w:t xml:space="preserve">+ Nếu độ ẩm thực tế  9%  &lt; </w:t>
      </w:r>
      <m:oMath>
        <m:sSubSup>
          <m:sSubSupPr>
            <m:ctrlPr>
              <w:rPr>
                <w:rFonts w:ascii="Cambria Math" w:hAnsi="Cambria Math"/>
                <w:i/>
              </w:rPr>
            </m:ctrlPr>
          </m:sSubSupPr>
          <m:e>
            <m:r>
              <w:rPr>
                <w:rFonts w:ascii="Cambria Math" w:hAnsi="Cambria Math"/>
              </w:rPr>
              <m:t>W</m:t>
            </m:r>
          </m:e>
          <m:sub>
            <m:r>
              <w:rPr>
                <w:rFonts w:ascii="Cambria Math" w:hAnsi="Cambria Math"/>
              </w:rPr>
              <m:t>T</m:t>
            </m:r>
          </m:sub>
          <m:sup>
            <m:r>
              <w:rPr>
                <w:rFonts w:ascii="Cambria Math" w:hAnsi="Cambria Math"/>
              </w:rPr>
              <m:t>tp</m:t>
            </m:r>
          </m:sup>
        </m:sSubSup>
      </m:oMath>
      <w:r w:rsidRPr="008C67FA">
        <w:t xml:space="preserve"> ≤ 12% đối với mùa khô (hoặc 15% đối với mùa mưa) thì quy về độ ẩm 9% để thanh toán theo công thức sau: </w:t>
      </w:r>
    </w:p>
    <w:p w:rsidR="003D2DFF" w:rsidRPr="008C67FA" w:rsidRDefault="00B417EC" w:rsidP="00E75370">
      <w:pPr>
        <w:spacing w:before="60" w:after="60"/>
        <w:ind w:firstLine="567"/>
        <w:jc w:val="both"/>
      </w:pPr>
      <m:oMathPara>
        <m:oMath>
          <m:sSub>
            <m:sSubPr>
              <m:ctrlPr>
                <w:rPr>
                  <w:rFonts w:ascii="Cambria Math" w:hAnsi="Cambria Math"/>
                  <w:i/>
                </w:rPr>
              </m:ctrlPr>
            </m:sSubPr>
            <m:e>
              <m:r>
                <w:rPr>
                  <w:rFonts w:ascii="Cambria Math" w:hAnsi="Cambria Math"/>
                </w:rPr>
                <m:t>G</m:t>
              </m:r>
            </m:e>
            <m:sub>
              <m:r>
                <w:rPr>
                  <w:rFonts w:ascii="Cambria Math" w:hAnsi="Cambria Math"/>
                </w:rPr>
                <m:t>q</m:t>
              </m:r>
            </m:sub>
          </m:sSub>
          <m:r>
            <w:rPr>
              <w:rFonts w:ascii="Cambria Math" w:hAnsi="Cambria Math"/>
            </w:rPr>
            <m:t xml:space="preserve">= </m:t>
          </m:r>
          <m:sSub>
            <m:sSubPr>
              <m:ctrlPr>
                <w:rPr>
                  <w:rFonts w:ascii="Cambria Math" w:hAnsi="Cambria Math"/>
                  <w:i/>
                </w:rPr>
              </m:ctrlPr>
            </m:sSubPr>
            <m:e>
              <m:r>
                <w:rPr>
                  <w:rFonts w:ascii="Cambria Math" w:hAnsi="Cambria Math"/>
                </w:rPr>
                <m:t>G</m:t>
              </m:r>
            </m:e>
            <m:sub>
              <m:r>
                <w:rPr>
                  <w:rFonts w:ascii="Cambria Math" w:hAnsi="Cambria Math"/>
                </w:rPr>
                <m:t>T</m:t>
              </m:r>
            </m:sub>
          </m:sSub>
          <m:r>
            <w:rPr>
              <w:rFonts w:ascii="Cambria Math" w:hAnsi="Cambria Math"/>
            </w:rPr>
            <m:t xml:space="preserve">× </m:t>
          </m:r>
          <m:f>
            <m:fPr>
              <m:ctrlPr>
                <w:rPr>
                  <w:rFonts w:ascii="Cambria Math" w:hAnsi="Cambria Math"/>
                  <w:i/>
                </w:rPr>
              </m:ctrlPr>
            </m:fPr>
            <m:num>
              <m:r>
                <w:rPr>
                  <w:rFonts w:ascii="Cambria Math" w:hAnsi="Cambria Math"/>
                </w:rPr>
                <m:t xml:space="preserve">100- </m:t>
              </m:r>
              <m:sSubSup>
                <m:sSubSupPr>
                  <m:ctrlPr>
                    <w:rPr>
                      <w:rFonts w:ascii="Cambria Math" w:hAnsi="Cambria Math"/>
                      <w:i/>
                    </w:rPr>
                  </m:ctrlPr>
                </m:sSubSupPr>
                <m:e>
                  <m:r>
                    <w:rPr>
                      <w:rFonts w:ascii="Cambria Math" w:hAnsi="Cambria Math"/>
                    </w:rPr>
                    <m:t>W</m:t>
                  </m:r>
                </m:e>
                <m:sub>
                  <m:r>
                    <w:rPr>
                      <w:rFonts w:ascii="Cambria Math" w:hAnsi="Cambria Math"/>
                    </w:rPr>
                    <m:t>T</m:t>
                  </m:r>
                </m:sub>
                <m:sup>
                  <m:r>
                    <w:rPr>
                      <w:rFonts w:ascii="Cambria Math" w:hAnsi="Cambria Math"/>
                    </w:rPr>
                    <m:t>tp</m:t>
                  </m:r>
                </m:sup>
              </m:sSubSup>
            </m:num>
            <m:den>
              <m:r>
                <w:rPr>
                  <w:rFonts w:ascii="Cambria Math" w:hAnsi="Cambria Math"/>
                </w:rPr>
                <m:t>100-9</m:t>
              </m:r>
            </m:den>
          </m:f>
        </m:oMath>
      </m:oMathPara>
    </w:p>
    <w:p w:rsidR="003D2DFF" w:rsidRPr="008C67FA" w:rsidRDefault="003D2DFF" w:rsidP="00E75370">
      <w:pPr>
        <w:spacing w:before="60" w:after="60"/>
        <w:ind w:firstLine="567"/>
        <w:jc w:val="both"/>
        <w:rPr>
          <w:i/>
        </w:rPr>
      </w:pPr>
      <w:r w:rsidRPr="008C67FA">
        <w:rPr>
          <w:i/>
        </w:rPr>
        <w:t>Trong đó:</w:t>
      </w:r>
    </w:p>
    <w:p w:rsidR="003D2DFF" w:rsidRPr="008C67FA" w:rsidRDefault="00B417EC" w:rsidP="00E75370">
      <w:pPr>
        <w:spacing w:before="60" w:after="60"/>
        <w:ind w:firstLine="567"/>
        <w:jc w:val="both"/>
        <w:rPr>
          <w:i/>
        </w:rPr>
      </w:pPr>
      <m:oMath>
        <m:sSub>
          <m:sSubPr>
            <m:ctrlPr>
              <w:rPr>
                <w:rFonts w:ascii="Cambria Math" w:hAnsi="Cambria Math"/>
                <w:i/>
              </w:rPr>
            </m:ctrlPr>
          </m:sSubPr>
          <m:e>
            <m:r>
              <w:rPr>
                <w:rFonts w:ascii="Cambria Math" w:hAnsi="Cambria Math"/>
              </w:rPr>
              <m:t>G</m:t>
            </m:r>
          </m:e>
          <m:sub>
            <m:r>
              <w:rPr>
                <w:rFonts w:ascii="Cambria Math" w:hAnsi="Cambria Math"/>
              </w:rPr>
              <m:t>q</m:t>
            </m:r>
          </m:sub>
        </m:sSub>
        <m:r>
          <w:rPr>
            <w:rFonts w:ascii="Cambria Math" w:hAnsi="Cambria Math"/>
          </w:rPr>
          <m:t>:</m:t>
        </m:r>
      </m:oMath>
      <w:r w:rsidR="003D2DFF" w:rsidRPr="008C67FA">
        <w:rPr>
          <w:i/>
        </w:rPr>
        <w:t xml:space="preserve"> Khối lượng </w:t>
      </w:r>
      <w:r w:rsidR="000D26E9">
        <w:rPr>
          <w:i/>
        </w:rPr>
        <w:t>hàng hóa được</w:t>
      </w:r>
      <w:r w:rsidR="003D2DFF" w:rsidRPr="008C67FA">
        <w:rPr>
          <w:i/>
        </w:rPr>
        <w:t xml:space="preserve"> thanh toán tương ứng độ ẩm 9%.</w:t>
      </w:r>
    </w:p>
    <w:p w:rsidR="003D2DFF" w:rsidRPr="008C67FA" w:rsidRDefault="00B417EC" w:rsidP="00E75370">
      <w:pPr>
        <w:spacing w:before="60" w:after="60"/>
        <w:ind w:firstLine="567"/>
        <w:jc w:val="both"/>
        <w:rPr>
          <w:i/>
        </w:rPr>
      </w:pPr>
      <m:oMath>
        <m:sSub>
          <m:sSubPr>
            <m:ctrlPr>
              <w:rPr>
                <w:rFonts w:ascii="Cambria Math" w:hAnsi="Cambria Math"/>
                <w:i/>
              </w:rPr>
            </m:ctrlPr>
          </m:sSubPr>
          <m:e>
            <m:r>
              <w:rPr>
                <w:rFonts w:ascii="Cambria Math" w:hAnsi="Cambria Math"/>
              </w:rPr>
              <m:t>G</m:t>
            </m:r>
          </m:e>
          <m:sub>
            <m:r>
              <w:rPr>
                <w:rFonts w:ascii="Cambria Math" w:hAnsi="Cambria Math"/>
              </w:rPr>
              <m:t>T</m:t>
            </m:r>
          </m:sub>
        </m:sSub>
      </m:oMath>
      <w:r w:rsidR="003D2DFF" w:rsidRPr="008C67FA">
        <w:rPr>
          <w:i/>
        </w:rPr>
        <w:t xml:space="preserve">: Khối lượng </w:t>
      </w:r>
      <w:r w:rsidR="000D26E9">
        <w:rPr>
          <w:i/>
        </w:rPr>
        <w:t>hàng hóa</w:t>
      </w:r>
      <w:r w:rsidR="003D2DFF" w:rsidRPr="008C67FA">
        <w:rPr>
          <w:i/>
        </w:rPr>
        <w:t xml:space="preserve"> thực tế giao nhận.</w:t>
      </w:r>
    </w:p>
    <w:p w:rsidR="003D2DFF" w:rsidRPr="008C67FA" w:rsidRDefault="00B417EC" w:rsidP="00E75370">
      <w:pPr>
        <w:spacing w:before="60" w:after="60"/>
        <w:ind w:firstLine="567"/>
        <w:jc w:val="both"/>
        <w:rPr>
          <w:i/>
        </w:rPr>
      </w:pPr>
      <m:oMath>
        <m:sSubSup>
          <m:sSubSupPr>
            <m:ctrlPr>
              <w:rPr>
                <w:rFonts w:ascii="Cambria Math" w:hAnsi="Cambria Math"/>
                <w:i/>
              </w:rPr>
            </m:ctrlPr>
          </m:sSubSupPr>
          <m:e>
            <m:r>
              <w:rPr>
                <w:rFonts w:ascii="Cambria Math" w:hAnsi="Cambria Math"/>
              </w:rPr>
              <m:t>W</m:t>
            </m:r>
          </m:e>
          <m:sub>
            <m:r>
              <w:rPr>
                <w:rFonts w:ascii="Cambria Math" w:hAnsi="Cambria Math"/>
              </w:rPr>
              <m:t>T</m:t>
            </m:r>
          </m:sub>
          <m:sup>
            <m:r>
              <w:rPr>
                <w:rFonts w:ascii="Cambria Math" w:hAnsi="Cambria Math"/>
              </w:rPr>
              <m:t>tp</m:t>
            </m:r>
          </m:sup>
        </m:sSubSup>
      </m:oMath>
      <w:r w:rsidR="003D2DFF" w:rsidRPr="008C67FA">
        <w:rPr>
          <w:i/>
        </w:rPr>
        <w:t xml:space="preserve">: Độ ẩm </w:t>
      </w:r>
      <w:r w:rsidR="000D26E9">
        <w:rPr>
          <w:i/>
        </w:rPr>
        <w:t>hàng hóa</w:t>
      </w:r>
      <w:r w:rsidR="003D2DFF" w:rsidRPr="008C67FA">
        <w:rPr>
          <w:i/>
        </w:rPr>
        <w:t xml:space="preserve"> thực tế theo giám định.</w:t>
      </w:r>
    </w:p>
    <w:p w:rsidR="003D2DFF" w:rsidRPr="008C67FA" w:rsidRDefault="003D2DFF" w:rsidP="00E75370">
      <w:pPr>
        <w:spacing w:before="60" w:after="60"/>
        <w:ind w:firstLine="567"/>
        <w:jc w:val="both"/>
      </w:pPr>
      <w:r w:rsidRPr="008C67FA">
        <w:lastRenderedPageBreak/>
        <w:t xml:space="preserve">+ Nếu độ ẩm lớn hơn 12% đối với mùa khô (hoặc lớn hơn 15% đối với mùa mưa) thì </w:t>
      </w:r>
      <w:r w:rsidR="008F698B">
        <w:t>Chủ đầu tư</w:t>
      </w:r>
      <w:r w:rsidRPr="008C67FA">
        <w:t xml:space="preserve"> sẽ dừng nhập hàng, đồng thời khối lượng hàng hóa có độ ẩm vượt quy định đã đưa vào kho sẽ được các bên xem xét thống nhất phương án xử lý tùy theo điều kiện thực tế sản xuất.</w:t>
      </w:r>
    </w:p>
    <w:p w:rsidR="003D2DFF" w:rsidRPr="008C67FA" w:rsidRDefault="003D2DFF" w:rsidP="00E75370">
      <w:pPr>
        <w:spacing w:before="60" w:after="60"/>
        <w:ind w:firstLine="567"/>
        <w:jc w:val="both"/>
      </w:pPr>
      <w:r w:rsidRPr="008C67FA">
        <w:t>d) Về chỉ tiêu cỡ hạt:</w:t>
      </w:r>
    </w:p>
    <w:p w:rsidR="003D2DFF" w:rsidRPr="008C67FA" w:rsidRDefault="003D2DFF" w:rsidP="00E75370">
      <w:pPr>
        <w:spacing w:before="60" w:after="60"/>
        <w:ind w:firstLine="567"/>
        <w:jc w:val="both"/>
      </w:pPr>
      <w:r w:rsidRPr="008C67FA">
        <w:t xml:space="preserve">Lô hàng có cỡ hạt &gt; 50 mm thì </w:t>
      </w:r>
      <w:r w:rsidR="008F698B">
        <w:t>Nhà thầu</w:t>
      </w:r>
      <w:r w:rsidRPr="008C67FA">
        <w:t xml:space="preserve"> phải chịu toàn bộ các chi phí liên quan đến việc xử lý hạt quá cỡ sau khi thu gom. Trong trường hợp hàng đã nhập kho và được </w:t>
      </w:r>
      <w:r w:rsidR="008F698B">
        <w:t>Chủ đầu tư</w:t>
      </w:r>
      <w:r w:rsidRPr="008C67FA">
        <w:t xml:space="preserve"> chấp thuận thì </w:t>
      </w:r>
      <w:r w:rsidR="008F698B">
        <w:t>Nhà thầu</w:t>
      </w:r>
      <w:r w:rsidRPr="008C67FA">
        <w:t xml:space="preserve"> phải gia công tại chỗ cho đến khi cỡ hạt ≤ 50 mm.</w:t>
      </w:r>
    </w:p>
    <w:p w:rsidR="003D2DFF" w:rsidRPr="008C67FA" w:rsidRDefault="003D2DFF" w:rsidP="00E75370">
      <w:pPr>
        <w:spacing w:before="60" w:after="60"/>
        <w:ind w:firstLine="567"/>
        <w:jc w:val="both"/>
        <w:rPr>
          <w:lang w:val="nl-NL"/>
        </w:rPr>
      </w:pPr>
      <w:r w:rsidRPr="008C67FA">
        <w:t xml:space="preserve">đ) </w:t>
      </w:r>
      <w:r w:rsidR="008F698B">
        <w:t>Nhà thầu</w:t>
      </w:r>
      <w:r w:rsidRPr="008C67FA">
        <w:t xml:space="preserve"> phải chịu toàn bộ các chi phí để giải quyết và khắc phục thiệt hại do hàng hóa cung cấp có các vật có hại như sắt, thép, bê tông, dầu mỡ, tạp chất hữu cơ, chất cháy nổ… gây sự cố cho máy móc của </w:t>
      </w:r>
      <w:r w:rsidR="008F698B">
        <w:t>Chủ đầu tư</w:t>
      </w:r>
      <w:r w:rsidRPr="008C67FA">
        <w:t>.</w:t>
      </w:r>
    </w:p>
    <w:p w:rsidR="006B45D3" w:rsidRPr="008C67FA" w:rsidRDefault="008C67FA" w:rsidP="00E75370">
      <w:pPr>
        <w:spacing w:before="120" w:after="120"/>
        <w:ind w:firstLine="567"/>
        <w:jc w:val="both"/>
        <w:rPr>
          <w:b/>
        </w:rPr>
      </w:pPr>
      <w:r w:rsidRPr="008C67FA">
        <w:rPr>
          <w:b/>
        </w:rPr>
        <w:t>4</w:t>
      </w:r>
      <w:r w:rsidR="006B45D3" w:rsidRPr="008C67FA">
        <w:rPr>
          <w:b/>
        </w:rPr>
        <w:t>. Yêu cầu về tính hợp pháp của hàng hóa</w:t>
      </w:r>
      <w:r w:rsidR="00883CEF" w:rsidRPr="008C67FA">
        <w:rPr>
          <w:b/>
        </w:rPr>
        <w:t>.</w:t>
      </w:r>
    </w:p>
    <w:p w:rsidR="00136871" w:rsidRDefault="006B45D3" w:rsidP="00E75370">
      <w:pPr>
        <w:spacing w:before="120" w:after="120"/>
        <w:ind w:firstLine="567"/>
        <w:jc w:val="both"/>
      </w:pPr>
      <w:r w:rsidRPr="008C67FA">
        <w:t xml:space="preserve">Nhà thầu </w:t>
      </w:r>
      <w:r w:rsidR="00136871" w:rsidRPr="008C67FA">
        <w:t xml:space="preserve">có </w:t>
      </w:r>
      <w:r w:rsidRPr="008C67FA">
        <w:t xml:space="preserve">cam kết chịu </w:t>
      </w:r>
      <w:r w:rsidR="00136871" w:rsidRPr="008C67FA">
        <w:t xml:space="preserve">hoàn toàn </w:t>
      </w:r>
      <w:r w:rsidRPr="008C67FA">
        <w:t>trách nhiệm trước pháp luật về nguồn gốc</w:t>
      </w:r>
      <w:r w:rsidR="00136871" w:rsidRPr="008C67FA">
        <w:t xml:space="preserve">, tính hợp pháp của </w:t>
      </w:r>
      <w:r w:rsidR="00B2530D">
        <w:t>hàng hóa</w:t>
      </w:r>
      <w:r w:rsidR="00136871" w:rsidRPr="008C67FA">
        <w:t xml:space="preserve"> do </w:t>
      </w:r>
      <w:r w:rsidR="00094944">
        <w:t>N</w:t>
      </w:r>
      <w:r w:rsidR="00136871" w:rsidRPr="008C67FA">
        <w:t>hà thầu cung cấp. Sẵn sàng phối hợp và xuất trình các</w:t>
      </w:r>
      <w:r w:rsidRPr="008C67FA">
        <w:t xml:space="preserve"> tài liệu chứng minh </w:t>
      </w:r>
      <w:r w:rsidR="001C50F2">
        <w:t xml:space="preserve">nguồn gốc, tính hợp pháp của hàng hóa </w:t>
      </w:r>
      <w:r w:rsidRPr="008C67FA">
        <w:t xml:space="preserve">cho </w:t>
      </w:r>
      <w:r w:rsidR="00136871" w:rsidRPr="008C67FA">
        <w:t>Chủ Đầu tư khi có yêu cầu</w:t>
      </w:r>
      <w:r w:rsidRPr="008C67FA">
        <w:t>.</w:t>
      </w:r>
    </w:p>
    <w:p w:rsidR="005B6794" w:rsidRPr="008C67FA" w:rsidRDefault="005B6794" w:rsidP="00E75370">
      <w:pPr>
        <w:spacing w:before="120" w:after="120"/>
        <w:ind w:firstLine="567"/>
        <w:jc w:val="both"/>
      </w:pPr>
      <w:r w:rsidRPr="002035BB">
        <w:t xml:space="preserve">Nhà thầu </w:t>
      </w:r>
      <w:r>
        <w:t>c</w:t>
      </w:r>
      <w:r w:rsidRPr="002035BB">
        <w:t xml:space="preserve">am kết bồi thường cho </w:t>
      </w:r>
      <w:r>
        <w:t>Chủ đầu tư</w:t>
      </w:r>
      <w:r w:rsidRPr="002035BB">
        <w:t xml:space="preserve"> 100% giá trị thiệt hại nếu hàng hóa cung cấp không đảm bảo tính hợp pháp theo quy định.</w:t>
      </w:r>
    </w:p>
    <w:p w:rsidR="006B45D3" w:rsidRPr="008C67FA" w:rsidRDefault="006B45D3" w:rsidP="00E75370">
      <w:pPr>
        <w:spacing w:before="120" w:after="120"/>
        <w:ind w:firstLine="567"/>
        <w:jc w:val="both"/>
        <w:rPr>
          <w:b/>
        </w:rPr>
      </w:pPr>
      <w:r w:rsidRPr="008C67FA">
        <w:t xml:space="preserve"> </w:t>
      </w:r>
      <w:r w:rsidR="008C67FA" w:rsidRPr="008C67FA">
        <w:rPr>
          <w:b/>
        </w:rPr>
        <w:t>5</w:t>
      </w:r>
      <w:r w:rsidRPr="008C67FA">
        <w:rPr>
          <w:b/>
        </w:rPr>
        <w:t>. Yêu cầu về thanh toán</w:t>
      </w:r>
      <w:r w:rsidR="00883CEF" w:rsidRPr="008C67FA">
        <w:rPr>
          <w:b/>
        </w:rPr>
        <w:t>.</w:t>
      </w:r>
    </w:p>
    <w:p w:rsidR="004F76D5" w:rsidRPr="008C67FA" w:rsidRDefault="001F45EE" w:rsidP="001F45EE">
      <w:pPr>
        <w:spacing w:before="120" w:after="120"/>
        <w:ind w:firstLine="567"/>
        <w:jc w:val="both"/>
      </w:pPr>
      <w:r w:rsidRPr="001F45EE">
        <w:t>Sau 45 ngày và không quá 160 ngày Chủ Đầu tư nhận đầy đủ hồ sơ chứng từ thanh toán hợp lệ, hóa đơn theo quy định hiện hành và hai bên hoàn thành các thủ tục nghiệm thu nhập kho thì Chủ Đầu tư sẽ thanh toán 100% giá trị tiền hàng cho Nhà thầu</w:t>
      </w:r>
      <w:r w:rsidR="00104A03">
        <w:t>.</w:t>
      </w:r>
    </w:p>
    <w:sectPr w:rsidR="004F76D5" w:rsidRPr="008C67FA" w:rsidSect="008C67FA">
      <w:headerReference w:type="default" r:id="rId7"/>
      <w:pgSz w:w="11909" w:h="16834"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17EC" w:rsidRDefault="00B417EC" w:rsidP="008C67FA">
      <w:pPr>
        <w:spacing w:after="0" w:line="240" w:lineRule="auto"/>
      </w:pPr>
      <w:r>
        <w:separator/>
      </w:r>
    </w:p>
  </w:endnote>
  <w:endnote w:type="continuationSeparator" w:id="0">
    <w:p w:rsidR="00B417EC" w:rsidRDefault="00B417EC" w:rsidP="008C67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17EC" w:rsidRDefault="00B417EC" w:rsidP="008C67FA">
      <w:pPr>
        <w:spacing w:after="0" w:line="240" w:lineRule="auto"/>
      </w:pPr>
      <w:r>
        <w:separator/>
      </w:r>
    </w:p>
  </w:footnote>
  <w:footnote w:type="continuationSeparator" w:id="0">
    <w:p w:rsidR="00B417EC" w:rsidRDefault="00B417EC" w:rsidP="008C67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7757569"/>
      <w:docPartObj>
        <w:docPartGallery w:val="Page Numbers (Top of Page)"/>
        <w:docPartUnique/>
      </w:docPartObj>
    </w:sdtPr>
    <w:sdtEndPr>
      <w:rPr>
        <w:noProof/>
      </w:rPr>
    </w:sdtEndPr>
    <w:sdtContent>
      <w:p w:rsidR="008C67FA" w:rsidRDefault="008C67FA">
        <w:pPr>
          <w:pStyle w:val="Header"/>
          <w:jc w:val="center"/>
        </w:pPr>
        <w:r>
          <w:fldChar w:fldCharType="begin"/>
        </w:r>
        <w:r>
          <w:instrText xml:space="preserve"> PAGE   \* MERGEFORMAT </w:instrText>
        </w:r>
        <w:r>
          <w:fldChar w:fldCharType="separate"/>
        </w:r>
        <w:r w:rsidR="00893056">
          <w:rPr>
            <w:noProof/>
          </w:rPr>
          <w:t>2</w:t>
        </w:r>
        <w:r>
          <w:rPr>
            <w:noProof/>
          </w:rPr>
          <w:fldChar w:fldCharType="end"/>
        </w:r>
      </w:p>
    </w:sdtContent>
  </w:sdt>
  <w:p w:rsidR="008C67FA" w:rsidRDefault="008C67F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456F93"/>
    <w:multiLevelType w:val="hybridMultilevel"/>
    <w:tmpl w:val="B68EFF7A"/>
    <w:lvl w:ilvl="0" w:tplc="C47A111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FF4"/>
    <w:rsid w:val="00094944"/>
    <w:rsid w:val="000D26E9"/>
    <w:rsid w:val="000E757C"/>
    <w:rsid w:val="00104A03"/>
    <w:rsid w:val="00136871"/>
    <w:rsid w:val="001874EA"/>
    <w:rsid w:val="001C50F2"/>
    <w:rsid w:val="001D7BFC"/>
    <w:rsid w:val="001F45EE"/>
    <w:rsid w:val="00261319"/>
    <w:rsid w:val="002960A5"/>
    <w:rsid w:val="00305FF4"/>
    <w:rsid w:val="003065CD"/>
    <w:rsid w:val="0037293D"/>
    <w:rsid w:val="0038673C"/>
    <w:rsid w:val="003D2DFF"/>
    <w:rsid w:val="004158B2"/>
    <w:rsid w:val="004532B5"/>
    <w:rsid w:val="00474113"/>
    <w:rsid w:val="004825F2"/>
    <w:rsid w:val="00496143"/>
    <w:rsid w:val="004F76D5"/>
    <w:rsid w:val="005B6794"/>
    <w:rsid w:val="006B45D3"/>
    <w:rsid w:val="00716EA7"/>
    <w:rsid w:val="007350D5"/>
    <w:rsid w:val="00883CEF"/>
    <w:rsid w:val="00893056"/>
    <w:rsid w:val="008C67FA"/>
    <w:rsid w:val="008F698B"/>
    <w:rsid w:val="00916CDC"/>
    <w:rsid w:val="00A40ED4"/>
    <w:rsid w:val="00A9135A"/>
    <w:rsid w:val="00B05184"/>
    <w:rsid w:val="00B2530D"/>
    <w:rsid w:val="00B417EC"/>
    <w:rsid w:val="00C54A80"/>
    <w:rsid w:val="00CD18CA"/>
    <w:rsid w:val="00CD20F0"/>
    <w:rsid w:val="00D1664E"/>
    <w:rsid w:val="00E75370"/>
    <w:rsid w:val="00F228FF"/>
    <w:rsid w:val="00FC3531"/>
    <w:rsid w:val="00FE5A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5E9C1"/>
  <w15:chartTrackingRefBased/>
  <w15:docId w15:val="{5D550F6A-99E4-4DFB-85E0-E96ADE199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B45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B45D3"/>
    <w:pPr>
      <w:ind w:left="720"/>
      <w:contextualSpacing/>
    </w:pPr>
  </w:style>
  <w:style w:type="paragraph" w:styleId="Header">
    <w:name w:val="header"/>
    <w:basedOn w:val="Normal"/>
    <w:link w:val="HeaderChar"/>
    <w:uiPriority w:val="99"/>
    <w:unhideWhenUsed/>
    <w:rsid w:val="008C67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67FA"/>
  </w:style>
  <w:style w:type="paragraph" w:styleId="Footer">
    <w:name w:val="footer"/>
    <w:basedOn w:val="Normal"/>
    <w:link w:val="FooterChar"/>
    <w:uiPriority w:val="99"/>
    <w:unhideWhenUsed/>
    <w:rsid w:val="008C67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67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3</Pages>
  <Words>715</Words>
  <Characters>4076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Anh Duc</cp:lastModifiedBy>
  <cp:revision>34</cp:revision>
  <dcterms:created xsi:type="dcterms:W3CDTF">2025-01-03T03:56:00Z</dcterms:created>
  <dcterms:modified xsi:type="dcterms:W3CDTF">2025-09-04T04:21:00Z</dcterms:modified>
</cp:coreProperties>
</file>