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55D7" w14:textId="77777777" w:rsidR="00210E78" w:rsidRPr="0073067C" w:rsidRDefault="00210E78" w:rsidP="00210E78">
      <w:pPr>
        <w:jc w:val="center"/>
        <w:outlineLvl w:val="0"/>
        <w:rPr>
          <w:b/>
          <w:sz w:val="28"/>
          <w:szCs w:val="28"/>
          <w:lang w:val="nl-NL"/>
        </w:rPr>
      </w:pPr>
      <w:bookmarkStart w:id="0" w:name="_Hlk171835203"/>
      <w:r w:rsidRPr="0073067C">
        <w:rPr>
          <w:b/>
          <w:sz w:val="28"/>
          <w:szCs w:val="28"/>
          <w:lang w:val="nl-NL"/>
        </w:rPr>
        <w:t xml:space="preserve">Phần 2. YÊU CẦU VỀ KỸ THUẬT </w:t>
      </w:r>
    </w:p>
    <w:p w14:paraId="720FE83A" w14:textId="77777777" w:rsidR="00210E78" w:rsidRPr="0073067C" w:rsidRDefault="00210E78" w:rsidP="00210E78">
      <w:pPr>
        <w:widowControl w:val="0"/>
        <w:spacing w:before="120" w:after="120" w:line="264" w:lineRule="auto"/>
        <w:jc w:val="center"/>
        <w:outlineLvl w:val="1"/>
        <w:rPr>
          <w:sz w:val="28"/>
          <w:szCs w:val="28"/>
          <w:lang w:val="nl-NL"/>
        </w:rPr>
      </w:pPr>
      <w:r w:rsidRPr="0073067C">
        <w:rPr>
          <w:b/>
          <w:sz w:val="28"/>
          <w:szCs w:val="28"/>
          <w:lang w:val="nl-NL"/>
        </w:rPr>
        <w:t>Chương V. YÊU CẦU VỀ KỸ THUẬT</w:t>
      </w:r>
    </w:p>
    <w:p w14:paraId="674CF214" w14:textId="77777777" w:rsidR="00210E78" w:rsidRPr="0073067C" w:rsidRDefault="00210E78" w:rsidP="00210E78">
      <w:pPr>
        <w:pStyle w:val="Subtitle"/>
        <w:rPr>
          <w:rFonts w:ascii="Times New Roman" w:hAnsi="Times New Roman" w:cs="Times New Roman"/>
          <w:color w:val="auto"/>
          <w:sz w:val="20"/>
          <w:szCs w:val="32"/>
          <w:lang w:val="nl-NL"/>
        </w:rPr>
      </w:pPr>
    </w:p>
    <w:p w14:paraId="0DEFD098" w14:textId="77777777" w:rsidR="00210E78" w:rsidRPr="0073067C" w:rsidRDefault="00210E78" w:rsidP="00210E78">
      <w:pPr>
        <w:pStyle w:val="SectionVIHeader"/>
        <w:widowControl w:val="0"/>
        <w:spacing w:after="120" w:line="264" w:lineRule="auto"/>
        <w:ind w:firstLine="709"/>
        <w:jc w:val="both"/>
        <w:rPr>
          <w:sz w:val="28"/>
          <w:szCs w:val="28"/>
          <w:lang w:val="nl-NL"/>
        </w:rPr>
      </w:pPr>
      <w:r w:rsidRPr="0073067C">
        <w:rPr>
          <w:sz w:val="28"/>
          <w:szCs w:val="28"/>
          <w:lang w:val="nl-NL"/>
        </w:rPr>
        <w:t>Mục 1. Yêu cầu về kỹ thuật</w:t>
      </w:r>
    </w:p>
    <w:p w14:paraId="44221D34" w14:textId="77777777" w:rsidR="00210E78" w:rsidRPr="0073067C" w:rsidRDefault="00210E78" w:rsidP="00210E78">
      <w:pPr>
        <w:widowControl w:val="0"/>
        <w:spacing w:before="120" w:after="120" w:line="264" w:lineRule="auto"/>
        <w:ind w:firstLine="709"/>
        <w:rPr>
          <w:b/>
          <w:iCs/>
          <w:sz w:val="28"/>
          <w:szCs w:val="28"/>
          <w:lang w:val="nl-NL"/>
        </w:rPr>
      </w:pPr>
      <w:r w:rsidRPr="0073067C">
        <w:rPr>
          <w:b/>
          <w:iCs/>
          <w:sz w:val="28"/>
          <w:szCs w:val="28"/>
          <w:lang w:val="nl-NL"/>
        </w:rPr>
        <w:t>1. Giới thiệu chung về dự toán mua sắm, gói thầu</w:t>
      </w:r>
    </w:p>
    <w:p w14:paraId="6BC72064" w14:textId="6A938409" w:rsidR="00210E78" w:rsidRPr="0073067C" w:rsidRDefault="00210E78" w:rsidP="00210E78">
      <w:pPr>
        <w:spacing w:before="60" w:after="60"/>
        <w:ind w:firstLine="709"/>
        <w:jc w:val="both"/>
        <w:rPr>
          <w:iCs/>
          <w:spacing w:val="-4"/>
          <w:sz w:val="28"/>
          <w:szCs w:val="28"/>
          <w:lang w:val="nl-NL"/>
        </w:rPr>
      </w:pPr>
      <w:bookmarkStart w:id="1" w:name="_Hlk154743134"/>
      <w:r w:rsidRPr="0073067C">
        <w:rPr>
          <w:iCs/>
          <w:spacing w:val="-4"/>
          <w:sz w:val="28"/>
          <w:szCs w:val="28"/>
          <w:lang w:val="nl-NL"/>
        </w:rPr>
        <w:t xml:space="preserve">- Tên dự toán mua sắm: </w:t>
      </w:r>
      <w:r w:rsidR="001A23AD">
        <w:rPr>
          <w:b/>
          <w:bCs/>
          <w:iCs/>
          <w:spacing w:val="-4"/>
          <w:sz w:val="28"/>
          <w:szCs w:val="28"/>
        </w:rPr>
        <w:t>Mua sắm hóa chất sinh phẩm phục vụ công tác khám chữa bệnh năm 2025 – 2027 của Bệnh viện Hữu nghị Việt Tiệp (lần 17)</w:t>
      </w:r>
      <w:r w:rsidR="009907C6" w:rsidRPr="0073067C">
        <w:rPr>
          <w:b/>
          <w:bCs/>
          <w:iCs/>
          <w:spacing w:val="-4"/>
          <w:sz w:val="28"/>
          <w:szCs w:val="28"/>
        </w:rPr>
        <w:t>;</w:t>
      </w:r>
    </w:p>
    <w:p w14:paraId="3E6782FB" w14:textId="35E4D57D" w:rsidR="009907C6" w:rsidRPr="0073067C" w:rsidRDefault="00210E78" w:rsidP="00210E78">
      <w:pPr>
        <w:spacing w:before="60" w:after="60"/>
        <w:ind w:firstLine="709"/>
        <w:jc w:val="both"/>
        <w:rPr>
          <w:b/>
          <w:sz w:val="28"/>
          <w:szCs w:val="28"/>
        </w:rPr>
      </w:pPr>
      <w:r w:rsidRPr="0073067C">
        <w:rPr>
          <w:iCs/>
          <w:spacing w:val="-4"/>
          <w:sz w:val="28"/>
          <w:szCs w:val="28"/>
          <w:lang w:val="nl-NL"/>
        </w:rPr>
        <w:t xml:space="preserve">- Tên gói thầu: </w:t>
      </w:r>
      <w:r w:rsidR="001A23AD">
        <w:rPr>
          <w:b/>
          <w:sz w:val="28"/>
          <w:szCs w:val="28"/>
        </w:rPr>
        <w:t>Mua sắm hóa chất sinh phẩm phục vụ công tác khám chữa bệnh năm 2025 – 2027 (lần 17) (gồm 3 phần tương ứng với 03 lô)</w:t>
      </w:r>
      <w:r w:rsidR="009907C6" w:rsidRPr="0073067C">
        <w:rPr>
          <w:b/>
          <w:sz w:val="28"/>
          <w:szCs w:val="28"/>
        </w:rPr>
        <w:t>;</w:t>
      </w:r>
    </w:p>
    <w:p w14:paraId="1A89E32A" w14:textId="01EE4E45" w:rsidR="00210E78" w:rsidRPr="0073067C" w:rsidRDefault="00210E78" w:rsidP="00210E78">
      <w:pPr>
        <w:spacing w:before="60" w:after="60"/>
        <w:ind w:firstLine="709"/>
        <w:jc w:val="both"/>
        <w:rPr>
          <w:iCs/>
          <w:spacing w:val="-4"/>
          <w:sz w:val="28"/>
          <w:szCs w:val="28"/>
          <w:lang w:val="nl-NL"/>
        </w:rPr>
      </w:pPr>
      <w:r w:rsidRPr="0073067C">
        <w:rPr>
          <w:iCs/>
          <w:spacing w:val="-4"/>
          <w:sz w:val="28"/>
          <w:szCs w:val="28"/>
          <w:lang w:val="nl-NL"/>
        </w:rPr>
        <w:t xml:space="preserve">- Chủ đầu tư: </w:t>
      </w:r>
      <w:r w:rsidR="009907C6" w:rsidRPr="0073067C">
        <w:rPr>
          <w:iCs/>
          <w:spacing w:val="-4"/>
          <w:sz w:val="28"/>
          <w:szCs w:val="28"/>
          <w:lang w:val="nl-NL"/>
        </w:rPr>
        <w:t>Bệnh viện Hữu nghị Việt Tiệp</w:t>
      </w:r>
    </w:p>
    <w:p w14:paraId="36DC7429" w14:textId="6AC71AAF" w:rsidR="00210E78" w:rsidRPr="0073067C" w:rsidRDefault="00210E78" w:rsidP="00210E78">
      <w:pPr>
        <w:spacing w:before="60" w:after="60"/>
        <w:ind w:firstLine="709"/>
        <w:jc w:val="both"/>
        <w:rPr>
          <w:iCs/>
          <w:spacing w:val="-4"/>
          <w:sz w:val="28"/>
          <w:szCs w:val="28"/>
          <w:lang w:val="nl-NL"/>
        </w:rPr>
      </w:pPr>
      <w:r w:rsidRPr="0073067C">
        <w:rPr>
          <w:iCs/>
          <w:spacing w:val="-4"/>
          <w:sz w:val="28"/>
          <w:szCs w:val="28"/>
          <w:lang w:val="nl-NL"/>
        </w:rPr>
        <w:t xml:space="preserve">- Địa điểm thực hiện: </w:t>
      </w:r>
      <w:r w:rsidR="009907C6" w:rsidRPr="0073067C">
        <w:rPr>
          <w:iCs/>
          <w:spacing w:val="-4"/>
          <w:sz w:val="28"/>
          <w:szCs w:val="28"/>
          <w:lang w:val="nl-NL"/>
        </w:rPr>
        <w:t>Số 1 đường Nhà Thương, phường Lê Chân, thành phố Hải Phòng</w:t>
      </w:r>
    </w:p>
    <w:p w14:paraId="426121AF" w14:textId="7DD64A61" w:rsidR="00210E78" w:rsidRPr="0073067C" w:rsidRDefault="00210E78" w:rsidP="00210E78">
      <w:pPr>
        <w:spacing w:before="60" w:after="60"/>
        <w:ind w:firstLine="709"/>
        <w:jc w:val="both"/>
        <w:rPr>
          <w:iCs/>
          <w:spacing w:val="-4"/>
          <w:sz w:val="28"/>
          <w:szCs w:val="28"/>
          <w:lang w:val="nl-NL"/>
        </w:rPr>
      </w:pPr>
      <w:r w:rsidRPr="0073067C">
        <w:rPr>
          <w:iCs/>
          <w:spacing w:val="-4"/>
          <w:sz w:val="28"/>
          <w:szCs w:val="28"/>
          <w:lang w:val="nl-NL"/>
        </w:rPr>
        <w:t xml:space="preserve">- Nguồn vốn: </w:t>
      </w:r>
      <w:r w:rsidR="009907C6" w:rsidRPr="0073067C">
        <w:rPr>
          <w:iCs/>
          <w:spacing w:val="-4"/>
          <w:sz w:val="28"/>
          <w:szCs w:val="28"/>
          <w:lang w:val="nl-NL"/>
        </w:rPr>
        <w:t>Nguồn thu từ dịch vụ y tế và các nguồn thu hợp pháp khác của Bệnh viện.</w:t>
      </w:r>
    </w:p>
    <w:p w14:paraId="235619C8" w14:textId="77777777" w:rsidR="00210E78" w:rsidRPr="0073067C" w:rsidRDefault="00210E78" w:rsidP="00210E78">
      <w:pPr>
        <w:spacing w:before="60" w:after="60"/>
        <w:ind w:firstLine="709"/>
        <w:jc w:val="both"/>
        <w:rPr>
          <w:iCs/>
          <w:spacing w:val="-4"/>
          <w:sz w:val="28"/>
          <w:szCs w:val="28"/>
          <w:lang w:val="nl-NL"/>
        </w:rPr>
      </w:pPr>
      <w:r w:rsidRPr="0073067C">
        <w:rPr>
          <w:iCs/>
          <w:spacing w:val="-4"/>
          <w:sz w:val="28"/>
          <w:szCs w:val="28"/>
          <w:lang w:val="nl-NL"/>
        </w:rPr>
        <w:t>- Loại hợp đồng: Theo đơn giá cố định;</w:t>
      </w:r>
    </w:p>
    <w:p w14:paraId="3927D404" w14:textId="50974044" w:rsidR="00210E78" w:rsidRPr="0073067C" w:rsidRDefault="00210E78" w:rsidP="00210E78">
      <w:pPr>
        <w:widowControl w:val="0"/>
        <w:spacing w:before="120" w:after="120" w:line="264" w:lineRule="auto"/>
        <w:ind w:firstLine="709"/>
        <w:jc w:val="both"/>
        <w:rPr>
          <w:iCs/>
          <w:sz w:val="28"/>
          <w:szCs w:val="28"/>
          <w:lang w:val="nl-NL"/>
        </w:rPr>
      </w:pPr>
      <w:r w:rsidRPr="0073067C">
        <w:rPr>
          <w:iCs/>
          <w:spacing w:val="-4"/>
          <w:sz w:val="28"/>
          <w:szCs w:val="28"/>
          <w:lang w:val="nl-NL"/>
        </w:rPr>
        <w:t xml:space="preserve">- Thời gian thực hiện gói thầu: </w:t>
      </w:r>
      <w:r w:rsidR="009907C6" w:rsidRPr="0073067C">
        <w:rPr>
          <w:iCs/>
          <w:spacing w:val="-4"/>
          <w:sz w:val="28"/>
          <w:szCs w:val="28"/>
          <w:lang w:val="nl-NL"/>
        </w:rPr>
        <w:t>24 tháng</w:t>
      </w:r>
      <w:r w:rsidR="007D1FBC">
        <w:rPr>
          <w:iCs/>
          <w:spacing w:val="-4"/>
          <w:sz w:val="28"/>
          <w:szCs w:val="28"/>
          <w:lang w:val="nl-NL"/>
        </w:rPr>
        <w:t xml:space="preserve"> kể từ ngày hợp đồng có hiệu lực</w:t>
      </w:r>
      <w:r w:rsidR="009253DD" w:rsidRPr="0073067C">
        <w:rPr>
          <w:iCs/>
          <w:spacing w:val="-4"/>
          <w:sz w:val="28"/>
          <w:szCs w:val="28"/>
          <w:lang w:val="nl-NL"/>
        </w:rPr>
        <w:t>.</w:t>
      </w:r>
    </w:p>
    <w:bookmarkEnd w:id="1"/>
    <w:p w14:paraId="47FD666F" w14:textId="77777777" w:rsidR="00210E78" w:rsidRPr="0073067C" w:rsidRDefault="00210E78" w:rsidP="00210E78">
      <w:pPr>
        <w:widowControl w:val="0"/>
        <w:spacing w:before="120" w:after="120" w:line="264" w:lineRule="auto"/>
        <w:ind w:firstLine="709"/>
        <w:rPr>
          <w:b/>
          <w:iCs/>
          <w:sz w:val="28"/>
          <w:szCs w:val="28"/>
          <w:lang w:val="nl-NL"/>
        </w:rPr>
      </w:pPr>
      <w:r w:rsidRPr="0073067C">
        <w:rPr>
          <w:b/>
          <w:iCs/>
          <w:sz w:val="28"/>
          <w:szCs w:val="28"/>
          <w:lang w:val="nl-NL"/>
        </w:rPr>
        <w:t>2. Yêu cầu về kỹ thuật</w:t>
      </w:r>
    </w:p>
    <w:p w14:paraId="5F4F8704" w14:textId="77777777" w:rsidR="00210E78" w:rsidRPr="0073067C" w:rsidRDefault="00210E78" w:rsidP="00210E78">
      <w:pPr>
        <w:widowControl w:val="0"/>
        <w:spacing w:before="120" w:after="120" w:line="264" w:lineRule="auto"/>
        <w:ind w:firstLine="709"/>
        <w:rPr>
          <w:b/>
          <w:bCs/>
          <w:iCs/>
          <w:spacing w:val="-2"/>
          <w:sz w:val="28"/>
          <w:szCs w:val="28"/>
          <w:lang w:val="nl-NL"/>
        </w:rPr>
      </w:pPr>
      <w:r w:rsidRPr="0073067C">
        <w:rPr>
          <w:b/>
          <w:bCs/>
          <w:iCs/>
          <w:spacing w:val="-2"/>
          <w:sz w:val="28"/>
          <w:szCs w:val="28"/>
          <w:lang w:val="nl-NL"/>
        </w:rPr>
        <w:t>2.1. Yêu cầu kỹ thuật chung</w:t>
      </w:r>
    </w:p>
    <w:p w14:paraId="08FB845D" w14:textId="26AF4EC5"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Tất cả các hàng hóa phải có nguồn gốc xuất xứ rõ ràng, hợp pháp và đảm bảo chất lượng mới 100%, chưa qua sử dụng sản xuất từ năm 202</w:t>
      </w:r>
      <w:r w:rsidR="009253DD" w:rsidRPr="0073067C">
        <w:rPr>
          <w:iCs/>
          <w:spacing w:val="-2"/>
          <w:sz w:val="28"/>
          <w:szCs w:val="28"/>
          <w:lang w:val="nl-NL"/>
        </w:rPr>
        <w:t>5</w:t>
      </w:r>
      <w:r w:rsidRPr="0073067C">
        <w:rPr>
          <w:iCs/>
          <w:spacing w:val="-2"/>
          <w:sz w:val="28"/>
          <w:szCs w:val="28"/>
          <w:lang w:val="nl-NL"/>
        </w:rPr>
        <w:t xml:space="preserve"> trở về sau.</w:t>
      </w:r>
    </w:p>
    <w:p w14:paraId="3411AA72"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hàng hóa có nhãn với đầy đủ thông tin theo quy định hiện hành của pháp luật về nhãn mác hàng hóa.</w:t>
      </w:r>
    </w:p>
    <w:p w14:paraId="24C495E8"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Bảo quản, đóng gói, vận chuyển: Theo tiêu chuẩn của nhà sản xuất.</w:t>
      </w:r>
    </w:p>
    <w:p w14:paraId="24B7AB7E"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thu hồi trong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353ABBD1"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Cam kết thu hồi hàng hoá trong trường hợp hàng hoá đã giao nhưng không đảm bảo chất lượng, hoặc không sử dụng được với trang thiết bị hiện có của đơn vị thụ hưởng</w:t>
      </w:r>
    </w:p>
    <w:p w14:paraId="29441FDD"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Nội dung E-HSDT bản gốc và bản up lên hệ thống là hoàn toàn giống nhau, nếu có sai sót làm ảnh hưởng đến kết quả trúng thầu và các vấn đề khác gây hậu quả, nhà thầu phải chịu hoàn toàn trách nhiệm trước pháp luật.</w:t>
      </w:r>
    </w:p>
    <w:p w14:paraId="35871A15"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p>
    <w:p w14:paraId="1B006555" w14:textId="4087B775"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lastRenderedPageBreak/>
        <w:t>- Cam kết đảm bảo hạn sử dụng tối thiểu 06 tháng đối với hàng hóa có hạn dùng từ 02 năm trở lên; 03 tháng đối với hàng hóa có hạn dùng từ 01 đến 02 năm; ¼ hạn dùng đối với hàng hóa có hạn dùng dưới 01 năm theo nhà sản xuất khi bàn giao hàng hóa. Đối với hàng hóa không ghi hạn sử dụng phải được sản xuất từ năm 202</w:t>
      </w:r>
      <w:r w:rsidR="009253DD" w:rsidRPr="0073067C">
        <w:rPr>
          <w:iCs/>
          <w:spacing w:val="-2"/>
          <w:sz w:val="28"/>
          <w:szCs w:val="28"/>
          <w:lang w:val="nl-NL"/>
        </w:rPr>
        <w:t>5</w:t>
      </w:r>
      <w:r w:rsidRPr="0073067C">
        <w:rPr>
          <w:iCs/>
          <w:spacing w:val="-2"/>
          <w:sz w:val="28"/>
          <w:szCs w:val="28"/>
          <w:lang w:val="nl-NL"/>
        </w:rPr>
        <w:t xml:space="preserve"> trở đi.</w:t>
      </w:r>
    </w:p>
    <w:p w14:paraId="793C2F37"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Nếu ngoài giới hạn nói trên thì phải có sự thoả thuận đồng ý của bên mua trước khi giao hàng.</w:t>
      </w:r>
    </w:p>
    <w:p w14:paraId="14EC39CF"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Hàng hóa tham dự thầu phải đáp ứng đủ điều kiện về lưu hành theo quy định pháp luật hiện hành.</w:t>
      </w:r>
    </w:p>
    <w:p w14:paraId="5292CFC2"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chịu toàn bộ chi phí vận chuyển, bốc xếp, bảo hiểm, cất giữ trong quá trình cung ứng hàng hóa, kiểm tra, nghiệm thu và giao nhận hàng.</w:t>
      </w:r>
    </w:p>
    <w:p w14:paraId="65393425" w14:textId="77777777" w:rsidR="00210E78" w:rsidRPr="0073067C" w:rsidRDefault="00210E78" w:rsidP="00210E78">
      <w:pPr>
        <w:widowControl w:val="0"/>
        <w:spacing w:before="120" w:after="120" w:line="264" w:lineRule="auto"/>
        <w:ind w:firstLine="709"/>
        <w:jc w:val="both"/>
        <w:rPr>
          <w:iCs/>
          <w:spacing w:val="-2"/>
          <w:sz w:val="28"/>
          <w:szCs w:val="28"/>
          <w:lang w:val="nl-NL"/>
        </w:rPr>
      </w:pPr>
      <w:r w:rsidRPr="0073067C">
        <w:rPr>
          <w:iCs/>
          <w:spacing w:val="-2"/>
          <w:sz w:val="28"/>
          <w:szCs w:val="28"/>
          <w:lang w:val="nl-NL"/>
        </w:rPr>
        <w:t>- Cam kết hàng hóa được giao theo từng đợt theo yêu cầu của chủ đầu tư, cung cấp theo số lượng hàng hóa thực tế chủ đầu tư yêu cầu trong mỗi đợt giao hàng.</w:t>
      </w:r>
    </w:p>
    <w:p w14:paraId="77A78B18" w14:textId="77777777" w:rsidR="00091DDB" w:rsidRPr="0073067C" w:rsidRDefault="00091DDB" w:rsidP="00091DDB">
      <w:pPr>
        <w:shd w:val="clear" w:color="auto" w:fill="FFFFFF"/>
        <w:spacing w:after="60"/>
        <w:ind w:firstLine="720"/>
        <w:jc w:val="both"/>
        <w:rPr>
          <w:b/>
          <w:bCs/>
          <w:i/>
          <w:iCs/>
          <w:color w:val="000000" w:themeColor="text1"/>
          <w:spacing w:val="3"/>
          <w:sz w:val="28"/>
          <w:szCs w:val="28"/>
          <w:lang w:eastAsia="vi-VN"/>
        </w:rPr>
      </w:pPr>
      <w:r w:rsidRPr="0073067C">
        <w:rPr>
          <w:b/>
          <w:bCs/>
          <w:i/>
          <w:iCs/>
          <w:color w:val="000000" w:themeColor="text1"/>
          <w:spacing w:val="3"/>
          <w:sz w:val="28"/>
          <w:szCs w:val="28"/>
          <w:lang w:eastAsia="vi-VN"/>
        </w:rPr>
        <w:t xml:space="preserve">Đối với hàng hóa là thiết bị y tế, nhà thầu phải cung cấp: </w:t>
      </w:r>
    </w:p>
    <w:p w14:paraId="71901EBD" w14:textId="77777777" w:rsidR="00091DDB" w:rsidRPr="0073067C" w:rsidRDefault="00091DDB" w:rsidP="00091DDB">
      <w:pPr>
        <w:shd w:val="clear" w:color="auto" w:fill="FFFFFF"/>
        <w:spacing w:after="60"/>
        <w:ind w:firstLine="720"/>
        <w:jc w:val="both"/>
        <w:rPr>
          <w:color w:val="000000" w:themeColor="text1"/>
          <w:spacing w:val="3"/>
          <w:sz w:val="28"/>
          <w:szCs w:val="28"/>
          <w:lang w:eastAsia="vi-VN"/>
        </w:rPr>
      </w:pPr>
      <w:r w:rsidRPr="0073067C">
        <w:rPr>
          <w:color w:val="000000" w:themeColor="text1"/>
          <w:spacing w:val="3"/>
          <w:sz w:val="28"/>
          <w:szCs w:val="28"/>
          <w:lang w:eastAsia="vi-VN"/>
        </w:rPr>
        <w:t xml:space="preserve">- Bản phân loại thiết bị y tế được đăng tải trên Hệ thống dịch vụ công trực tuyến về quản lý thiết bị y tế của Bộ Y tế (IMDA) theo quy định; </w:t>
      </w:r>
    </w:p>
    <w:p w14:paraId="40F81ECA" w14:textId="77777777" w:rsidR="00091DDB" w:rsidRPr="0073067C" w:rsidRDefault="00091DDB" w:rsidP="00091DDB">
      <w:pPr>
        <w:shd w:val="clear" w:color="auto" w:fill="FFFFFF"/>
        <w:spacing w:after="60"/>
        <w:ind w:firstLine="720"/>
        <w:jc w:val="both"/>
        <w:rPr>
          <w:color w:val="000000" w:themeColor="text1"/>
          <w:spacing w:val="3"/>
          <w:sz w:val="28"/>
          <w:szCs w:val="28"/>
          <w:lang w:eastAsia="vi-VN"/>
        </w:rPr>
      </w:pPr>
      <w:r w:rsidRPr="0073067C">
        <w:rPr>
          <w:color w:val="000000" w:themeColor="text1"/>
          <w:spacing w:val="3"/>
          <w:sz w:val="28"/>
          <w:szCs w:val="28"/>
          <w:lang w:eastAsia="vi-VN"/>
        </w:rPr>
        <w:t>- Các tài liệu chứng minh theo quy định tại Điều 22 Nghị định 98/2021/NĐ- CP ngày 08/11/2021 về quản lý thiết bị y tế và các Văn bản sửa đổi, hướng dẫn thi hành:</w:t>
      </w:r>
    </w:p>
    <w:p w14:paraId="09C1F50A"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Giấy chứng nhận lưu hành/ Phiếu tiếp nhận hồ sơ công bố tiêu chuẩn / Giấy phép nhập khẩu còn hiệu lực phù hợp với hàng hóa được xác định là thiết bị y tế dự thầu theo quy định tại Nghị định 98/2021/NĐ-CP ngày 08/11/2021 và các quy định pháp luật hiện hành: </w:t>
      </w:r>
    </w:p>
    <w:p w14:paraId="70E24950"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Đối với thiết bị y tế loại A, B: Phiếu tiếp nhận hồ sơ công bố tiêu chuẩn (số lưu hành) của cơ quan có thẩm quyền và tài liệu chứng minh Số công bố tiêu chuẩn đã được công khai trên Hệ thống dịch vụ công trực tuyến về quản lý thiết bị y tế của Bộ Y tế. </w:t>
      </w:r>
    </w:p>
    <w:p w14:paraId="3423633F"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Đối với thiết bị y tế loại C, D: Giấy chứng nhận đăng ký lưu hành (số lưu hành) do Bộ Y tế cấp. </w:t>
      </w:r>
    </w:p>
    <w:p w14:paraId="4CA331FE"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Tài liệu chứng minh nhãn hàng hóa theo quy định hiện hành của pháp luật. </w:t>
      </w:r>
    </w:p>
    <w:p w14:paraId="2BC1A967"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Hướng dẫn sử dụng của thiết bị y tế bằng tiếng Việt. </w:t>
      </w:r>
    </w:p>
    <w:p w14:paraId="3F8C9CE0"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Thông tin về cơ sở bảo hành, điều kiện và thời gian bảo hành, trừ trường hợp thiết bị y tế sử dụng một lần theo quy định của chủ sở hữu thiết bị y tế hoặc có tài liệu chứng minh không có chế độ bảo hành. </w:t>
      </w:r>
    </w:p>
    <w:p w14:paraId="106B09A8"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Giấy phép nhập khẩu đối với hàng hóa là thiết bị y tế phải đăng ký nhập khẩu theo quy định tại Thông tư số 05/2022/TT-BYT ngày 01/8/2022.</w:t>
      </w:r>
    </w:p>
    <w:p w14:paraId="755E220F"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Tài liệu chứng minh đã thực hiện kê khai giá theo quy định tại Thông tư số 29/2024/TT-BYT ngày 03/11/2024 của Bộ Y tế quy định đặc điểm kinh tế - </w:t>
      </w:r>
      <w:r w:rsidRPr="0073067C">
        <w:rPr>
          <w:color w:val="000000" w:themeColor="text1"/>
          <w:spacing w:val="3"/>
          <w:sz w:val="28"/>
          <w:szCs w:val="28"/>
          <w:lang w:eastAsia="vi-VN"/>
        </w:rPr>
        <w:lastRenderedPageBreak/>
        <w:t xml:space="preserve">kỹ thuật của thiết bị y tế thực hiện kê khai giá (áp dụng đối với trường hợp thiết bị y tế thuộc danh mục phải thực hiện kê khai giá). </w:t>
      </w:r>
    </w:p>
    <w:p w14:paraId="374D83D9" w14:textId="77777777" w:rsidR="00091DDB" w:rsidRPr="0073067C" w:rsidRDefault="00091DDB" w:rsidP="00091DDB">
      <w:pPr>
        <w:shd w:val="clear" w:color="auto" w:fill="FFFFFF"/>
        <w:spacing w:after="60"/>
        <w:ind w:firstLine="709"/>
        <w:jc w:val="both"/>
        <w:rPr>
          <w:b/>
          <w:bCs/>
          <w:color w:val="000000" w:themeColor="text1"/>
          <w:spacing w:val="3"/>
          <w:sz w:val="28"/>
          <w:szCs w:val="28"/>
          <w:lang w:eastAsia="vi-VN"/>
        </w:rPr>
      </w:pPr>
      <w:r w:rsidRPr="0073067C">
        <w:rPr>
          <w:b/>
          <w:bCs/>
          <w:color w:val="000000" w:themeColor="text1"/>
          <w:spacing w:val="3"/>
          <w:sz w:val="28"/>
          <w:szCs w:val="28"/>
          <w:lang w:eastAsia="vi-VN"/>
        </w:rPr>
        <w:t xml:space="preserve">- Nhà thầu lưu ý: </w:t>
      </w:r>
    </w:p>
    <w:p w14:paraId="33C7F2FA" w14:textId="77777777" w:rsidR="00091DDB" w:rsidRPr="0073067C" w:rsidRDefault="00091DDB" w:rsidP="00091DDB">
      <w:pPr>
        <w:shd w:val="clear" w:color="auto" w:fill="FFFFFF"/>
        <w:spacing w:after="60"/>
        <w:ind w:firstLine="720"/>
        <w:jc w:val="both"/>
        <w:rPr>
          <w:i/>
          <w:iCs/>
          <w:color w:val="000000" w:themeColor="text1"/>
          <w:spacing w:val="3"/>
          <w:sz w:val="28"/>
          <w:szCs w:val="28"/>
          <w:lang w:eastAsia="vi-VN"/>
        </w:rPr>
      </w:pPr>
      <w:r w:rsidRPr="0073067C">
        <w:rPr>
          <w:i/>
          <w:iCs/>
          <w:color w:val="000000" w:themeColor="text1"/>
          <w:spacing w:val="3"/>
          <w:sz w:val="28"/>
          <w:szCs w:val="28"/>
          <w:lang w:eastAsia="vi-VN"/>
        </w:rPr>
        <w:t xml:space="preserve">+ Đối với trường hợp giấy phép lưu hành/ giấy phép nhập khẩu/ hết hiệu lực trước thời điểm đóng thầu, nhà thầu có văn bản cam kết đảm bảo đủ số lượng cung ứng theo số lượng yêu cầu tại E-HSMT và cung cấp tài liệu chứng minh (bổ sung thẻ kho/ tài liệu chứng minh hàng hóa đã được nhập khẩu vào Việt Nam trước thời điểm hết hiệu lực..). </w:t>
      </w:r>
    </w:p>
    <w:p w14:paraId="18C11DD1" w14:textId="77777777" w:rsidR="00091DDB" w:rsidRPr="0073067C" w:rsidRDefault="00091DDB" w:rsidP="00091DDB">
      <w:pPr>
        <w:shd w:val="clear" w:color="auto" w:fill="FFFFFF"/>
        <w:spacing w:after="60"/>
        <w:ind w:firstLine="720"/>
        <w:jc w:val="both"/>
        <w:rPr>
          <w:i/>
          <w:iCs/>
          <w:color w:val="000000" w:themeColor="text1"/>
          <w:spacing w:val="3"/>
          <w:sz w:val="28"/>
          <w:szCs w:val="28"/>
          <w:lang w:eastAsia="vi-VN"/>
        </w:rPr>
      </w:pPr>
      <w:r w:rsidRPr="0073067C">
        <w:rPr>
          <w:i/>
          <w:iCs/>
          <w:color w:val="000000" w:themeColor="text1"/>
          <w:spacing w:val="3"/>
          <w:sz w:val="28"/>
          <w:szCs w:val="28"/>
          <w:lang w:eastAsia="vi-VN"/>
        </w:rPr>
        <w:t xml:space="preserve">+ Đối với các tài liệu chứng minh sử dụng chữ ký số nhà thầu phải cung cấp tài liệu có thể kiểm tra tại website của Trung tâm Chứng thực điện tử quốc gia (NEAC) - Bộ Thông tin và Truyền thông (https://neac.gov.vn)  </w:t>
      </w:r>
    </w:p>
    <w:p w14:paraId="43A188DB" w14:textId="77777777" w:rsidR="00091DDB" w:rsidRPr="0073067C" w:rsidRDefault="00091DDB" w:rsidP="00091DDB">
      <w:pPr>
        <w:shd w:val="clear" w:color="auto" w:fill="FFFFFF"/>
        <w:spacing w:after="60"/>
        <w:ind w:firstLine="709"/>
        <w:jc w:val="both"/>
        <w:rPr>
          <w:color w:val="000000" w:themeColor="text1"/>
          <w:spacing w:val="3"/>
          <w:sz w:val="28"/>
          <w:szCs w:val="28"/>
          <w:lang w:eastAsia="vi-VN"/>
        </w:rPr>
      </w:pPr>
      <w:r w:rsidRPr="0073067C">
        <w:rPr>
          <w:color w:val="000000" w:themeColor="text1"/>
          <w:spacing w:val="3"/>
          <w:sz w:val="28"/>
          <w:szCs w:val="28"/>
          <w:lang w:eastAsia="vi-VN"/>
        </w:rPr>
        <w:t xml:space="preserve">- Yêu cầu khi cung cấp tài liệu chứng minh sự phù hợp của hàng hóa: </w:t>
      </w:r>
    </w:p>
    <w:p w14:paraId="270C20A9" w14:textId="77777777" w:rsidR="00091DDB" w:rsidRPr="0073067C" w:rsidRDefault="00091DDB" w:rsidP="00091DDB">
      <w:pPr>
        <w:shd w:val="clear" w:color="auto" w:fill="FFFFFF"/>
        <w:spacing w:after="60"/>
        <w:ind w:firstLine="720"/>
        <w:jc w:val="both"/>
        <w:rPr>
          <w:color w:val="000000" w:themeColor="text1"/>
          <w:spacing w:val="3"/>
          <w:sz w:val="28"/>
          <w:szCs w:val="28"/>
          <w:lang w:eastAsia="vi-VN"/>
        </w:rPr>
      </w:pPr>
      <w:r w:rsidRPr="0073067C">
        <w:rPr>
          <w:color w:val="000000" w:themeColor="text1"/>
          <w:spacing w:val="3"/>
          <w:sz w:val="28"/>
          <w:szCs w:val="28"/>
          <w:lang w:eastAsia="vi-VN"/>
        </w:rPr>
        <w:t xml:space="preserve">+ Các tài liệu được đánh dấu vào các nội dung được đề xuất và các thông số kỹ thuật và các tiêu chuẩn để chứng minh tính đáp ứng của hàng hóa, các tài liệu được phân loại thành từng file riêng và ghi tên file tương ứng với từng tài liệu, scan đính kèm E-HSDT. </w:t>
      </w:r>
    </w:p>
    <w:p w14:paraId="174DCAD7" w14:textId="77777777" w:rsidR="00091DDB" w:rsidRPr="0073067C" w:rsidRDefault="00091DDB" w:rsidP="00091DDB">
      <w:pPr>
        <w:shd w:val="clear" w:color="auto" w:fill="FFFFFF"/>
        <w:spacing w:after="60"/>
        <w:ind w:firstLine="720"/>
        <w:jc w:val="both"/>
        <w:rPr>
          <w:color w:val="000000" w:themeColor="text1"/>
          <w:spacing w:val="3"/>
          <w:sz w:val="28"/>
          <w:szCs w:val="28"/>
          <w:lang w:eastAsia="vi-VN"/>
        </w:rPr>
      </w:pPr>
      <w:r w:rsidRPr="0073067C">
        <w:rPr>
          <w:color w:val="000000" w:themeColor="text1"/>
          <w:spacing w:val="3"/>
          <w:sz w:val="28"/>
          <w:szCs w:val="28"/>
          <w:lang w:eastAsia="vi-VN"/>
        </w:rPr>
        <w:t xml:space="preserve">+ Tất cả các tài liệu chứng minh sự phù hợp của hàng hóa nếu sử dụng bằng tiếng nước ngoài phải kèm theo bản dịch tiếng Việt. Nhà thầu phải chịu trách nhiệm về tính chính xác của nội dung bản dịch so với bản gốc và tính pháp lý của các tài liệu này. Trường hợp nội dung không thống nhất giữa tài liệu gốc bằng tiếng nước ngoài và bản dịch sang tiếng Việt thì tài liệu gốc bằng tiếng nước ngoài sẽ là căn cứ đánh giá. </w:t>
      </w:r>
    </w:p>
    <w:p w14:paraId="1E6B4C9C" w14:textId="77777777" w:rsidR="00091DDB" w:rsidRPr="0073067C" w:rsidRDefault="00091DDB" w:rsidP="00091DDB">
      <w:pPr>
        <w:shd w:val="clear" w:color="auto" w:fill="FFFFFF"/>
        <w:spacing w:after="60"/>
        <w:ind w:firstLine="720"/>
        <w:jc w:val="both"/>
        <w:rPr>
          <w:color w:val="000000" w:themeColor="text1"/>
          <w:spacing w:val="3"/>
          <w:sz w:val="28"/>
          <w:szCs w:val="28"/>
          <w:lang w:eastAsia="vi-VN"/>
        </w:rPr>
      </w:pPr>
      <w:r w:rsidRPr="0073067C">
        <w:rPr>
          <w:color w:val="000000" w:themeColor="text1"/>
          <w:spacing w:val="3"/>
          <w:sz w:val="28"/>
          <w:szCs w:val="28"/>
          <w:lang w:eastAsia="vi-VN"/>
        </w:rPr>
        <w:t>+ Nhà thầu phải tự rà soát thông số, đặc tính kỹ thuật của hàng hóa nhà thầu đề xuất và chịu trách nhiệm về tính trung thực, chính xác của các thông tin, thông số kỹ thuật và các tiêu chuẩn do nhà thầu cung cấp trong E-HSDT bao gồm cả tài liệu do nhà phân phối/ nhà nhập khẩu cung cấp cho nhà thầu như sau:</w:t>
      </w:r>
    </w:p>
    <w:p w14:paraId="1566C07C" w14:textId="77777777" w:rsidR="00091DDB" w:rsidRPr="0073067C" w:rsidRDefault="00091DDB" w:rsidP="00091DDB">
      <w:pPr>
        <w:shd w:val="clear" w:color="auto" w:fill="FFFFFF"/>
        <w:ind w:firstLine="720"/>
        <w:jc w:val="both"/>
        <w:rPr>
          <w:color w:val="000000" w:themeColor="text1"/>
          <w:spacing w:val="3"/>
          <w:sz w:val="28"/>
          <w:szCs w:val="28"/>
          <w:lang w:eastAsia="vi-VN"/>
        </w:rPr>
      </w:pPr>
      <w:r w:rsidRPr="0073067C">
        <w:rPr>
          <w:color w:val="000000" w:themeColor="text1"/>
          <w:spacing w:val="3"/>
          <w:sz w:val="28"/>
          <w:szCs w:val="28"/>
          <w:lang w:eastAsia="vi-VN"/>
        </w:rPr>
        <w:t xml:space="preserve">++ Trường hợp nhà thầu không cung cấp catalog hoặc các tài liệu kỹ thuật tương đương để chứng minh thông số kỹ thuật của hàng hóa chào thầu hoặc nếu phát hiện thông số tại tài liệu nhà thầu cung cấp có sự khác biệt so với thông tin tại website do nhà sản xuất/chủ sở hữu công bố, Chủ đầu tư có thể yêu cầu nhà thầu làm rõ, cung cấp xác nhận của hãng sản xuất/ chủ sở hữu (có hợp pháp hoá lãnh sự trong trường hợp hãng sản xuất/ chủ sở hữu ở nước ngoài) hoặc tiến hành xác minh. </w:t>
      </w:r>
    </w:p>
    <w:p w14:paraId="21F31749" w14:textId="77777777" w:rsidR="00091DDB" w:rsidRPr="0073067C" w:rsidRDefault="00091DDB" w:rsidP="00091DDB">
      <w:pPr>
        <w:shd w:val="clear" w:color="auto" w:fill="FFFFFF"/>
        <w:ind w:firstLine="720"/>
        <w:jc w:val="both"/>
        <w:rPr>
          <w:color w:val="000000" w:themeColor="text1"/>
          <w:spacing w:val="3"/>
          <w:sz w:val="28"/>
          <w:szCs w:val="28"/>
          <w:lang w:eastAsia="vi-VN"/>
        </w:rPr>
      </w:pPr>
      <w:r w:rsidRPr="0073067C">
        <w:rPr>
          <w:color w:val="000000" w:themeColor="text1"/>
          <w:spacing w:val="3"/>
          <w:sz w:val="28"/>
          <w:szCs w:val="28"/>
          <w:lang w:eastAsia="vi-VN"/>
        </w:rPr>
        <w:t xml:space="preserve">++ Trường hợp Chủ đầu tư phát hiện tài liệu cung cấp trong E-HSDT không phải là tài liệu nguyên vẹn, tài liệu có dấu hiệu được cắt ghép, chỉnh sửa và có các thông tin về thông số kỹ thuật và các tiêu chuẩn khác biệt với thông tin trong các tài liệu lưu hành của sản phẩm đã được công bố công khai theo quy định trước thời điểm đóng thầu/ hoặc đồng thời khác biệt với thông tin tại website do nhà sản xuất/chủ sở hữu công bố nhằm mục đích đạt tiêu chuẩn quy định của E-HSMT mà không có văn bản giải trình về sự khác biệt đó trong E-HSDT thì E-HSDT của nhà thầu sẽ bị loại và nhà thầu bị kết luận gian lận theo quy định tại khoản 4 Điều 16 của Luật Đấu thầu ngày 23 tháng 6 năm 2023 và sẽ bị xử lý vi phạm theo quy định tại điểm a khoản 1 Điều 133 của Nghị định số </w:t>
      </w:r>
      <w:r w:rsidRPr="0073067C">
        <w:rPr>
          <w:color w:val="000000" w:themeColor="text1"/>
          <w:spacing w:val="3"/>
          <w:sz w:val="28"/>
          <w:szCs w:val="28"/>
          <w:lang w:eastAsia="vi-VN"/>
        </w:rPr>
        <w:lastRenderedPageBreak/>
        <w:t>214/2025/NĐ-CP ngày 04 tháng 08 năm 2025 của Chính phủ quy định chi tiết một số điều và biện pháp thi hành Luật Đấu thầu về lựa chọn nhà thầu, là căn cứ để Bệnh viện Hữu nghị Việt Tiệp đề nghị cấm tham gia hoạt động đấu thầu đối với các gói thầu của Bệnh viện Hữu nghị Việt Tiệp là Chủ đầu tư, tạo cảnh báo trên Hệ thống mạng đấu thầu quốc gia hoặc chuyển cơ quan chức năng theo quy định.</w:t>
      </w:r>
    </w:p>
    <w:p w14:paraId="7970C684" w14:textId="77603F1A" w:rsidR="00210E78" w:rsidRPr="0073067C" w:rsidRDefault="009253DD" w:rsidP="009253DD">
      <w:pPr>
        <w:tabs>
          <w:tab w:val="right" w:pos="426"/>
        </w:tabs>
        <w:spacing w:line="276" w:lineRule="auto"/>
        <w:ind w:firstLine="851"/>
        <w:contextualSpacing/>
        <w:jc w:val="both"/>
        <w:rPr>
          <w:sz w:val="28"/>
          <w:szCs w:val="28"/>
          <w:lang w:val="vi-VN"/>
        </w:rPr>
      </w:pPr>
      <w:r w:rsidRPr="0073067C">
        <w:rPr>
          <w:sz w:val="28"/>
          <w:szCs w:val="28"/>
        </w:rPr>
        <w:t xml:space="preserve">- </w:t>
      </w:r>
      <w:r w:rsidR="00210E78" w:rsidRPr="0073067C">
        <w:rPr>
          <w:sz w:val="28"/>
          <w:szCs w:val="28"/>
          <w:lang w:val="vi-VN"/>
        </w:rPr>
        <w:t xml:space="preserve">Hàng hóa phải được vận chuyển và bàn giao tại Kho - của bệnh viện </w:t>
      </w:r>
      <w:r w:rsidR="009907C6" w:rsidRPr="0073067C">
        <w:rPr>
          <w:sz w:val="28"/>
          <w:szCs w:val="28"/>
          <w:lang w:val="vi-VN"/>
        </w:rPr>
        <w:t>Bệnh viện Hữu nghị Việt Tiệp</w:t>
      </w:r>
      <w:r w:rsidR="00210E78" w:rsidRPr="0073067C">
        <w:rPr>
          <w:sz w:val="28"/>
          <w:szCs w:val="28"/>
          <w:lang w:val="vi-VN"/>
        </w:rPr>
        <w:t xml:space="preserve">, </w:t>
      </w:r>
      <w:r w:rsidR="009907C6" w:rsidRPr="0073067C">
        <w:rPr>
          <w:sz w:val="28"/>
          <w:szCs w:val="28"/>
          <w:lang w:val="vi-VN"/>
        </w:rPr>
        <w:t>Số 1 đường Nhà Thương, phường Lê Chân, thành phố Hải Phòng</w:t>
      </w:r>
      <w:r w:rsidR="00210E78" w:rsidRPr="0073067C">
        <w:rPr>
          <w:sz w:val="28"/>
          <w:szCs w:val="28"/>
          <w:lang w:val="vi-VN"/>
        </w:rPr>
        <w:t>.</w:t>
      </w:r>
    </w:p>
    <w:p w14:paraId="767CBF72" w14:textId="77777777" w:rsidR="00210E78" w:rsidRPr="0073067C" w:rsidRDefault="00210E78" w:rsidP="00210E78">
      <w:pPr>
        <w:widowControl w:val="0"/>
        <w:spacing w:before="120" w:after="120" w:line="264" w:lineRule="auto"/>
        <w:ind w:firstLine="709"/>
        <w:rPr>
          <w:b/>
          <w:bCs/>
          <w:iCs/>
          <w:spacing w:val="-2"/>
          <w:sz w:val="28"/>
          <w:szCs w:val="28"/>
          <w:lang w:val="nl-NL"/>
        </w:rPr>
      </w:pPr>
      <w:r w:rsidRPr="0073067C">
        <w:rPr>
          <w:b/>
          <w:bCs/>
          <w:iCs/>
          <w:spacing w:val="-2"/>
          <w:sz w:val="28"/>
          <w:szCs w:val="28"/>
          <w:lang w:val="nl-NL"/>
        </w:rPr>
        <w:t>2.2. Yêu cầu kỹ thuật cụ thể</w:t>
      </w:r>
    </w:p>
    <w:p w14:paraId="2AC95E3E" w14:textId="77777777" w:rsidR="00210E78" w:rsidRPr="0073067C" w:rsidRDefault="00210E78" w:rsidP="00210E78">
      <w:pPr>
        <w:widowControl w:val="0"/>
        <w:spacing w:before="120" w:after="120" w:line="264" w:lineRule="auto"/>
        <w:ind w:firstLine="709"/>
        <w:rPr>
          <w:iCs/>
          <w:spacing w:val="-2"/>
          <w:sz w:val="28"/>
          <w:szCs w:val="28"/>
          <w:lang w:val="nl-NL"/>
        </w:rPr>
      </w:pPr>
      <w:r w:rsidRPr="0073067C">
        <w:rPr>
          <w:iCs/>
          <w:spacing w:val="-2"/>
          <w:sz w:val="28"/>
          <w:szCs w:val="28"/>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w:t>
      </w:r>
    </w:p>
    <w:p w14:paraId="0A3144AC" w14:textId="77777777" w:rsidR="00210E78" w:rsidRPr="0073067C" w:rsidRDefault="00210E78" w:rsidP="00210E78">
      <w:pPr>
        <w:widowControl w:val="0"/>
        <w:spacing w:before="120" w:after="120" w:line="264" w:lineRule="auto"/>
        <w:ind w:firstLine="709"/>
        <w:rPr>
          <w:iCs/>
          <w:spacing w:val="-2"/>
          <w:sz w:val="28"/>
          <w:szCs w:val="28"/>
          <w:lang w:val="nl-NL"/>
        </w:rPr>
      </w:pPr>
      <w:r w:rsidRPr="0073067C">
        <w:rPr>
          <w:iCs/>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1F242D4A" w14:textId="77777777" w:rsidR="00210E78" w:rsidRPr="0073067C" w:rsidRDefault="00210E78" w:rsidP="00210E78">
      <w:pPr>
        <w:widowControl w:val="0"/>
        <w:spacing w:before="120" w:after="120" w:line="264" w:lineRule="auto"/>
        <w:ind w:firstLine="709"/>
        <w:rPr>
          <w:iCs/>
          <w:spacing w:val="-2"/>
          <w:sz w:val="28"/>
          <w:szCs w:val="28"/>
          <w:lang w:val="nl-NL"/>
        </w:rPr>
      </w:pPr>
      <w:r w:rsidRPr="0073067C">
        <w:rPr>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99"/>
        <w:gridCol w:w="4947"/>
        <w:gridCol w:w="1234"/>
        <w:gridCol w:w="982"/>
      </w:tblGrid>
      <w:tr w:rsidR="00210E78" w:rsidRPr="0073067C" w14:paraId="30C6BAE2" w14:textId="77777777" w:rsidTr="00726206">
        <w:trPr>
          <w:trHeight w:val="588"/>
        </w:trPr>
        <w:tc>
          <w:tcPr>
            <w:tcW w:w="353" w:type="pct"/>
            <w:vAlign w:val="center"/>
            <w:hideMark/>
          </w:tcPr>
          <w:p w14:paraId="49EA2934" w14:textId="77777777" w:rsidR="00210E78" w:rsidRPr="0073067C" w:rsidRDefault="00210E78" w:rsidP="002D6F45">
            <w:pPr>
              <w:shd w:val="clear" w:color="auto" w:fill="FFFFFF" w:themeFill="background1"/>
              <w:spacing w:line="256" w:lineRule="auto"/>
              <w:jc w:val="center"/>
              <w:rPr>
                <w:b/>
                <w:bCs/>
                <w:kern w:val="2"/>
                <w:sz w:val="26"/>
                <w:szCs w:val="26"/>
                <w14:ligatures w14:val="standardContextual"/>
              </w:rPr>
            </w:pPr>
            <w:r w:rsidRPr="0073067C">
              <w:rPr>
                <w:b/>
                <w:bCs/>
                <w:kern w:val="2"/>
                <w:sz w:val="26"/>
                <w:szCs w:val="26"/>
                <w14:ligatures w14:val="standardContextual"/>
              </w:rPr>
              <w:t>STT</w:t>
            </w:r>
          </w:p>
        </w:tc>
        <w:tc>
          <w:tcPr>
            <w:tcW w:w="892" w:type="pct"/>
            <w:vAlign w:val="center"/>
            <w:hideMark/>
          </w:tcPr>
          <w:p w14:paraId="373B8802" w14:textId="77777777" w:rsidR="00210E78" w:rsidRPr="0073067C" w:rsidRDefault="00210E78" w:rsidP="002D6F45">
            <w:pPr>
              <w:shd w:val="clear" w:color="auto" w:fill="FFFFFF" w:themeFill="background1"/>
              <w:spacing w:line="256" w:lineRule="auto"/>
              <w:jc w:val="center"/>
              <w:rPr>
                <w:b/>
                <w:bCs/>
                <w:kern w:val="2"/>
                <w:sz w:val="26"/>
                <w:szCs w:val="26"/>
                <w14:ligatures w14:val="standardContextual"/>
              </w:rPr>
            </w:pPr>
            <w:r w:rsidRPr="0073067C">
              <w:rPr>
                <w:b/>
                <w:bCs/>
                <w:kern w:val="2"/>
                <w:sz w:val="26"/>
                <w:szCs w:val="26"/>
                <w14:ligatures w14:val="standardContextual"/>
              </w:rPr>
              <w:t>Tên hàng hóa</w:t>
            </w:r>
          </w:p>
        </w:tc>
        <w:tc>
          <w:tcPr>
            <w:tcW w:w="2589" w:type="pct"/>
            <w:vAlign w:val="center"/>
            <w:hideMark/>
          </w:tcPr>
          <w:p w14:paraId="01DD7F96" w14:textId="77777777" w:rsidR="00210E78" w:rsidRPr="0073067C" w:rsidRDefault="00210E78" w:rsidP="002D6F45">
            <w:pPr>
              <w:shd w:val="clear" w:color="auto" w:fill="FFFFFF" w:themeFill="background1"/>
              <w:spacing w:line="256" w:lineRule="auto"/>
              <w:jc w:val="center"/>
              <w:rPr>
                <w:b/>
                <w:bCs/>
                <w:kern w:val="2"/>
                <w:sz w:val="26"/>
                <w:szCs w:val="26"/>
                <w14:ligatures w14:val="standardContextual"/>
              </w:rPr>
            </w:pPr>
            <w:r w:rsidRPr="0073067C">
              <w:rPr>
                <w:b/>
                <w:bCs/>
                <w:kern w:val="2"/>
                <w:sz w:val="26"/>
                <w:szCs w:val="26"/>
                <w14:ligatures w14:val="standardContextual"/>
              </w:rPr>
              <w:t>Thông số kỹ thuật</w:t>
            </w:r>
          </w:p>
        </w:tc>
        <w:tc>
          <w:tcPr>
            <w:tcW w:w="649" w:type="pct"/>
            <w:vAlign w:val="center"/>
            <w:hideMark/>
          </w:tcPr>
          <w:p w14:paraId="29743C37" w14:textId="77777777" w:rsidR="00210E78" w:rsidRPr="0073067C" w:rsidRDefault="00210E78" w:rsidP="002D6F45">
            <w:pPr>
              <w:shd w:val="clear" w:color="auto" w:fill="FFFFFF" w:themeFill="background1"/>
              <w:spacing w:line="256" w:lineRule="auto"/>
              <w:jc w:val="center"/>
              <w:rPr>
                <w:b/>
                <w:bCs/>
                <w:kern w:val="2"/>
                <w:sz w:val="26"/>
                <w:szCs w:val="26"/>
                <w14:ligatures w14:val="standardContextual"/>
              </w:rPr>
            </w:pPr>
            <w:r w:rsidRPr="0073067C">
              <w:rPr>
                <w:b/>
                <w:bCs/>
                <w:kern w:val="2"/>
                <w:sz w:val="26"/>
                <w:szCs w:val="26"/>
                <w14:ligatures w14:val="standardContextual"/>
              </w:rPr>
              <w:t>ĐVT</w:t>
            </w:r>
          </w:p>
        </w:tc>
        <w:tc>
          <w:tcPr>
            <w:tcW w:w="517" w:type="pct"/>
            <w:vAlign w:val="center"/>
            <w:hideMark/>
          </w:tcPr>
          <w:p w14:paraId="6B36CF97" w14:textId="77777777" w:rsidR="00210E78" w:rsidRPr="0073067C" w:rsidRDefault="00210E78" w:rsidP="002D6F45">
            <w:pPr>
              <w:shd w:val="clear" w:color="auto" w:fill="FFFFFF" w:themeFill="background1"/>
              <w:spacing w:line="256" w:lineRule="auto"/>
              <w:jc w:val="center"/>
              <w:rPr>
                <w:b/>
                <w:bCs/>
                <w:kern w:val="2"/>
                <w:sz w:val="26"/>
                <w:szCs w:val="26"/>
                <w14:ligatures w14:val="standardContextual"/>
              </w:rPr>
            </w:pPr>
            <w:r w:rsidRPr="0073067C">
              <w:rPr>
                <w:b/>
                <w:bCs/>
                <w:kern w:val="2"/>
                <w:sz w:val="26"/>
                <w:szCs w:val="26"/>
                <w14:ligatures w14:val="standardContextual"/>
              </w:rPr>
              <w:t xml:space="preserve">Số lượng </w:t>
            </w:r>
          </w:p>
        </w:tc>
      </w:tr>
      <w:tr w:rsidR="00726206" w:rsidRPr="0073067C" w14:paraId="587EFCB8" w14:textId="77777777" w:rsidTr="00726206">
        <w:trPr>
          <w:trHeight w:val="631"/>
        </w:trPr>
        <w:tc>
          <w:tcPr>
            <w:tcW w:w="353" w:type="pct"/>
            <w:noWrap/>
            <w:vAlign w:val="center"/>
            <w:hideMark/>
          </w:tcPr>
          <w:p w14:paraId="52FC40A6" w14:textId="77777777"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kern w:val="2"/>
                <w:sz w:val="26"/>
                <w:szCs w:val="26"/>
                <w14:ligatures w14:val="standardContextual"/>
              </w:rPr>
              <w:t>1</w:t>
            </w:r>
          </w:p>
        </w:tc>
        <w:tc>
          <w:tcPr>
            <w:tcW w:w="892" w:type="pct"/>
            <w:vAlign w:val="center"/>
            <w:hideMark/>
          </w:tcPr>
          <w:p w14:paraId="32490443" w14:textId="54D7C360" w:rsidR="00726206" w:rsidRPr="0073067C" w:rsidRDefault="001A23AD" w:rsidP="00726206">
            <w:pPr>
              <w:shd w:val="clear" w:color="auto" w:fill="FFFFFF" w:themeFill="background1"/>
              <w:spacing w:line="256" w:lineRule="auto"/>
              <w:jc w:val="both"/>
              <w:rPr>
                <w:kern w:val="2"/>
                <w:sz w:val="26"/>
                <w:szCs w:val="26"/>
                <w14:ligatures w14:val="standardContextual"/>
              </w:rPr>
            </w:pPr>
            <w:r w:rsidRPr="001A23AD">
              <w:rPr>
                <w:sz w:val="26"/>
                <w:szCs w:val="26"/>
              </w:rPr>
              <w:t>Thuốc thử chẩn đoán giang mai bằng phương pháp ngưng kết</w:t>
            </w:r>
          </w:p>
        </w:tc>
        <w:tc>
          <w:tcPr>
            <w:tcW w:w="2589" w:type="pct"/>
            <w:vAlign w:val="center"/>
            <w:hideMark/>
          </w:tcPr>
          <w:p w14:paraId="36353DA8" w14:textId="52FD9CA2" w:rsidR="00726206" w:rsidRPr="0073067C" w:rsidRDefault="00726206" w:rsidP="00ED140A">
            <w:pPr>
              <w:shd w:val="clear" w:color="auto" w:fill="FFFFFF" w:themeFill="background1"/>
              <w:spacing w:line="256" w:lineRule="auto"/>
              <w:jc w:val="both"/>
              <w:rPr>
                <w:kern w:val="2"/>
                <w:sz w:val="26"/>
                <w:szCs w:val="26"/>
                <w14:ligatures w14:val="standardContextual"/>
              </w:rPr>
            </w:pPr>
            <w:r w:rsidRPr="0073067C">
              <w:rPr>
                <w:sz w:val="26"/>
                <w:szCs w:val="26"/>
              </w:rPr>
              <w:t>Xét nghiệm ngưng kết hạt gelatin để phát hiện các kháng thể kháng Treponema Pallidum trong huyết thanh hoặc huyết tương ng</w:t>
            </w:r>
            <w:r w:rsidR="005F607C" w:rsidRPr="0073067C">
              <w:rPr>
                <w:sz w:val="26"/>
                <w:szCs w:val="26"/>
              </w:rPr>
              <w:t>ư</w:t>
            </w:r>
            <w:r w:rsidRPr="0073067C">
              <w:rPr>
                <w:sz w:val="26"/>
                <w:szCs w:val="26"/>
              </w:rPr>
              <w:t>ời. Độ nhạy 100%, độ đặc hiệu 100%</w:t>
            </w:r>
          </w:p>
        </w:tc>
        <w:tc>
          <w:tcPr>
            <w:tcW w:w="649" w:type="pct"/>
            <w:vAlign w:val="center"/>
            <w:hideMark/>
          </w:tcPr>
          <w:p w14:paraId="338B1C2A" w14:textId="349ABEC7"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sz w:val="26"/>
                <w:szCs w:val="26"/>
              </w:rPr>
              <w:t>Test</w:t>
            </w:r>
          </w:p>
        </w:tc>
        <w:tc>
          <w:tcPr>
            <w:tcW w:w="517" w:type="pct"/>
            <w:vAlign w:val="center"/>
            <w:hideMark/>
          </w:tcPr>
          <w:p w14:paraId="7AC451B1" w14:textId="76DE63C5"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sz w:val="26"/>
                <w:szCs w:val="26"/>
              </w:rPr>
              <w:t>7.400</w:t>
            </w:r>
          </w:p>
        </w:tc>
      </w:tr>
      <w:tr w:rsidR="00726206" w:rsidRPr="0073067C" w14:paraId="77DB78BA" w14:textId="77777777" w:rsidTr="00726206">
        <w:trPr>
          <w:trHeight w:val="1151"/>
        </w:trPr>
        <w:tc>
          <w:tcPr>
            <w:tcW w:w="353" w:type="pct"/>
            <w:noWrap/>
            <w:vAlign w:val="center"/>
            <w:hideMark/>
          </w:tcPr>
          <w:p w14:paraId="1AB1FDC8" w14:textId="77777777"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kern w:val="2"/>
                <w:sz w:val="26"/>
                <w:szCs w:val="26"/>
                <w14:ligatures w14:val="standardContextual"/>
              </w:rPr>
              <w:t>2</w:t>
            </w:r>
          </w:p>
        </w:tc>
        <w:tc>
          <w:tcPr>
            <w:tcW w:w="892" w:type="pct"/>
            <w:vAlign w:val="center"/>
            <w:hideMark/>
          </w:tcPr>
          <w:p w14:paraId="39619A74" w14:textId="1EDC25D0" w:rsidR="00726206" w:rsidRPr="0073067C" w:rsidRDefault="00726206" w:rsidP="00726206">
            <w:pPr>
              <w:shd w:val="clear" w:color="auto" w:fill="FFFFFF" w:themeFill="background1"/>
              <w:spacing w:line="256" w:lineRule="auto"/>
              <w:jc w:val="both"/>
              <w:rPr>
                <w:kern w:val="2"/>
                <w:sz w:val="26"/>
                <w:szCs w:val="26"/>
                <w14:ligatures w14:val="standardContextual"/>
              </w:rPr>
            </w:pPr>
            <w:r w:rsidRPr="0073067C">
              <w:rPr>
                <w:sz w:val="26"/>
                <w:szCs w:val="26"/>
              </w:rPr>
              <w:t>Test thử xét nghiệm kháng thể kháng liên cầu O (ASO)</w:t>
            </w:r>
          </w:p>
        </w:tc>
        <w:tc>
          <w:tcPr>
            <w:tcW w:w="2589" w:type="pct"/>
            <w:vAlign w:val="center"/>
            <w:hideMark/>
          </w:tcPr>
          <w:p w14:paraId="706F21D7" w14:textId="0A654150" w:rsidR="00726206" w:rsidRPr="0073067C" w:rsidRDefault="00726206" w:rsidP="00ED140A">
            <w:pPr>
              <w:shd w:val="clear" w:color="auto" w:fill="FFFFFF" w:themeFill="background1"/>
              <w:spacing w:line="256" w:lineRule="auto"/>
              <w:jc w:val="both"/>
              <w:rPr>
                <w:kern w:val="2"/>
                <w:sz w:val="26"/>
                <w:szCs w:val="26"/>
                <w14:ligatures w14:val="standardContextual"/>
              </w:rPr>
            </w:pPr>
            <w:r w:rsidRPr="0073067C">
              <w:rPr>
                <w:sz w:val="26"/>
                <w:szCs w:val="26"/>
              </w:rPr>
              <w:t>- Mẫu bệnh phẩm: huyết thanh không pha loãng</w:t>
            </w:r>
            <w:r w:rsidRPr="0073067C">
              <w:rPr>
                <w:sz w:val="26"/>
                <w:szCs w:val="26"/>
              </w:rPr>
              <w:br/>
              <w:t>- Xét nghiệm phiến ngưng kết latex nhanh để xác định định tính và bán định lượng in- vitro của các AntiStreptolysinO</w:t>
            </w:r>
            <w:r w:rsidRPr="0073067C">
              <w:rPr>
                <w:sz w:val="26"/>
                <w:szCs w:val="26"/>
              </w:rPr>
              <w:br/>
              <w:t xml:space="preserve">Tiêu chuẩn chất lượng: ISO 13485 hoặc tương đương </w:t>
            </w:r>
          </w:p>
        </w:tc>
        <w:tc>
          <w:tcPr>
            <w:tcW w:w="649" w:type="pct"/>
            <w:vAlign w:val="center"/>
            <w:hideMark/>
          </w:tcPr>
          <w:p w14:paraId="72721CCE" w14:textId="1AC60C36"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sz w:val="26"/>
                <w:szCs w:val="26"/>
              </w:rPr>
              <w:t>Test</w:t>
            </w:r>
          </w:p>
        </w:tc>
        <w:tc>
          <w:tcPr>
            <w:tcW w:w="517" w:type="pct"/>
            <w:vAlign w:val="center"/>
            <w:hideMark/>
          </w:tcPr>
          <w:p w14:paraId="1EC7F3AA" w14:textId="6F1617FF"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sz w:val="26"/>
                <w:szCs w:val="26"/>
              </w:rPr>
              <w:t>3.600</w:t>
            </w:r>
          </w:p>
        </w:tc>
      </w:tr>
      <w:tr w:rsidR="00726206" w:rsidRPr="0073067C" w14:paraId="47FCDA1C" w14:textId="77777777" w:rsidTr="00726206">
        <w:trPr>
          <w:trHeight w:val="962"/>
        </w:trPr>
        <w:tc>
          <w:tcPr>
            <w:tcW w:w="353" w:type="pct"/>
            <w:noWrap/>
            <w:vAlign w:val="center"/>
            <w:hideMark/>
          </w:tcPr>
          <w:p w14:paraId="39B36BB6" w14:textId="77777777"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kern w:val="2"/>
                <w:sz w:val="26"/>
                <w:szCs w:val="26"/>
                <w14:ligatures w14:val="standardContextual"/>
              </w:rPr>
              <w:t>3</w:t>
            </w:r>
          </w:p>
        </w:tc>
        <w:tc>
          <w:tcPr>
            <w:tcW w:w="892" w:type="pct"/>
            <w:vAlign w:val="center"/>
            <w:hideMark/>
          </w:tcPr>
          <w:p w14:paraId="3337ED93" w14:textId="59E0A5B3" w:rsidR="00726206" w:rsidRPr="0073067C" w:rsidRDefault="00726206" w:rsidP="00726206">
            <w:pPr>
              <w:shd w:val="clear" w:color="auto" w:fill="FFFFFF" w:themeFill="background1"/>
              <w:spacing w:line="256" w:lineRule="auto"/>
              <w:jc w:val="both"/>
              <w:rPr>
                <w:kern w:val="2"/>
                <w:sz w:val="26"/>
                <w:szCs w:val="26"/>
                <w14:ligatures w14:val="standardContextual"/>
              </w:rPr>
            </w:pPr>
            <w:r w:rsidRPr="0073067C">
              <w:rPr>
                <w:sz w:val="26"/>
                <w:szCs w:val="26"/>
              </w:rPr>
              <w:t>Test thử xét nghiệm định tính kháng thể kháng HIV</w:t>
            </w:r>
          </w:p>
        </w:tc>
        <w:tc>
          <w:tcPr>
            <w:tcW w:w="2589" w:type="pct"/>
            <w:vAlign w:val="center"/>
            <w:hideMark/>
          </w:tcPr>
          <w:p w14:paraId="03A1ECAF" w14:textId="056907CF" w:rsidR="00726206" w:rsidRPr="0073067C" w:rsidRDefault="00726206" w:rsidP="00726206">
            <w:pPr>
              <w:shd w:val="clear" w:color="auto" w:fill="FFFFFF" w:themeFill="background1"/>
              <w:spacing w:line="256" w:lineRule="auto"/>
              <w:jc w:val="both"/>
              <w:rPr>
                <w:kern w:val="2"/>
                <w:sz w:val="26"/>
                <w:szCs w:val="26"/>
                <w14:ligatures w14:val="standardContextual"/>
              </w:rPr>
            </w:pPr>
            <w:r w:rsidRPr="0073067C">
              <w:rPr>
                <w:sz w:val="26"/>
                <w:szCs w:val="26"/>
              </w:rPr>
              <w:t xml:space="preserve"> Phát hiện tất cả các type kháng thể (IgG, IgM, IgA) đặc hiệu với virus HIV-1 gồm type phụ O và HIV-2 và phân biệt trong mẫu huyết thanh, huyết tương và máu toàn phần.  </w:t>
            </w:r>
            <w:r w:rsidRPr="0073067C">
              <w:rPr>
                <w:sz w:val="26"/>
                <w:szCs w:val="26"/>
              </w:rPr>
              <w:br/>
              <w:t>- Nhạy với IgM trong giai đoạn nhiễm bệnh sớm</w:t>
            </w:r>
            <w:r w:rsidRPr="0073067C">
              <w:rPr>
                <w:sz w:val="26"/>
                <w:szCs w:val="26"/>
              </w:rPr>
              <w:br/>
            </w:r>
            <w:r w:rsidRPr="0073067C">
              <w:rPr>
                <w:sz w:val="26"/>
                <w:szCs w:val="26"/>
              </w:rPr>
              <w:lastRenderedPageBreak/>
              <w:t xml:space="preserve">- Độ nhạy: 100%; Độ đặc hiệu tối thiểu 99.8%. </w:t>
            </w:r>
            <w:r w:rsidRPr="0073067C">
              <w:rPr>
                <w:sz w:val="26"/>
                <w:szCs w:val="26"/>
              </w:rPr>
              <w:br/>
              <w:t>- 1 test thử bao gồm: Phức hợp vàng: Kháng nguyên HIV-1 gp41, p24, HIV-2 gp36 tái tổ hợp – chất keo vàng; Vạch thử 1: Kháng nguyên HIV -1 tái tổ hợp (gp41, p24); Vạch thử 2: Kháng nguyên HIV -2 tái tổ hợp (gp36); Vạch chứng: Huyết thanh dê có kháng thể HIV.</w:t>
            </w:r>
            <w:r w:rsidRPr="0073067C">
              <w:rPr>
                <w:sz w:val="26"/>
                <w:szCs w:val="26"/>
              </w:rPr>
              <w:br/>
              <w:t>- Thời gian trả kết quả: 10 – 20 phút</w:t>
            </w:r>
            <w:r w:rsidRPr="0073067C">
              <w:rPr>
                <w:sz w:val="26"/>
                <w:szCs w:val="26"/>
              </w:rPr>
              <w:br/>
              <w:t>- Mẫu sử dụng: huyết thanh/huyết tương; máu toàn phần</w:t>
            </w:r>
            <w:r w:rsidRPr="0073067C">
              <w:rPr>
                <w:sz w:val="26"/>
                <w:szCs w:val="26"/>
              </w:rPr>
              <w:br/>
              <w:t>- Không có phản ứng chéo với các mẫu thẩm tách máu, mẫu rối loạn đông máu, mẫu dương tính với kháng thể kháng HCV và mẫu máu phụ nữ mang thai.</w:t>
            </w:r>
            <w:r w:rsidRPr="0073067C">
              <w:rPr>
                <w:sz w:val="26"/>
                <w:szCs w:val="26"/>
              </w:rPr>
              <w:br/>
              <w:t>- Sinh phẩm phải được Viện vệ sinh dịch tễ Trung ương khuyến cáo về phương cách xét nghiệm chẩn đoán HIV quốc gia bổ sung năm 2020 theo Văn bản số 858/VSDTTƯ-HIV ngày 25/06/2020 của Viện vệ sinh dịch tễ Trung ương.</w:t>
            </w:r>
          </w:p>
        </w:tc>
        <w:tc>
          <w:tcPr>
            <w:tcW w:w="649" w:type="pct"/>
            <w:vAlign w:val="center"/>
            <w:hideMark/>
          </w:tcPr>
          <w:p w14:paraId="7601A59A" w14:textId="388BB059"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sz w:val="26"/>
                <w:szCs w:val="26"/>
              </w:rPr>
              <w:lastRenderedPageBreak/>
              <w:t>Khay</w:t>
            </w:r>
          </w:p>
        </w:tc>
        <w:tc>
          <w:tcPr>
            <w:tcW w:w="517" w:type="pct"/>
            <w:vAlign w:val="center"/>
            <w:hideMark/>
          </w:tcPr>
          <w:p w14:paraId="383AEF58" w14:textId="100D3E7F" w:rsidR="00726206" w:rsidRPr="0073067C" w:rsidRDefault="00726206" w:rsidP="00726206">
            <w:pPr>
              <w:shd w:val="clear" w:color="auto" w:fill="FFFFFF" w:themeFill="background1"/>
              <w:spacing w:line="256" w:lineRule="auto"/>
              <w:jc w:val="center"/>
              <w:rPr>
                <w:kern w:val="2"/>
                <w:sz w:val="26"/>
                <w:szCs w:val="26"/>
                <w14:ligatures w14:val="standardContextual"/>
              </w:rPr>
            </w:pPr>
            <w:r w:rsidRPr="0073067C">
              <w:rPr>
                <w:sz w:val="26"/>
                <w:szCs w:val="26"/>
              </w:rPr>
              <w:t>40.680</w:t>
            </w:r>
          </w:p>
        </w:tc>
      </w:tr>
    </w:tbl>
    <w:p w14:paraId="32FBBA4E" w14:textId="77777777" w:rsidR="00210E78" w:rsidRPr="0073067C" w:rsidRDefault="00210E78" w:rsidP="00210E78"/>
    <w:p w14:paraId="7E2720AB" w14:textId="77777777" w:rsidR="00210E78" w:rsidRPr="0073067C" w:rsidRDefault="00210E78" w:rsidP="00210E78">
      <w:pPr>
        <w:spacing w:before="120" w:after="120" w:line="264" w:lineRule="auto"/>
        <w:ind w:firstLine="709"/>
        <w:rPr>
          <w:b/>
          <w:iCs/>
          <w:sz w:val="28"/>
          <w:szCs w:val="28"/>
          <w:lang w:val="nl-NL"/>
        </w:rPr>
      </w:pPr>
      <w:r w:rsidRPr="0073067C">
        <w:rPr>
          <w:b/>
          <w:iCs/>
          <w:sz w:val="28"/>
          <w:szCs w:val="28"/>
          <w:lang w:val="nl-NL"/>
        </w:rPr>
        <w:t>Ghi chú:</w:t>
      </w:r>
    </w:p>
    <w:p w14:paraId="3E1D3443" w14:textId="77777777" w:rsidR="00210E78" w:rsidRPr="0073067C" w:rsidRDefault="00210E78" w:rsidP="00210E78">
      <w:pPr>
        <w:spacing w:before="120" w:after="120" w:line="264" w:lineRule="auto"/>
        <w:ind w:firstLine="709"/>
        <w:rPr>
          <w:bCs/>
          <w:iCs/>
          <w:sz w:val="28"/>
          <w:szCs w:val="28"/>
          <w:lang w:val="nl-NL"/>
        </w:rPr>
        <w:sectPr w:rsidR="00210E78" w:rsidRPr="0073067C" w:rsidSect="00210E78">
          <w:footnotePr>
            <w:numRestart w:val="eachSect"/>
          </w:footnotePr>
          <w:pgSz w:w="11906" w:h="16838" w:code="9"/>
          <w:pgMar w:top="1134" w:right="1134" w:bottom="1134" w:left="1418" w:header="720" w:footer="720" w:gutter="0"/>
          <w:cols w:space="720"/>
          <w:docGrid w:linePitch="381"/>
        </w:sectPr>
      </w:pPr>
      <w:r w:rsidRPr="0073067C">
        <w:rPr>
          <w:bCs/>
          <w:iCs/>
          <w:sz w:val="28"/>
          <w:szCs w:val="28"/>
          <w:lang w:val="nl-NL"/>
        </w:rPr>
        <w:t>Nhà thầu dự thầu hàng hóa theo yêu cầu có đặc tính thông số kỹ thuật quy định hoặc tương đương hoặc tốt hơn so với E-HSMT (</w:t>
      </w:r>
      <w:r w:rsidRPr="0073067C">
        <w:rPr>
          <w:b/>
          <w:iCs/>
          <w:sz w:val="28"/>
          <w:szCs w:val="28"/>
          <w:lang w:val="nl-NL"/>
        </w:rPr>
        <w:t>tên và mã hiệu nếu có chỉ mang tính chất tham khảo</w:t>
      </w:r>
      <w:r w:rsidRPr="0073067C">
        <w:rPr>
          <w:bCs/>
          <w:iCs/>
          <w:sz w:val="28"/>
          <w:szCs w:val="28"/>
          <w:lang w:val="nl-NL"/>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p>
    <w:p w14:paraId="016AB6CD" w14:textId="77777777" w:rsidR="00210E78" w:rsidRPr="0073067C" w:rsidRDefault="00210E78" w:rsidP="00210E78">
      <w:pPr>
        <w:spacing w:before="120" w:after="120" w:line="264" w:lineRule="auto"/>
        <w:ind w:firstLine="709"/>
        <w:rPr>
          <w:b/>
          <w:iCs/>
          <w:sz w:val="28"/>
          <w:szCs w:val="28"/>
          <w:lang w:val="nl-NL"/>
        </w:rPr>
      </w:pPr>
      <w:r w:rsidRPr="0073067C">
        <w:rPr>
          <w:b/>
          <w:iCs/>
          <w:sz w:val="28"/>
          <w:szCs w:val="28"/>
          <w:lang w:val="nl-NL"/>
        </w:rPr>
        <w:lastRenderedPageBreak/>
        <w:t>2.3. Các yêu cầu khác</w:t>
      </w:r>
    </w:p>
    <w:p w14:paraId="75F37C62" w14:textId="77777777" w:rsidR="00210E78" w:rsidRPr="0073067C" w:rsidRDefault="00210E78" w:rsidP="00210E78">
      <w:pPr>
        <w:spacing w:after="160" w:line="259" w:lineRule="auto"/>
        <w:rPr>
          <w:b/>
          <w:bCs/>
          <w:sz w:val="26"/>
          <w:szCs w:val="26"/>
          <w:lang w:val="nl-NL"/>
        </w:rPr>
      </w:pPr>
      <w:r w:rsidRPr="0073067C">
        <w:rPr>
          <w:b/>
          <w:bCs/>
          <w:sz w:val="26"/>
          <w:szCs w:val="26"/>
          <w:lang w:val="nl-NL"/>
        </w:rPr>
        <w:t xml:space="preserve">Nhà thầu phải sử dụng biểu mẫu dự thầu về mặt kỹ thuật của hàng hóa theo mẫu sau: </w:t>
      </w:r>
      <w:r w:rsidRPr="0073067C">
        <w:rPr>
          <w:b/>
          <w:bCs/>
          <w:sz w:val="26"/>
          <w:szCs w:val="26"/>
          <w:highlight w:val="yellow"/>
          <w:lang w:val="nl-NL"/>
        </w:rPr>
        <w:t>Nhà thầu kê khai và đính kèm file excel</w:t>
      </w:r>
    </w:p>
    <w:p w14:paraId="18F7B85C" w14:textId="77777777" w:rsidR="00210E78" w:rsidRPr="0073067C" w:rsidRDefault="00210E78" w:rsidP="00210E78">
      <w:pPr>
        <w:tabs>
          <w:tab w:val="center" w:pos="7837"/>
          <w:tab w:val="left" w:pos="14565"/>
        </w:tabs>
        <w:ind w:firstLine="360"/>
        <w:jc w:val="center"/>
        <w:rPr>
          <w:b/>
          <w:bCs/>
          <w:sz w:val="26"/>
          <w:szCs w:val="26"/>
          <w:lang w:val="nl-NL"/>
        </w:rPr>
      </w:pPr>
      <w:r w:rsidRPr="0073067C">
        <w:rPr>
          <w:b/>
          <w:bCs/>
          <w:sz w:val="26"/>
          <w:szCs w:val="26"/>
          <w:lang w:val="nl-NL"/>
        </w:rPr>
        <w:t>BIỂU MẪU DỰ THẦU VỀ MẶT KỸ THUẬT</w:t>
      </w:r>
    </w:p>
    <w:p w14:paraId="72687111" w14:textId="77777777" w:rsidR="00210E78" w:rsidRPr="0073067C" w:rsidRDefault="00210E78" w:rsidP="00210E78">
      <w:pPr>
        <w:tabs>
          <w:tab w:val="right" w:pos="15314"/>
        </w:tabs>
        <w:ind w:firstLine="360"/>
        <w:rPr>
          <w:b/>
          <w:bCs/>
          <w:sz w:val="26"/>
          <w:szCs w:val="26"/>
        </w:rPr>
      </w:pPr>
      <w:r w:rsidRPr="0073067C">
        <w:rPr>
          <w:b/>
          <w:bCs/>
          <w:sz w:val="26"/>
          <w:szCs w:val="26"/>
        </w:rPr>
        <w:t>Tên nhà thầu:</w:t>
      </w:r>
    </w:p>
    <w:tbl>
      <w:tblPr>
        <w:tblW w:w="158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1134"/>
        <w:gridCol w:w="992"/>
        <w:gridCol w:w="1134"/>
        <w:gridCol w:w="993"/>
        <w:gridCol w:w="1530"/>
        <w:gridCol w:w="851"/>
        <w:gridCol w:w="992"/>
        <w:gridCol w:w="850"/>
        <w:gridCol w:w="709"/>
        <w:gridCol w:w="709"/>
        <w:gridCol w:w="850"/>
        <w:gridCol w:w="1134"/>
        <w:gridCol w:w="1418"/>
      </w:tblGrid>
      <w:tr w:rsidR="00210E78" w:rsidRPr="0073067C" w14:paraId="3340B9FE" w14:textId="77777777" w:rsidTr="002D6F45">
        <w:trPr>
          <w:trHeight w:val="1415"/>
        </w:trPr>
        <w:tc>
          <w:tcPr>
            <w:tcW w:w="851" w:type="dxa"/>
            <w:vAlign w:val="center"/>
          </w:tcPr>
          <w:p w14:paraId="2BC69C9A" w14:textId="77777777" w:rsidR="00210E78" w:rsidRPr="0073067C" w:rsidRDefault="00210E78" w:rsidP="002D6F45">
            <w:pPr>
              <w:jc w:val="center"/>
              <w:rPr>
                <w:b/>
                <w:bCs/>
                <w:sz w:val="20"/>
              </w:rPr>
            </w:pPr>
            <w:r w:rsidRPr="0073067C">
              <w:rPr>
                <w:b/>
                <w:bCs/>
                <w:sz w:val="20"/>
              </w:rPr>
              <w:t>Tên phần (lô)</w:t>
            </w:r>
          </w:p>
        </w:tc>
        <w:tc>
          <w:tcPr>
            <w:tcW w:w="851" w:type="dxa"/>
            <w:vAlign w:val="center"/>
          </w:tcPr>
          <w:p w14:paraId="7D728A7F" w14:textId="77777777" w:rsidR="00210E78" w:rsidRPr="0073067C" w:rsidRDefault="00210E78" w:rsidP="002D6F45">
            <w:pPr>
              <w:jc w:val="center"/>
              <w:rPr>
                <w:b/>
                <w:bCs/>
                <w:sz w:val="20"/>
              </w:rPr>
            </w:pPr>
            <w:r w:rsidRPr="0073067C">
              <w:rPr>
                <w:b/>
                <w:bCs/>
                <w:sz w:val="20"/>
              </w:rPr>
              <w:t>Tên</w:t>
            </w:r>
          </w:p>
          <w:p w14:paraId="2E382013" w14:textId="77777777" w:rsidR="00210E78" w:rsidRPr="0073067C" w:rsidRDefault="00210E78" w:rsidP="002D6F45">
            <w:pPr>
              <w:jc w:val="center"/>
              <w:rPr>
                <w:b/>
                <w:bCs/>
                <w:sz w:val="20"/>
              </w:rPr>
            </w:pPr>
            <w:r w:rsidRPr="0073067C">
              <w:rPr>
                <w:b/>
                <w:bCs/>
                <w:sz w:val="20"/>
              </w:rPr>
              <w:t>hàng hóa</w:t>
            </w:r>
          </w:p>
          <w:p w14:paraId="3A334F25" w14:textId="77777777" w:rsidR="00210E78" w:rsidRPr="0073067C" w:rsidRDefault="00210E78" w:rsidP="002D6F45">
            <w:pPr>
              <w:jc w:val="center"/>
              <w:rPr>
                <w:b/>
                <w:bCs/>
                <w:sz w:val="20"/>
              </w:rPr>
            </w:pPr>
            <w:r w:rsidRPr="0073067C">
              <w:rPr>
                <w:b/>
                <w:bCs/>
                <w:sz w:val="20"/>
              </w:rPr>
              <w:t>theo E-HSMT</w:t>
            </w:r>
          </w:p>
        </w:tc>
        <w:tc>
          <w:tcPr>
            <w:tcW w:w="850" w:type="dxa"/>
            <w:vAlign w:val="center"/>
          </w:tcPr>
          <w:p w14:paraId="5D701AE7" w14:textId="77777777" w:rsidR="00210E78" w:rsidRPr="0073067C" w:rsidRDefault="00210E78" w:rsidP="002D6F45">
            <w:pPr>
              <w:jc w:val="center"/>
              <w:rPr>
                <w:b/>
                <w:bCs/>
                <w:sz w:val="20"/>
              </w:rPr>
            </w:pPr>
            <w:r w:rsidRPr="0073067C">
              <w:rPr>
                <w:b/>
                <w:bCs/>
                <w:sz w:val="20"/>
              </w:rPr>
              <w:t>Tên thương mại (nếu có)</w:t>
            </w:r>
          </w:p>
        </w:tc>
        <w:tc>
          <w:tcPr>
            <w:tcW w:w="1134" w:type="dxa"/>
            <w:vAlign w:val="center"/>
          </w:tcPr>
          <w:p w14:paraId="30C4EF4E" w14:textId="77777777" w:rsidR="00210E78" w:rsidRPr="0073067C" w:rsidRDefault="00210E78" w:rsidP="002D6F45">
            <w:pPr>
              <w:tabs>
                <w:tab w:val="left" w:pos="390"/>
              </w:tabs>
              <w:jc w:val="center"/>
              <w:rPr>
                <w:b/>
                <w:bCs/>
                <w:sz w:val="20"/>
              </w:rPr>
            </w:pPr>
          </w:p>
          <w:p w14:paraId="0E1D3F95" w14:textId="77777777" w:rsidR="00210E78" w:rsidRPr="0073067C" w:rsidRDefault="00210E78" w:rsidP="002D6F45">
            <w:pPr>
              <w:tabs>
                <w:tab w:val="left" w:pos="390"/>
              </w:tabs>
              <w:jc w:val="center"/>
              <w:rPr>
                <w:b/>
                <w:bCs/>
                <w:sz w:val="20"/>
              </w:rPr>
            </w:pPr>
            <w:r w:rsidRPr="0073067C">
              <w:rPr>
                <w:b/>
                <w:bCs/>
                <w:sz w:val="20"/>
              </w:rPr>
              <w:t>Ký mã hiệu</w:t>
            </w:r>
          </w:p>
        </w:tc>
        <w:tc>
          <w:tcPr>
            <w:tcW w:w="992" w:type="dxa"/>
            <w:vAlign w:val="center"/>
          </w:tcPr>
          <w:p w14:paraId="131CEC1B" w14:textId="77777777" w:rsidR="00210E78" w:rsidRPr="0073067C" w:rsidRDefault="00210E78" w:rsidP="002D6F45">
            <w:pPr>
              <w:tabs>
                <w:tab w:val="left" w:pos="390"/>
              </w:tabs>
              <w:jc w:val="center"/>
              <w:rPr>
                <w:b/>
                <w:bCs/>
                <w:sz w:val="20"/>
              </w:rPr>
            </w:pPr>
            <w:r w:rsidRPr="0073067C">
              <w:rPr>
                <w:b/>
                <w:bCs/>
                <w:sz w:val="20"/>
              </w:rPr>
              <w:t>Đặc tính thông số kỹ thuật trong E-HSMT</w:t>
            </w:r>
          </w:p>
        </w:tc>
        <w:tc>
          <w:tcPr>
            <w:tcW w:w="1134" w:type="dxa"/>
            <w:vAlign w:val="center"/>
          </w:tcPr>
          <w:p w14:paraId="579A8B65" w14:textId="77777777" w:rsidR="00210E78" w:rsidRPr="0073067C" w:rsidRDefault="00210E78" w:rsidP="002D6F45">
            <w:pPr>
              <w:tabs>
                <w:tab w:val="left" w:pos="390"/>
              </w:tabs>
              <w:jc w:val="center"/>
              <w:rPr>
                <w:b/>
                <w:bCs/>
                <w:sz w:val="20"/>
              </w:rPr>
            </w:pPr>
            <w:r w:rsidRPr="0073067C">
              <w:rPr>
                <w:b/>
                <w:bCs/>
                <w:sz w:val="20"/>
              </w:rPr>
              <w:t>Đặc tính thông số kỹ thuật của hàng hóa chào thầu E-HSDT</w:t>
            </w:r>
          </w:p>
        </w:tc>
        <w:tc>
          <w:tcPr>
            <w:tcW w:w="993" w:type="dxa"/>
            <w:vAlign w:val="center"/>
          </w:tcPr>
          <w:p w14:paraId="5EE27562" w14:textId="77777777" w:rsidR="00210E78" w:rsidRPr="0073067C" w:rsidRDefault="00210E78" w:rsidP="002D6F45">
            <w:pPr>
              <w:jc w:val="center"/>
              <w:rPr>
                <w:b/>
                <w:bCs/>
                <w:sz w:val="20"/>
              </w:rPr>
            </w:pPr>
            <w:r w:rsidRPr="0073067C">
              <w:rPr>
                <w:b/>
                <w:bCs/>
                <w:sz w:val="20"/>
              </w:rPr>
              <w:t>Tiêu chuẩn chất lượng hàng hóa</w:t>
            </w:r>
          </w:p>
        </w:tc>
        <w:tc>
          <w:tcPr>
            <w:tcW w:w="1530" w:type="dxa"/>
            <w:vAlign w:val="center"/>
          </w:tcPr>
          <w:p w14:paraId="30BE2CAF" w14:textId="77777777" w:rsidR="00210E78" w:rsidRPr="0073067C" w:rsidRDefault="00210E78" w:rsidP="002D6F45">
            <w:pPr>
              <w:jc w:val="center"/>
              <w:rPr>
                <w:b/>
                <w:bCs/>
                <w:sz w:val="20"/>
              </w:rPr>
            </w:pPr>
            <w:r w:rsidRPr="0073067C">
              <w:rPr>
                <w:b/>
                <w:bCs/>
                <w:sz w:val="20"/>
              </w:rPr>
              <w:t>Số GPLH/ ĐKLH/ GPNK/ Phiếu tiếp nhận hồ sơ cấp số chứng nhận đăng ký lưu hành hoặc tương đương</w:t>
            </w:r>
          </w:p>
        </w:tc>
        <w:tc>
          <w:tcPr>
            <w:tcW w:w="851" w:type="dxa"/>
            <w:vAlign w:val="center"/>
          </w:tcPr>
          <w:p w14:paraId="0AC507A0" w14:textId="77777777" w:rsidR="00210E78" w:rsidRPr="0073067C" w:rsidRDefault="00210E78" w:rsidP="002D6F45">
            <w:pPr>
              <w:jc w:val="center"/>
              <w:rPr>
                <w:b/>
                <w:bCs/>
                <w:sz w:val="20"/>
              </w:rPr>
            </w:pPr>
            <w:r w:rsidRPr="0073067C">
              <w:rPr>
                <w:b/>
                <w:bCs/>
                <w:sz w:val="20"/>
              </w:rPr>
              <w:t>Hãng sản xuất</w:t>
            </w:r>
          </w:p>
        </w:tc>
        <w:tc>
          <w:tcPr>
            <w:tcW w:w="992" w:type="dxa"/>
            <w:vAlign w:val="center"/>
          </w:tcPr>
          <w:p w14:paraId="43C234A1" w14:textId="77777777" w:rsidR="00210E78" w:rsidRPr="0073067C" w:rsidRDefault="00210E78" w:rsidP="002D6F45">
            <w:pPr>
              <w:jc w:val="center"/>
              <w:rPr>
                <w:b/>
                <w:bCs/>
                <w:sz w:val="20"/>
              </w:rPr>
            </w:pPr>
            <w:r w:rsidRPr="0073067C">
              <w:rPr>
                <w:b/>
                <w:bCs/>
                <w:sz w:val="20"/>
              </w:rPr>
              <w:t>Nước sản xuất</w:t>
            </w:r>
          </w:p>
        </w:tc>
        <w:tc>
          <w:tcPr>
            <w:tcW w:w="850" w:type="dxa"/>
            <w:vAlign w:val="center"/>
          </w:tcPr>
          <w:p w14:paraId="0C69E47A" w14:textId="77777777" w:rsidR="00210E78" w:rsidRPr="0073067C" w:rsidRDefault="00210E78" w:rsidP="002D6F45">
            <w:pPr>
              <w:jc w:val="center"/>
              <w:rPr>
                <w:b/>
                <w:bCs/>
                <w:sz w:val="20"/>
              </w:rPr>
            </w:pPr>
            <w:r w:rsidRPr="0073067C">
              <w:rPr>
                <w:b/>
                <w:bCs/>
                <w:sz w:val="20"/>
              </w:rPr>
              <w:t>Bản phân loại trang TBYT</w:t>
            </w:r>
          </w:p>
          <w:p w14:paraId="556EC395" w14:textId="77777777" w:rsidR="00210E78" w:rsidRPr="0073067C" w:rsidRDefault="00210E78" w:rsidP="002D6F45">
            <w:pPr>
              <w:jc w:val="center"/>
              <w:rPr>
                <w:b/>
                <w:bCs/>
                <w:sz w:val="20"/>
              </w:rPr>
            </w:pPr>
            <w:r w:rsidRPr="0073067C">
              <w:rPr>
                <w:b/>
                <w:bCs/>
                <w:sz w:val="20"/>
              </w:rPr>
              <w:t>(nếu có)</w:t>
            </w:r>
          </w:p>
        </w:tc>
        <w:tc>
          <w:tcPr>
            <w:tcW w:w="709" w:type="dxa"/>
            <w:vAlign w:val="center"/>
          </w:tcPr>
          <w:p w14:paraId="15520BDD" w14:textId="77777777" w:rsidR="00210E78" w:rsidRPr="0073067C" w:rsidRDefault="00210E78" w:rsidP="002D6F45">
            <w:pPr>
              <w:jc w:val="center"/>
              <w:rPr>
                <w:b/>
                <w:bCs/>
                <w:sz w:val="20"/>
              </w:rPr>
            </w:pPr>
            <w:r w:rsidRPr="0073067C">
              <w:rPr>
                <w:b/>
                <w:bCs/>
                <w:sz w:val="20"/>
              </w:rPr>
              <w:t>Quy cách đóng gói</w:t>
            </w:r>
          </w:p>
        </w:tc>
        <w:tc>
          <w:tcPr>
            <w:tcW w:w="709" w:type="dxa"/>
            <w:vAlign w:val="center"/>
          </w:tcPr>
          <w:p w14:paraId="079DE3DF" w14:textId="77777777" w:rsidR="00210E78" w:rsidRPr="0073067C" w:rsidRDefault="00210E78" w:rsidP="002D6F45">
            <w:pPr>
              <w:jc w:val="center"/>
              <w:rPr>
                <w:b/>
                <w:bCs/>
                <w:sz w:val="20"/>
              </w:rPr>
            </w:pPr>
            <w:r w:rsidRPr="0073067C">
              <w:rPr>
                <w:b/>
                <w:bCs/>
                <w:sz w:val="20"/>
              </w:rPr>
              <w:t>Đơn vị tính</w:t>
            </w:r>
          </w:p>
        </w:tc>
        <w:tc>
          <w:tcPr>
            <w:tcW w:w="850" w:type="dxa"/>
            <w:vAlign w:val="center"/>
          </w:tcPr>
          <w:p w14:paraId="4F3B9988" w14:textId="77777777" w:rsidR="00210E78" w:rsidRPr="0073067C" w:rsidRDefault="00210E78" w:rsidP="002D6F45">
            <w:pPr>
              <w:jc w:val="center"/>
              <w:rPr>
                <w:b/>
                <w:bCs/>
                <w:sz w:val="20"/>
              </w:rPr>
            </w:pPr>
            <w:r w:rsidRPr="0073067C">
              <w:rPr>
                <w:b/>
                <w:bCs/>
                <w:sz w:val="20"/>
              </w:rPr>
              <w:t>Số lượng</w:t>
            </w:r>
          </w:p>
        </w:tc>
        <w:tc>
          <w:tcPr>
            <w:tcW w:w="1134" w:type="dxa"/>
            <w:vAlign w:val="center"/>
          </w:tcPr>
          <w:p w14:paraId="3C7DE719" w14:textId="77777777" w:rsidR="00210E78" w:rsidRPr="0073067C" w:rsidRDefault="00210E78" w:rsidP="002D6F45">
            <w:pPr>
              <w:jc w:val="center"/>
              <w:rPr>
                <w:b/>
                <w:bCs/>
                <w:sz w:val="20"/>
              </w:rPr>
            </w:pPr>
            <w:r w:rsidRPr="0073067C">
              <w:rPr>
                <w:b/>
                <w:bCs/>
                <w:sz w:val="20"/>
              </w:rPr>
              <w:t>Kết quả phân loại trang thiết bị y tế (nếu có)</w:t>
            </w:r>
          </w:p>
        </w:tc>
        <w:tc>
          <w:tcPr>
            <w:tcW w:w="1418" w:type="dxa"/>
            <w:vAlign w:val="center"/>
          </w:tcPr>
          <w:p w14:paraId="45178B1D" w14:textId="77777777" w:rsidR="00210E78" w:rsidRPr="0073067C" w:rsidRDefault="00210E78" w:rsidP="002D6F45">
            <w:pPr>
              <w:jc w:val="center"/>
              <w:rPr>
                <w:b/>
                <w:bCs/>
                <w:sz w:val="20"/>
              </w:rPr>
            </w:pPr>
            <w:r w:rsidRPr="0073067C">
              <w:rPr>
                <w:b/>
                <w:bCs/>
                <w:sz w:val="20"/>
              </w:rPr>
              <w:t>Tài liệu tham chiếu trong E-HSDT</w:t>
            </w:r>
          </w:p>
        </w:tc>
      </w:tr>
      <w:tr w:rsidR="00210E78" w:rsidRPr="0073067C" w14:paraId="1F1435B9" w14:textId="77777777" w:rsidTr="002D6F45">
        <w:trPr>
          <w:trHeight w:val="471"/>
        </w:trPr>
        <w:tc>
          <w:tcPr>
            <w:tcW w:w="851" w:type="dxa"/>
            <w:vAlign w:val="center"/>
          </w:tcPr>
          <w:p w14:paraId="552C12AC" w14:textId="77777777" w:rsidR="00210E78" w:rsidRPr="0073067C" w:rsidRDefault="00210E78" w:rsidP="002D6F45">
            <w:pPr>
              <w:jc w:val="center"/>
              <w:rPr>
                <w:sz w:val="20"/>
                <w:lang w:val="fr-FR"/>
              </w:rPr>
            </w:pPr>
            <w:r w:rsidRPr="0073067C">
              <w:rPr>
                <w:sz w:val="20"/>
                <w:lang w:val="fr-FR"/>
              </w:rPr>
              <w:t>(1)</w:t>
            </w:r>
          </w:p>
        </w:tc>
        <w:tc>
          <w:tcPr>
            <w:tcW w:w="851" w:type="dxa"/>
            <w:vAlign w:val="center"/>
          </w:tcPr>
          <w:p w14:paraId="16D542AE" w14:textId="77777777" w:rsidR="00210E78" w:rsidRPr="0073067C" w:rsidRDefault="00210E78" w:rsidP="002D6F45">
            <w:pPr>
              <w:jc w:val="center"/>
              <w:rPr>
                <w:sz w:val="20"/>
                <w:lang w:val="fr-FR"/>
              </w:rPr>
            </w:pPr>
            <w:r w:rsidRPr="0073067C">
              <w:rPr>
                <w:sz w:val="20"/>
                <w:lang w:val="fr-FR"/>
              </w:rPr>
              <w:t>(2)</w:t>
            </w:r>
          </w:p>
        </w:tc>
        <w:tc>
          <w:tcPr>
            <w:tcW w:w="850" w:type="dxa"/>
            <w:vAlign w:val="center"/>
          </w:tcPr>
          <w:p w14:paraId="0E6BB9CC" w14:textId="77777777" w:rsidR="00210E78" w:rsidRPr="0073067C" w:rsidRDefault="00210E78" w:rsidP="002D6F45">
            <w:pPr>
              <w:jc w:val="center"/>
              <w:rPr>
                <w:sz w:val="20"/>
                <w:lang w:val="fr-FR"/>
              </w:rPr>
            </w:pPr>
            <w:r w:rsidRPr="0073067C">
              <w:rPr>
                <w:sz w:val="20"/>
                <w:lang w:val="fr-FR"/>
              </w:rPr>
              <w:t>(3)</w:t>
            </w:r>
          </w:p>
        </w:tc>
        <w:tc>
          <w:tcPr>
            <w:tcW w:w="1134" w:type="dxa"/>
            <w:vAlign w:val="center"/>
          </w:tcPr>
          <w:p w14:paraId="55C37D82" w14:textId="77777777" w:rsidR="00210E78" w:rsidRPr="0073067C" w:rsidRDefault="00210E78" w:rsidP="002D6F45">
            <w:pPr>
              <w:jc w:val="center"/>
              <w:rPr>
                <w:sz w:val="20"/>
                <w:lang w:val="fr-FR"/>
              </w:rPr>
            </w:pPr>
            <w:r w:rsidRPr="0073067C">
              <w:rPr>
                <w:sz w:val="20"/>
                <w:lang w:val="fr-FR"/>
              </w:rPr>
              <w:t>(4)</w:t>
            </w:r>
          </w:p>
        </w:tc>
        <w:tc>
          <w:tcPr>
            <w:tcW w:w="992" w:type="dxa"/>
            <w:vAlign w:val="center"/>
          </w:tcPr>
          <w:p w14:paraId="47B2B91F" w14:textId="77777777" w:rsidR="00210E78" w:rsidRPr="0073067C" w:rsidRDefault="00210E78" w:rsidP="002D6F45">
            <w:pPr>
              <w:jc w:val="center"/>
              <w:rPr>
                <w:sz w:val="20"/>
                <w:lang w:val="fr-FR"/>
              </w:rPr>
            </w:pPr>
            <w:r w:rsidRPr="0073067C">
              <w:rPr>
                <w:sz w:val="20"/>
                <w:lang w:val="fr-FR"/>
              </w:rPr>
              <w:t>(5)</w:t>
            </w:r>
          </w:p>
        </w:tc>
        <w:tc>
          <w:tcPr>
            <w:tcW w:w="1134" w:type="dxa"/>
            <w:vAlign w:val="center"/>
          </w:tcPr>
          <w:p w14:paraId="2E74AC62" w14:textId="77777777" w:rsidR="00210E78" w:rsidRPr="0073067C" w:rsidRDefault="00210E78" w:rsidP="002D6F45">
            <w:pPr>
              <w:jc w:val="center"/>
              <w:rPr>
                <w:sz w:val="20"/>
                <w:lang w:val="fr-FR"/>
              </w:rPr>
            </w:pPr>
            <w:r w:rsidRPr="0073067C">
              <w:rPr>
                <w:sz w:val="20"/>
                <w:lang w:val="fr-FR"/>
              </w:rPr>
              <w:t>(6)</w:t>
            </w:r>
          </w:p>
        </w:tc>
        <w:tc>
          <w:tcPr>
            <w:tcW w:w="993" w:type="dxa"/>
            <w:vAlign w:val="center"/>
          </w:tcPr>
          <w:p w14:paraId="4D060870" w14:textId="77777777" w:rsidR="00210E78" w:rsidRPr="0073067C" w:rsidRDefault="00210E78" w:rsidP="002D6F45">
            <w:pPr>
              <w:jc w:val="center"/>
              <w:rPr>
                <w:sz w:val="20"/>
                <w:lang w:val="fr-FR"/>
              </w:rPr>
            </w:pPr>
            <w:r w:rsidRPr="0073067C">
              <w:rPr>
                <w:sz w:val="20"/>
                <w:lang w:val="fr-FR"/>
              </w:rPr>
              <w:t>(7)</w:t>
            </w:r>
          </w:p>
        </w:tc>
        <w:tc>
          <w:tcPr>
            <w:tcW w:w="1530" w:type="dxa"/>
            <w:vAlign w:val="center"/>
          </w:tcPr>
          <w:p w14:paraId="7B7E8C8C" w14:textId="77777777" w:rsidR="00210E78" w:rsidRPr="0073067C" w:rsidRDefault="00210E78" w:rsidP="002D6F45">
            <w:pPr>
              <w:jc w:val="center"/>
              <w:rPr>
                <w:sz w:val="20"/>
                <w:lang w:val="fr-FR"/>
              </w:rPr>
            </w:pPr>
            <w:r w:rsidRPr="0073067C">
              <w:rPr>
                <w:sz w:val="20"/>
                <w:lang w:val="fr-FR"/>
              </w:rPr>
              <w:t>(8)</w:t>
            </w:r>
          </w:p>
        </w:tc>
        <w:tc>
          <w:tcPr>
            <w:tcW w:w="851" w:type="dxa"/>
            <w:vAlign w:val="center"/>
          </w:tcPr>
          <w:p w14:paraId="40E2CB39" w14:textId="77777777" w:rsidR="00210E78" w:rsidRPr="0073067C" w:rsidRDefault="00210E78" w:rsidP="002D6F45">
            <w:pPr>
              <w:jc w:val="center"/>
              <w:rPr>
                <w:sz w:val="20"/>
                <w:lang w:val="fr-FR"/>
              </w:rPr>
            </w:pPr>
            <w:r w:rsidRPr="0073067C">
              <w:rPr>
                <w:sz w:val="20"/>
                <w:lang w:val="fr-FR"/>
              </w:rPr>
              <w:t>(9)</w:t>
            </w:r>
          </w:p>
        </w:tc>
        <w:tc>
          <w:tcPr>
            <w:tcW w:w="992" w:type="dxa"/>
            <w:vAlign w:val="center"/>
          </w:tcPr>
          <w:p w14:paraId="579B26FE" w14:textId="77777777" w:rsidR="00210E78" w:rsidRPr="0073067C" w:rsidRDefault="00210E78" w:rsidP="002D6F45">
            <w:pPr>
              <w:jc w:val="center"/>
              <w:rPr>
                <w:sz w:val="20"/>
                <w:lang w:val="fr-FR"/>
              </w:rPr>
            </w:pPr>
            <w:r w:rsidRPr="0073067C">
              <w:rPr>
                <w:sz w:val="20"/>
                <w:lang w:val="fr-FR"/>
              </w:rPr>
              <w:t>(10)</w:t>
            </w:r>
          </w:p>
        </w:tc>
        <w:tc>
          <w:tcPr>
            <w:tcW w:w="850" w:type="dxa"/>
            <w:vAlign w:val="center"/>
          </w:tcPr>
          <w:p w14:paraId="7633BD94" w14:textId="77777777" w:rsidR="00210E78" w:rsidRPr="0073067C" w:rsidRDefault="00210E78" w:rsidP="002D6F45">
            <w:pPr>
              <w:jc w:val="center"/>
              <w:rPr>
                <w:sz w:val="20"/>
                <w:lang w:val="fr-FR"/>
              </w:rPr>
            </w:pPr>
            <w:r w:rsidRPr="0073067C">
              <w:rPr>
                <w:sz w:val="20"/>
                <w:lang w:val="fr-FR"/>
              </w:rPr>
              <w:t>(11)</w:t>
            </w:r>
          </w:p>
        </w:tc>
        <w:tc>
          <w:tcPr>
            <w:tcW w:w="709" w:type="dxa"/>
            <w:vAlign w:val="center"/>
          </w:tcPr>
          <w:p w14:paraId="39FCD8C4" w14:textId="77777777" w:rsidR="00210E78" w:rsidRPr="0073067C" w:rsidRDefault="00210E78" w:rsidP="002D6F45">
            <w:pPr>
              <w:jc w:val="center"/>
              <w:rPr>
                <w:sz w:val="20"/>
                <w:lang w:val="vi-VN"/>
              </w:rPr>
            </w:pPr>
            <w:r w:rsidRPr="0073067C">
              <w:rPr>
                <w:sz w:val="20"/>
                <w:lang w:val="fr-FR"/>
              </w:rPr>
              <w:t>(12)</w:t>
            </w:r>
          </w:p>
        </w:tc>
        <w:tc>
          <w:tcPr>
            <w:tcW w:w="709" w:type="dxa"/>
            <w:vAlign w:val="center"/>
          </w:tcPr>
          <w:p w14:paraId="3414B6BD" w14:textId="77777777" w:rsidR="00210E78" w:rsidRPr="0073067C" w:rsidRDefault="00210E78" w:rsidP="002D6F45">
            <w:pPr>
              <w:jc w:val="center"/>
              <w:rPr>
                <w:sz w:val="20"/>
                <w:lang w:val="fr-FR"/>
              </w:rPr>
            </w:pPr>
            <w:r w:rsidRPr="0073067C">
              <w:rPr>
                <w:sz w:val="20"/>
                <w:lang w:val="vi-VN"/>
              </w:rPr>
              <w:t>(1</w:t>
            </w:r>
            <w:r w:rsidRPr="0073067C">
              <w:rPr>
                <w:sz w:val="20"/>
              </w:rPr>
              <w:t>3</w:t>
            </w:r>
            <w:r w:rsidRPr="0073067C">
              <w:rPr>
                <w:sz w:val="20"/>
                <w:lang w:val="vi-VN"/>
              </w:rPr>
              <w:t>)</w:t>
            </w:r>
          </w:p>
        </w:tc>
        <w:tc>
          <w:tcPr>
            <w:tcW w:w="850" w:type="dxa"/>
            <w:vAlign w:val="center"/>
          </w:tcPr>
          <w:p w14:paraId="19B33AD8" w14:textId="77777777" w:rsidR="00210E78" w:rsidRPr="0073067C" w:rsidRDefault="00210E78" w:rsidP="002D6F45">
            <w:pPr>
              <w:jc w:val="center"/>
              <w:rPr>
                <w:sz w:val="20"/>
                <w:lang w:val="vi-VN"/>
              </w:rPr>
            </w:pPr>
            <w:r w:rsidRPr="0073067C">
              <w:rPr>
                <w:sz w:val="20"/>
                <w:lang w:val="fr-FR"/>
              </w:rPr>
              <w:t>(1</w:t>
            </w:r>
            <w:r w:rsidRPr="0073067C">
              <w:rPr>
                <w:sz w:val="20"/>
              </w:rPr>
              <w:t>4</w:t>
            </w:r>
            <w:r w:rsidRPr="0073067C">
              <w:rPr>
                <w:sz w:val="20"/>
                <w:lang w:val="fr-FR"/>
              </w:rPr>
              <w:t>)</w:t>
            </w:r>
          </w:p>
        </w:tc>
        <w:tc>
          <w:tcPr>
            <w:tcW w:w="1134" w:type="dxa"/>
            <w:vAlign w:val="center"/>
          </w:tcPr>
          <w:p w14:paraId="0BE51D34" w14:textId="77777777" w:rsidR="00210E78" w:rsidRPr="0073067C" w:rsidRDefault="00210E78" w:rsidP="002D6F45">
            <w:pPr>
              <w:jc w:val="center"/>
              <w:rPr>
                <w:sz w:val="20"/>
                <w:lang w:val="fr-FR"/>
              </w:rPr>
            </w:pPr>
            <w:r w:rsidRPr="0073067C">
              <w:rPr>
                <w:sz w:val="20"/>
                <w:lang w:val="fr-FR"/>
              </w:rPr>
              <w:t>(15)</w:t>
            </w:r>
          </w:p>
        </w:tc>
        <w:tc>
          <w:tcPr>
            <w:tcW w:w="1418" w:type="dxa"/>
            <w:vAlign w:val="center"/>
          </w:tcPr>
          <w:p w14:paraId="6F9E1839" w14:textId="77777777" w:rsidR="00210E78" w:rsidRPr="0073067C" w:rsidRDefault="00210E78" w:rsidP="002D6F45">
            <w:pPr>
              <w:jc w:val="center"/>
              <w:rPr>
                <w:sz w:val="20"/>
                <w:lang w:val="fr-FR"/>
              </w:rPr>
            </w:pPr>
            <w:r w:rsidRPr="0073067C">
              <w:rPr>
                <w:sz w:val="20"/>
                <w:lang w:val="fr-FR"/>
              </w:rPr>
              <w:t>(16)</w:t>
            </w:r>
          </w:p>
        </w:tc>
      </w:tr>
      <w:tr w:rsidR="00210E78" w:rsidRPr="0073067C" w14:paraId="121B7C44" w14:textId="77777777" w:rsidTr="002D6F45">
        <w:trPr>
          <w:trHeight w:val="388"/>
        </w:trPr>
        <w:tc>
          <w:tcPr>
            <w:tcW w:w="851" w:type="dxa"/>
            <w:vAlign w:val="center"/>
          </w:tcPr>
          <w:p w14:paraId="655DCD27" w14:textId="77777777" w:rsidR="00210E78" w:rsidRPr="0073067C" w:rsidRDefault="00210E78" w:rsidP="002D6F45">
            <w:pPr>
              <w:jc w:val="center"/>
              <w:rPr>
                <w:sz w:val="20"/>
                <w:lang w:val="fr-FR"/>
              </w:rPr>
            </w:pPr>
          </w:p>
        </w:tc>
        <w:tc>
          <w:tcPr>
            <w:tcW w:w="851" w:type="dxa"/>
            <w:vAlign w:val="center"/>
          </w:tcPr>
          <w:p w14:paraId="5A942DEE" w14:textId="77777777" w:rsidR="00210E78" w:rsidRPr="0073067C" w:rsidRDefault="00210E78" w:rsidP="002D6F45">
            <w:pPr>
              <w:jc w:val="center"/>
              <w:rPr>
                <w:b/>
                <w:bCs/>
                <w:sz w:val="20"/>
                <w:lang w:val="fr-FR"/>
              </w:rPr>
            </w:pPr>
          </w:p>
        </w:tc>
        <w:tc>
          <w:tcPr>
            <w:tcW w:w="850" w:type="dxa"/>
            <w:vAlign w:val="center"/>
          </w:tcPr>
          <w:p w14:paraId="01B2D85C" w14:textId="77777777" w:rsidR="00210E78" w:rsidRPr="0073067C" w:rsidRDefault="00210E78" w:rsidP="002D6F45">
            <w:pPr>
              <w:jc w:val="center"/>
              <w:rPr>
                <w:b/>
                <w:bCs/>
                <w:sz w:val="20"/>
                <w:lang w:val="fr-FR"/>
              </w:rPr>
            </w:pPr>
          </w:p>
        </w:tc>
        <w:tc>
          <w:tcPr>
            <w:tcW w:w="1134" w:type="dxa"/>
            <w:vAlign w:val="center"/>
          </w:tcPr>
          <w:p w14:paraId="4522ED2E" w14:textId="77777777" w:rsidR="00210E78" w:rsidRPr="0073067C" w:rsidRDefault="00210E78" w:rsidP="002D6F45">
            <w:pPr>
              <w:jc w:val="center"/>
              <w:rPr>
                <w:b/>
                <w:bCs/>
                <w:sz w:val="20"/>
                <w:lang w:val="fr-FR"/>
              </w:rPr>
            </w:pPr>
          </w:p>
        </w:tc>
        <w:tc>
          <w:tcPr>
            <w:tcW w:w="992" w:type="dxa"/>
          </w:tcPr>
          <w:p w14:paraId="67F1DA8C" w14:textId="77777777" w:rsidR="00210E78" w:rsidRPr="0073067C" w:rsidRDefault="00210E78" w:rsidP="002D6F45">
            <w:pPr>
              <w:jc w:val="center"/>
              <w:rPr>
                <w:b/>
                <w:bCs/>
                <w:sz w:val="20"/>
                <w:lang w:val="fr-FR"/>
              </w:rPr>
            </w:pPr>
          </w:p>
        </w:tc>
        <w:tc>
          <w:tcPr>
            <w:tcW w:w="1134" w:type="dxa"/>
            <w:vAlign w:val="center"/>
          </w:tcPr>
          <w:p w14:paraId="445A1FB9" w14:textId="77777777" w:rsidR="00210E78" w:rsidRPr="0073067C" w:rsidRDefault="00210E78" w:rsidP="002D6F45">
            <w:pPr>
              <w:jc w:val="center"/>
              <w:rPr>
                <w:b/>
                <w:bCs/>
                <w:sz w:val="20"/>
                <w:lang w:val="fr-FR"/>
              </w:rPr>
            </w:pPr>
          </w:p>
        </w:tc>
        <w:tc>
          <w:tcPr>
            <w:tcW w:w="993" w:type="dxa"/>
            <w:vAlign w:val="center"/>
          </w:tcPr>
          <w:p w14:paraId="507FE781" w14:textId="77777777" w:rsidR="00210E78" w:rsidRPr="0073067C" w:rsidRDefault="00210E78" w:rsidP="002D6F45">
            <w:pPr>
              <w:jc w:val="center"/>
              <w:rPr>
                <w:b/>
                <w:bCs/>
                <w:sz w:val="20"/>
                <w:lang w:val="fr-FR"/>
              </w:rPr>
            </w:pPr>
          </w:p>
        </w:tc>
        <w:tc>
          <w:tcPr>
            <w:tcW w:w="1530" w:type="dxa"/>
            <w:vAlign w:val="center"/>
          </w:tcPr>
          <w:p w14:paraId="55E11DE6" w14:textId="77777777" w:rsidR="00210E78" w:rsidRPr="0073067C" w:rsidRDefault="00210E78" w:rsidP="002D6F45">
            <w:pPr>
              <w:jc w:val="center"/>
              <w:rPr>
                <w:b/>
                <w:bCs/>
                <w:sz w:val="20"/>
                <w:lang w:val="fr-FR"/>
              </w:rPr>
            </w:pPr>
          </w:p>
        </w:tc>
        <w:tc>
          <w:tcPr>
            <w:tcW w:w="851" w:type="dxa"/>
            <w:vAlign w:val="center"/>
          </w:tcPr>
          <w:p w14:paraId="3844D8D2" w14:textId="77777777" w:rsidR="00210E78" w:rsidRPr="0073067C" w:rsidRDefault="00210E78" w:rsidP="002D6F45">
            <w:pPr>
              <w:jc w:val="center"/>
              <w:rPr>
                <w:b/>
                <w:bCs/>
                <w:sz w:val="20"/>
                <w:lang w:val="fr-FR"/>
              </w:rPr>
            </w:pPr>
          </w:p>
        </w:tc>
        <w:tc>
          <w:tcPr>
            <w:tcW w:w="992" w:type="dxa"/>
            <w:vAlign w:val="center"/>
          </w:tcPr>
          <w:p w14:paraId="443EC914" w14:textId="77777777" w:rsidR="00210E78" w:rsidRPr="0073067C" w:rsidRDefault="00210E78" w:rsidP="002D6F45">
            <w:pPr>
              <w:jc w:val="center"/>
              <w:rPr>
                <w:b/>
                <w:bCs/>
                <w:sz w:val="20"/>
                <w:lang w:val="fr-FR"/>
              </w:rPr>
            </w:pPr>
          </w:p>
        </w:tc>
        <w:tc>
          <w:tcPr>
            <w:tcW w:w="850" w:type="dxa"/>
            <w:vAlign w:val="center"/>
          </w:tcPr>
          <w:p w14:paraId="37B4E779" w14:textId="77777777" w:rsidR="00210E78" w:rsidRPr="0073067C" w:rsidRDefault="00210E78" w:rsidP="002D6F45">
            <w:pPr>
              <w:jc w:val="center"/>
              <w:rPr>
                <w:b/>
                <w:bCs/>
                <w:sz w:val="20"/>
                <w:lang w:val="fr-FR"/>
              </w:rPr>
            </w:pPr>
          </w:p>
        </w:tc>
        <w:tc>
          <w:tcPr>
            <w:tcW w:w="709" w:type="dxa"/>
            <w:vAlign w:val="center"/>
          </w:tcPr>
          <w:p w14:paraId="3220D351" w14:textId="77777777" w:rsidR="00210E78" w:rsidRPr="0073067C" w:rsidRDefault="00210E78" w:rsidP="002D6F45">
            <w:pPr>
              <w:jc w:val="center"/>
              <w:rPr>
                <w:b/>
                <w:bCs/>
                <w:sz w:val="20"/>
                <w:lang w:val="fr-FR"/>
              </w:rPr>
            </w:pPr>
          </w:p>
        </w:tc>
        <w:tc>
          <w:tcPr>
            <w:tcW w:w="709" w:type="dxa"/>
            <w:vAlign w:val="center"/>
          </w:tcPr>
          <w:p w14:paraId="30579368" w14:textId="77777777" w:rsidR="00210E78" w:rsidRPr="0073067C" w:rsidRDefault="00210E78" w:rsidP="002D6F45">
            <w:pPr>
              <w:jc w:val="center"/>
              <w:rPr>
                <w:b/>
                <w:bCs/>
                <w:sz w:val="20"/>
                <w:lang w:val="fr-FR"/>
              </w:rPr>
            </w:pPr>
          </w:p>
        </w:tc>
        <w:tc>
          <w:tcPr>
            <w:tcW w:w="850" w:type="dxa"/>
            <w:vAlign w:val="center"/>
          </w:tcPr>
          <w:p w14:paraId="2ABED37A" w14:textId="77777777" w:rsidR="00210E78" w:rsidRPr="0073067C" w:rsidRDefault="00210E78" w:rsidP="002D6F45">
            <w:pPr>
              <w:jc w:val="center"/>
              <w:rPr>
                <w:b/>
                <w:bCs/>
                <w:sz w:val="20"/>
                <w:lang w:val="fr-FR"/>
              </w:rPr>
            </w:pPr>
          </w:p>
        </w:tc>
        <w:tc>
          <w:tcPr>
            <w:tcW w:w="1134" w:type="dxa"/>
            <w:vAlign w:val="center"/>
          </w:tcPr>
          <w:p w14:paraId="75C3A8DD" w14:textId="77777777" w:rsidR="00210E78" w:rsidRPr="0073067C" w:rsidRDefault="00210E78" w:rsidP="002D6F45">
            <w:pPr>
              <w:jc w:val="center"/>
              <w:rPr>
                <w:sz w:val="20"/>
                <w:lang w:val="fr-FR"/>
              </w:rPr>
            </w:pPr>
            <w:r w:rsidRPr="0073067C">
              <w:rPr>
                <w:sz w:val="20"/>
                <w:lang w:val="fr-FR"/>
              </w:rPr>
              <w:t>A, B, C, D</w:t>
            </w:r>
          </w:p>
        </w:tc>
        <w:tc>
          <w:tcPr>
            <w:tcW w:w="1418" w:type="dxa"/>
            <w:vMerge w:val="restart"/>
            <w:vAlign w:val="center"/>
          </w:tcPr>
          <w:p w14:paraId="6E32134E" w14:textId="77777777" w:rsidR="00210E78" w:rsidRPr="0073067C" w:rsidRDefault="00210E78" w:rsidP="002D6F45">
            <w:pPr>
              <w:jc w:val="center"/>
              <w:rPr>
                <w:sz w:val="20"/>
                <w:lang w:val="fr-FR"/>
              </w:rPr>
            </w:pPr>
            <w:r w:rsidRPr="0073067C">
              <w:rPr>
                <w:sz w:val="20"/>
                <w:lang w:val="fr-FR"/>
              </w:rPr>
              <w:t>Trang … của Catalog, tài liệu sử dụng hoặc các tài liệu khác tương đương, thuộc E-HSDT</w:t>
            </w:r>
          </w:p>
        </w:tc>
      </w:tr>
      <w:tr w:rsidR="00210E78" w:rsidRPr="0073067C" w14:paraId="436FDCEB" w14:textId="77777777" w:rsidTr="002D6F45">
        <w:trPr>
          <w:trHeight w:val="370"/>
        </w:trPr>
        <w:tc>
          <w:tcPr>
            <w:tcW w:w="851" w:type="dxa"/>
            <w:vAlign w:val="center"/>
          </w:tcPr>
          <w:p w14:paraId="437B09F4" w14:textId="77777777" w:rsidR="00210E78" w:rsidRPr="0073067C" w:rsidRDefault="00210E78" w:rsidP="002D6F45">
            <w:pPr>
              <w:jc w:val="center"/>
              <w:rPr>
                <w:sz w:val="20"/>
                <w:lang w:val="fr-FR"/>
              </w:rPr>
            </w:pPr>
          </w:p>
        </w:tc>
        <w:tc>
          <w:tcPr>
            <w:tcW w:w="851" w:type="dxa"/>
            <w:vAlign w:val="center"/>
          </w:tcPr>
          <w:p w14:paraId="6239B9E5" w14:textId="77777777" w:rsidR="00210E78" w:rsidRPr="0073067C" w:rsidRDefault="00210E78" w:rsidP="002D6F45">
            <w:pPr>
              <w:jc w:val="center"/>
              <w:rPr>
                <w:b/>
                <w:bCs/>
                <w:sz w:val="20"/>
                <w:lang w:val="fr-FR"/>
              </w:rPr>
            </w:pPr>
          </w:p>
        </w:tc>
        <w:tc>
          <w:tcPr>
            <w:tcW w:w="850" w:type="dxa"/>
            <w:vAlign w:val="center"/>
          </w:tcPr>
          <w:p w14:paraId="5B9D6161" w14:textId="77777777" w:rsidR="00210E78" w:rsidRPr="0073067C" w:rsidRDefault="00210E78" w:rsidP="002D6F45">
            <w:pPr>
              <w:jc w:val="center"/>
              <w:rPr>
                <w:b/>
                <w:bCs/>
                <w:sz w:val="20"/>
                <w:lang w:val="fr-FR"/>
              </w:rPr>
            </w:pPr>
          </w:p>
        </w:tc>
        <w:tc>
          <w:tcPr>
            <w:tcW w:w="1134" w:type="dxa"/>
            <w:vAlign w:val="center"/>
          </w:tcPr>
          <w:p w14:paraId="3FADA240" w14:textId="77777777" w:rsidR="00210E78" w:rsidRPr="0073067C" w:rsidRDefault="00210E78" w:rsidP="002D6F45">
            <w:pPr>
              <w:jc w:val="center"/>
              <w:rPr>
                <w:b/>
                <w:bCs/>
                <w:sz w:val="20"/>
                <w:lang w:val="fr-FR"/>
              </w:rPr>
            </w:pPr>
          </w:p>
        </w:tc>
        <w:tc>
          <w:tcPr>
            <w:tcW w:w="992" w:type="dxa"/>
          </w:tcPr>
          <w:p w14:paraId="03364D31" w14:textId="77777777" w:rsidR="00210E78" w:rsidRPr="0073067C" w:rsidRDefault="00210E78" w:rsidP="002D6F45">
            <w:pPr>
              <w:jc w:val="center"/>
              <w:rPr>
                <w:b/>
                <w:bCs/>
                <w:sz w:val="20"/>
                <w:lang w:val="fr-FR"/>
              </w:rPr>
            </w:pPr>
          </w:p>
        </w:tc>
        <w:tc>
          <w:tcPr>
            <w:tcW w:w="1134" w:type="dxa"/>
            <w:vAlign w:val="center"/>
          </w:tcPr>
          <w:p w14:paraId="553BFF68" w14:textId="77777777" w:rsidR="00210E78" w:rsidRPr="0073067C" w:rsidRDefault="00210E78" w:rsidP="002D6F45">
            <w:pPr>
              <w:jc w:val="center"/>
              <w:rPr>
                <w:b/>
                <w:bCs/>
                <w:sz w:val="20"/>
                <w:lang w:val="fr-FR"/>
              </w:rPr>
            </w:pPr>
          </w:p>
        </w:tc>
        <w:tc>
          <w:tcPr>
            <w:tcW w:w="993" w:type="dxa"/>
            <w:vAlign w:val="center"/>
          </w:tcPr>
          <w:p w14:paraId="79C211DF" w14:textId="77777777" w:rsidR="00210E78" w:rsidRPr="0073067C" w:rsidRDefault="00210E78" w:rsidP="002D6F45">
            <w:pPr>
              <w:jc w:val="center"/>
              <w:rPr>
                <w:b/>
                <w:bCs/>
                <w:sz w:val="20"/>
                <w:lang w:val="fr-FR"/>
              </w:rPr>
            </w:pPr>
          </w:p>
        </w:tc>
        <w:tc>
          <w:tcPr>
            <w:tcW w:w="1530" w:type="dxa"/>
            <w:vAlign w:val="center"/>
          </w:tcPr>
          <w:p w14:paraId="253487BB" w14:textId="77777777" w:rsidR="00210E78" w:rsidRPr="0073067C" w:rsidRDefault="00210E78" w:rsidP="002D6F45">
            <w:pPr>
              <w:jc w:val="center"/>
              <w:rPr>
                <w:b/>
                <w:bCs/>
                <w:sz w:val="20"/>
                <w:lang w:val="fr-FR"/>
              </w:rPr>
            </w:pPr>
          </w:p>
        </w:tc>
        <w:tc>
          <w:tcPr>
            <w:tcW w:w="851" w:type="dxa"/>
            <w:vAlign w:val="center"/>
          </w:tcPr>
          <w:p w14:paraId="6B47E42D" w14:textId="77777777" w:rsidR="00210E78" w:rsidRPr="0073067C" w:rsidRDefault="00210E78" w:rsidP="002D6F45">
            <w:pPr>
              <w:jc w:val="center"/>
              <w:rPr>
                <w:b/>
                <w:bCs/>
                <w:sz w:val="20"/>
                <w:lang w:val="fr-FR"/>
              </w:rPr>
            </w:pPr>
          </w:p>
        </w:tc>
        <w:tc>
          <w:tcPr>
            <w:tcW w:w="992" w:type="dxa"/>
            <w:vAlign w:val="center"/>
          </w:tcPr>
          <w:p w14:paraId="40098AFC" w14:textId="77777777" w:rsidR="00210E78" w:rsidRPr="0073067C" w:rsidRDefault="00210E78" w:rsidP="002D6F45">
            <w:pPr>
              <w:jc w:val="center"/>
              <w:rPr>
                <w:b/>
                <w:bCs/>
                <w:sz w:val="20"/>
                <w:lang w:val="fr-FR"/>
              </w:rPr>
            </w:pPr>
          </w:p>
        </w:tc>
        <w:tc>
          <w:tcPr>
            <w:tcW w:w="850" w:type="dxa"/>
            <w:vAlign w:val="center"/>
          </w:tcPr>
          <w:p w14:paraId="4925AA1B" w14:textId="77777777" w:rsidR="00210E78" w:rsidRPr="0073067C" w:rsidRDefault="00210E78" w:rsidP="002D6F45">
            <w:pPr>
              <w:jc w:val="center"/>
              <w:rPr>
                <w:b/>
                <w:bCs/>
                <w:sz w:val="20"/>
                <w:lang w:val="fr-FR"/>
              </w:rPr>
            </w:pPr>
          </w:p>
        </w:tc>
        <w:tc>
          <w:tcPr>
            <w:tcW w:w="709" w:type="dxa"/>
            <w:vAlign w:val="center"/>
          </w:tcPr>
          <w:p w14:paraId="44FBAF5E" w14:textId="77777777" w:rsidR="00210E78" w:rsidRPr="0073067C" w:rsidRDefault="00210E78" w:rsidP="002D6F45">
            <w:pPr>
              <w:jc w:val="center"/>
              <w:rPr>
                <w:b/>
                <w:bCs/>
                <w:sz w:val="20"/>
                <w:lang w:val="fr-FR"/>
              </w:rPr>
            </w:pPr>
          </w:p>
        </w:tc>
        <w:tc>
          <w:tcPr>
            <w:tcW w:w="709" w:type="dxa"/>
            <w:vAlign w:val="center"/>
          </w:tcPr>
          <w:p w14:paraId="06836FA9" w14:textId="77777777" w:rsidR="00210E78" w:rsidRPr="0073067C" w:rsidRDefault="00210E78" w:rsidP="002D6F45">
            <w:pPr>
              <w:jc w:val="center"/>
              <w:rPr>
                <w:b/>
                <w:bCs/>
                <w:sz w:val="20"/>
                <w:lang w:val="fr-FR"/>
              </w:rPr>
            </w:pPr>
          </w:p>
        </w:tc>
        <w:tc>
          <w:tcPr>
            <w:tcW w:w="850" w:type="dxa"/>
            <w:vAlign w:val="center"/>
          </w:tcPr>
          <w:p w14:paraId="7B5F56F2" w14:textId="77777777" w:rsidR="00210E78" w:rsidRPr="0073067C" w:rsidRDefault="00210E78" w:rsidP="002D6F45">
            <w:pPr>
              <w:jc w:val="center"/>
              <w:rPr>
                <w:b/>
                <w:bCs/>
                <w:sz w:val="20"/>
                <w:lang w:val="fr-FR"/>
              </w:rPr>
            </w:pPr>
          </w:p>
        </w:tc>
        <w:tc>
          <w:tcPr>
            <w:tcW w:w="1134" w:type="dxa"/>
            <w:vAlign w:val="center"/>
          </w:tcPr>
          <w:p w14:paraId="139776BB" w14:textId="77777777" w:rsidR="00210E78" w:rsidRPr="0073067C" w:rsidRDefault="00210E78" w:rsidP="002D6F45">
            <w:pPr>
              <w:jc w:val="center"/>
              <w:rPr>
                <w:b/>
                <w:bCs/>
                <w:sz w:val="20"/>
                <w:lang w:val="fr-FR"/>
              </w:rPr>
            </w:pPr>
            <w:r w:rsidRPr="0073067C">
              <w:rPr>
                <w:sz w:val="20"/>
                <w:lang w:val="fr-FR"/>
              </w:rPr>
              <w:t>A, B, C, D</w:t>
            </w:r>
          </w:p>
        </w:tc>
        <w:tc>
          <w:tcPr>
            <w:tcW w:w="1418" w:type="dxa"/>
            <w:vMerge/>
            <w:vAlign w:val="center"/>
          </w:tcPr>
          <w:p w14:paraId="34B29E4E" w14:textId="77777777" w:rsidR="00210E78" w:rsidRPr="0073067C" w:rsidRDefault="00210E78" w:rsidP="002D6F45">
            <w:pPr>
              <w:jc w:val="center"/>
              <w:rPr>
                <w:b/>
                <w:bCs/>
                <w:sz w:val="20"/>
                <w:lang w:val="fr-FR"/>
              </w:rPr>
            </w:pPr>
          </w:p>
        </w:tc>
      </w:tr>
      <w:tr w:rsidR="00210E78" w:rsidRPr="0073067C" w14:paraId="0518C94E" w14:textId="77777777" w:rsidTr="002D6F45">
        <w:trPr>
          <w:trHeight w:val="370"/>
        </w:trPr>
        <w:tc>
          <w:tcPr>
            <w:tcW w:w="851" w:type="dxa"/>
            <w:vAlign w:val="center"/>
          </w:tcPr>
          <w:p w14:paraId="357B0142" w14:textId="77777777" w:rsidR="00210E78" w:rsidRPr="0073067C" w:rsidRDefault="00210E78" w:rsidP="002D6F45">
            <w:pPr>
              <w:jc w:val="center"/>
              <w:rPr>
                <w:sz w:val="20"/>
                <w:lang w:val="fr-FR"/>
              </w:rPr>
            </w:pPr>
          </w:p>
        </w:tc>
        <w:tc>
          <w:tcPr>
            <w:tcW w:w="851" w:type="dxa"/>
            <w:vAlign w:val="center"/>
          </w:tcPr>
          <w:p w14:paraId="4AEC0B4E" w14:textId="77777777" w:rsidR="00210E78" w:rsidRPr="0073067C" w:rsidRDefault="00210E78" w:rsidP="002D6F45">
            <w:pPr>
              <w:jc w:val="center"/>
              <w:rPr>
                <w:b/>
                <w:bCs/>
                <w:sz w:val="20"/>
                <w:lang w:val="fr-FR"/>
              </w:rPr>
            </w:pPr>
          </w:p>
        </w:tc>
        <w:tc>
          <w:tcPr>
            <w:tcW w:w="850" w:type="dxa"/>
            <w:vAlign w:val="center"/>
          </w:tcPr>
          <w:p w14:paraId="5C7A905E" w14:textId="77777777" w:rsidR="00210E78" w:rsidRPr="0073067C" w:rsidRDefault="00210E78" w:rsidP="002D6F45">
            <w:pPr>
              <w:jc w:val="center"/>
              <w:rPr>
                <w:b/>
                <w:bCs/>
                <w:sz w:val="20"/>
                <w:lang w:val="fr-FR"/>
              </w:rPr>
            </w:pPr>
          </w:p>
        </w:tc>
        <w:tc>
          <w:tcPr>
            <w:tcW w:w="1134" w:type="dxa"/>
            <w:vAlign w:val="center"/>
          </w:tcPr>
          <w:p w14:paraId="6501489A" w14:textId="77777777" w:rsidR="00210E78" w:rsidRPr="0073067C" w:rsidRDefault="00210E78" w:rsidP="002D6F45">
            <w:pPr>
              <w:jc w:val="center"/>
              <w:rPr>
                <w:b/>
                <w:bCs/>
                <w:sz w:val="20"/>
                <w:lang w:val="fr-FR"/>
              </w:rPr>
            </w:pPr>
          </w:p>
        </w:tc>
        <w:tc>
          <w:tcPr>
            <w:tcW w:w="992" w:type="dxa"/>
          </w:tcPr>
          <w:p w14:paraId="7D4B2FB5" w14:textId="77777777" w:rsidR="00210E78" w:rsidRPr="0073067C" w:rsidRDefault="00210E78" w:rsidP="002D6F45">
            <w:pPr>
              <w:jc w:val="center"/>
              <w:rPr>
                <w:b/>
                <w:bCs/>
                <w:sz w:val="20"/>
                <w:lang w:val="fr-FR"/>
              </w:rPr>
            </w:pPr>
          </w:p>
        </w:tc>
        <w:tc>
          <w:tcPr>
            <w:tcW w:w="1134" w:type="dxa"/>
            <w:vAlign w:val="center"/>
          </w:tcPr>
          <w:p w14:paraId="487224F2" w14:textId="77777777" w:rsidR="00210E78" w:rsidRPr="0073067C" w:rsidRDefault="00210E78" w:rsidP="002D6F45">
            <w:pPr>
              <w:jc w:val="center"/>
              <w:rPr>
                <w:b/>
                <w:bCs/>
                <w:sz w:val="20"/>
                <w:lang w:val="fr-FR"/>
              </w:rPr>
            </w:pPr>
          </w:p>
        </w:tc>
        <w:tc>
          <w:tcPr>
            <w:tcW w:w="993" w:type="dxa"/>
            <w:vAlign w:val="center"/>
          </w:tcPr>
          <w:p w14:paraId="5E002ADC" w14:textId="77777777" w:rsidR="00210E78" w:rsidRPr="0073067C" w:rsidRDefault="00210E78" w:rsidP="002D6F45">
            <w:pPr>
              <w:jc w:val="center"/>
              <w:rPr>
                <w:b/>
                <w:bCs/>
                <w:sz w:val="20"/>
                <w:lang w:val="fr-FR"/>
              </w:rPr>
            </w:pPr>
          </w:p>
        </w:tc>
        <w:tc>
          <w:tcPr>
            <w:tcW w:w="1530" w:type="dxa"/>
            <w:vAlign w:val="center"/>
          </w:tcPr>
          <w:p w14:paraId="477916AF" w14:textId="77777777" w:rsidR="00210E78" w:rsidRPr="0073067C" w:rsidRDefault="00210E78" w:rsidP="002D6F45">
            <w:pPr>
              <w:jc w:val="center"/>
              <w:rPr>
                <w:b/>
                <w:bCs/>
                <w:sz w:val="20"/>
                <w:lang w:val="fr-FR"/>
              </w:rPr>
            </w:pPr>
          </w:p>
        </w:tc>
        <w:tc>
          <w:tcPr>
            <w:tcW w:w="851" w:type="dxa"/>
            <w:vAlign w:val="center"/>
          </w:tcPr>
          <w:p w14:paraId="0B680C79" w14:textId="77777777" w:rsidR="00210E78" w:rsidRPr="0073067C" w:rsidRDefault="00210E78" w:rsidP="002D6F45">
            <w:pPr>
              <w:jc w:val="center"/>
              <w:rPr>
                <w:b/>
                <w:bCs/>
                <w:sz w:val="20"/>
                <w:lang w:val="fr-FR"/>
              </w:rPr>
            </w:pPr>
          </w:p>
        </w:tc>
        <w:tc>
          <w:tcPr>
            <w:tcW w:w="992" w:type="dxa"/>
            <w:vAlign w:val="center"/>
          </w:tcPr>
          <w:p w14:paraId="31B329B7" w14:textId="77777777" w:rsidR="00210E78" w:rsidRPr="0073067C" w:rsidRDefault="00210E78" w:rsidP="002D6F45">
            <w:pPr>
              <w:jc w:val="center"/>
              <w:rPr>
                <w:b/>
                <w:bCs/>
                <w:sz w:val="20"/>
                <w:lang w:val="fr-FR"/>
              </w:rPr>
            </w:pPr>
          </w:p>
        </w:tc>
        <w:tc>
          <w:tcPr>
            <w:tcW w:w="850" w:type="dxa"/>
            <w:vAlign w:val="center"/>
          </w:tcPr>
          <w:p w14:paraId="41542E51" w14:textId="77777777" w:rsidR="00210E78" w:rsidRPr="0073067C" w:rsidRDefault="00210E78" w:rsidP="002D6F45">
            <w:pPr>
              <w:jc w:val="center"/>
              <w:rPr>
                <w:b/>
                <w:bCs/>
                <w:sz w:val="20"/>
                <w:lang w:val="fr-FR"/>
              </w:rPr>
            </w:pPr>
          </w:p>
        </w:tc>
        <w:tc>
          <w:tcPr>
            <w:tcW w:w="709" w:type="dxa"/>
            <w:vAlign w:val="center"/>
          </w:tcPr>
          <w:p w14:paraId="5581B549" w14:textId="77777777" w:rsidR="00210E78" w:rsidRPr="0073067C" w:rsidRDefault="00210E78" w:rsidP="002D6F45">
            <w:pPr>
              <w:jc w:val="center"/>
              <w:rPr>
                <w:b/>
                <w:bCs/>
                <w:sz w:val="20"/>
                <w:lang w:val="fr-FR"/>
              </w:rPr>
            </w:pPr>
          </w:p>
        </w:tc>
        <w:tc>
          <w:tcPr>
            <w:tcW w:w="709" w:type="dxa"/>
            <w:vAlign w:val="center"/>
          </w:tcPr>
          <w:p w14:paraId="6C14A5E1" w14:textId="77777777" w:rsidR="00210E78" w:rsidRPr="0073067C" w:rsidRDefault="00210E78" w:rsidP="002D6F45">
            <w:pPr>
              <w:jc w:val="center"/>
              <w:rPr>
                <w:b/>
                <w:bCs/>
                <w:sz w:val="20"/>
                <w:lang w:val="fr-FR"/>
              </w:rPr>
            </w:pPr>
          </w:p>
        </w:tc>
        <w:tc>
          <w:tcPr>
            <w:tcW w:w="850" w:type="dxa"/>
            <w:vAlign w:val="center"/>
          </w:tcPr>
          <w:p w14:paraId="6F2CAC4F" w14:textId="77777777" w:rsidR="00210E78" w:rsidRPr="0073067C" w:rsidRDefault="00210E78" w:rsidP="002D6F45">
            <w:pPr>
              <w:jc w:val="center"/>
              <w:rPr>
                <w:b/>
                <w:bCs/>
                <w:sz w:val="20"/>
                <w:lang w:val="fr-FR"/>
              </w:rPr>
            </w:pPr>
          </w:p>
        </w:tc>
        <w:tc>
          <w:tcPr>
            <w:tcW w:w="1134" w:type="dxa"/>
            <w:vAlign w:val="center"/>
          </w:tcPr>
          <w:p w14:paraId="1FDB5168" w14:textId="77777777" w:rsidR="00210E78" w:rsidRPr="0073067C" w:rsidRDefault="00210E78" w:rsidP="002D6F45">
            <w:pPr>
              <w:jc w:val="center"/>
              <w:rPr>
                <w:b/>
                <w:bCs/>
                <w:sz w:val="20"/>
                <w:lang w:val="fr-FR"/>
              </w:rPr>
            </w:pPr>
            <w:r w:rsidRPr="0073067C">
              <w:rPr>
                <w:sz w:val="20"/>
                <w:lang w:val="fr-FR"/>
              </w:rPr>
              <w:t>A, B, C, D</w:t>
            </w:r>
          </w:p>
        </w:tc>
        <w:tc>
          <w:tcPr>
            <w:tcW w:w="1418" w:type="dxa"/>
            <w:vMerge/>
            <w:vAlign w:val="center"/>
          </w:tcPr>
          <w:p w14:paraId="3BCEBC40" w14:textId="77777777" w:rsidR="00210E78" w:rsidRPr="0073067C" w:rsidRDefault="00210E78" w:rsidP="002D6F45">
            <w:pPr>
              <w:jc w:val="center"/>
              <w:rPr>
                <w:b/>
                <w:bCs/>
                <w:sz w:val="20"/>
                <w:lang w:val="fr-FR"/>
              </w:rPr>
            </w:pPr>
          </w:p>
        </w:tc>
      </w:tr>
      <w:tr w:rsidR="00210E78" w:rsidRPr="0073067C" w14:paraId="58C57E59" w14:textId="77777777" w:rsidTr="002D6F45">
        <w:trPr>
          <w:trHeight w:val="370"/>
        </w:trPr>
        <w:tc>
          <w:tcPr>
            <w:tcW w:w="851" w:type="dxa"/>
            <w:vAlign w:val="center"/>
          </w:tcPr>
          <w:p w14:paraId="22EF77F3" w14:textId="77777777" w:rsidR="00210E78" w:rsidRPr="0073067C" w:rsidRDefault="00210E78" w:rsidP="002D6F45">
            <w:pPr>
              <w:jc w:val="center"/>
              <w:rPr>
                <w:sz w:val="20"/>
                <w:lang w:val="fr-FR"/>
              </w:rPr>
            </w:pPr>
            <w:r w:rsidRPr="0073067C">
              <w:rPr>
                <w:sz w:val="20"/>
                <w:lang w:val="fr-FR"/>
              </w:rPr>
              <w:t>...</w:t>
            </w:r>
          </w:p>
        </w:tc>
        <w:tc>
          <w:tcPr>
            <w:tcW w:w="851" w:type="dxa"/>
            <w:vAlign w:val="center"/>
          </w:tcPr>
          <w:p w14:paraId="57D96B1C" w14:textId="77777777" w:rsidR="00210E78" w:rsidRPr="0073067C" w:rsidRDefault="00210E78" w:rsidP="002D6F45">
            <w:pPr>
              <w:jc w:val="center"/>
              <w:rPr>
                <w:b/>
                <w:bCs/>
                <w:sz w:val="20"/>
                <w:lang w:val="fr-FR"/>
              </w:rPr>
            </w:pPr>
          </w:p>
        </w:tc>
        <w:tc>
          <w:tcPr>
            <w:tcW w:w="850" w:type="dxa"/>
            <w:vAlign w:val="center"/>
          </w:tcPr>
          <w:p w14:paraId="4AEEF61A" w14:textId="77777777" w:rsidR="00210E78" w:rsidRPr="0073067C" w:rsidRDefault="00210E78" w:rsidP="002D6F45">
            <w:pPr>
              <w:jc w:val="center"/>
              <w:rPr>
                <w:b/>
                <w:bCs/>
                <w:sz w:val="20"/>
                <w:lang w:val="fr-FR"/>
              </w:rPr>
            </w:pPr>
          </w:p>
        </w:tc>
        <w:tc>
          <w:tcPr>
            <w:tcW w:w="1134" w:type="dxa"/>
            <w:vAlign w:val="center"/>
          </w:tcPr>
          <w:p w14:paraId="4C64109F" w14:textId="77777777" w:rsidR="00210E78" w:rsidRPr="0073067C" w:rsidRDefault="00210E78" w:rsidP="002D6F45">
            <w:pPr>
              <w:jc w:val="center"/>
              <w:rPr>
                <w:b/>
                <w:bCs/>
                <w:sz w:val="20"/>
                <w:lang w:val="fr-FR"/>
              </w:rPr>
            </w:pPr>
          </w:p>
        </w:tc>
        <w:tc>
          <w:tcPr>
            <w:tcW w:w="992" w:type="dxa"/>
          </w:tcPr>
          <w:p w14:paraId="35DE810C" w14:textId="77777777" w:rsidR="00210E78" w:rsidRPr="0073067C" w:rsidRDefault="00210E78" w:rsidP="002D6F45">
            <w:pPr>
              <w:jc w:val="center"/>
              <w:rPr>
                <w:b/>
                <w:bCs/>
                <w:sz w:val="20"/>
                <w:lang w:val="fr-FR"/>
              </w:rPr>
            </w:pPr>
          </w:p>
        </w:tc>
        <w:tc>
          <w:tcPr>
            <w:tcW w:w="1134" w:type="dxa"/>
            <w:vAlign w:val="center"/>
          </w:tcPr>
          <w:p w14:paraId="340988AB" w14:textId="77777777" w:rsidR="00210E78" w:rsidRPr="0073067C" w:rsidRDefault="00210E78" w:rsidP="002D6F45">
            <w:pPr>
              <w:jc w:val="center"/>
              <w:rPr>
                <w:b/>
                <w:bCs/>
                <w:sz w:val="20"/>
                <w:lang w:val="fr-FR"/>
              </w:rPr>
            </w:pPr>
          </w:p>
        </w:tc>
        <w:tc>
          <w:tcPr>
            <w:tcW w:w="993" w:type="dxa"/>
            <w:vAlign w:val="center"/>
          </w:tcPr>
          <w:p w14:paraId="6CCCE3C2" w14:textId="77777777" w:rsidR="00210E78" w:rsidRPr="0073067C" w:rsidRDefault="00210E78" w:rsidP="002D6F45">
            <w:pPr>
              <w:jc w:val="center"/>
              <w:rPr>
                <w:b/>
                <w:bCs/>
                <w:sz w:val="20"/>
                <w:lang w:val="fr-FR"/>
              </w:rPr>
            </w:pPr>
          </w:p>
        </w:tc>
        <w:tc>
          <w:tcPr>
            <w:tcW w:w="1530" w:type="dxa"/>
            <w:vAlign w:val="center"/>
          </w:tcPr>
          <w:p w14:paraId="0B4A68F0" w14:textId="77777777" w:rsidR="00210E78" w:rsidRPr="0073067C" w:rsidRDefault="00210E78" w:rsidP="002D6F45">
            <w:pPr>
              <w:jc w:val="center"/>
              <w:rPr>
                <w:b/>
                <w:bCs/>
                <w:sz w:val="20"/>
                <w:lang w:val="fr-FR"/>
              </w:rPr>
            </w:pPr>
          </w:p>
        </w:tc>
        <w:tc>
          <w:tcPr>
            <w:tcW w:w="851" w:type="dxa"/>
            <w:vAlign w:val="center"/>
          </w:tcPr>
          <w:p w14:paraId="40A8828C" w14:textId="77777777" w:rsidR="00210E78" w:rsidRPr="0073067C" w:rsidRDefault="00210E78" w:rsidP="002D6F45">
            <w:pPr>
              <w:jc w:val="center"/>
              <w:rPr>
                <w:b/>
                <w:bCs/>
                <w:sz w:val="20"/>
                <w:lang w:val="fr-FR"/>
              </w:rPr>
            </w:pPr>
          </w:p>
        </w:tc>
        <w:tc>
          <w:tcPr>
            <w:tcW w:w="992" w:type="dxa"/>
            <w:vAlign w:val="center"/>
          </w:tcPr>
          <w:p w14:paraId="1BA51A04" w14:textId="77777777" w:rsidR="00210E78" w:rsidRPr="0073067C" w:rsidRDefault="00210E78" w:rsidP="002D6F45">
            <w:pPr>
              <w:jc w:val="center"/>
              <w:rPr>
                <w:b/>
                <w:bCs/>
                <w:sz w:val="20"/>
                <w:lang w:val="fr-FR"/>
              </w:rPr>
            </w:pPr>
          </w:p>
        </w:tc>
        <w:tc>
          <w:tcPr>
            <w:tcW w:w="850" w:type="dxa"/>
            <w:vAlign w:val="center"/>
          </w:tcPr>
          <w:p w14:paraId="27E3C72C" w14:textId="77777777" w:rsidR="00210E78" w:rsidRPr="0073067C" w:rsidRDefault="00210E78" w:rsidP="002D6F45">
            <w:pPr>
              <w:jc w:val="center"/>
              <w:rPr>
                <w:b/>
                <w:bCs/>
                <w:sz w:val="20"/>
                <w:lang w:val="fr-FR"/>
              </w:rPr>
            </w:pPr>
          </w:p>
        </w:tc>
        <w:tc>
          <w:tcPr>
            <w:tcW w:w="709" w:type="dxa"/>
            <w:vAlign w:val="center"/>
          </w:tcPr>
          <w:p w14:paraId="685CB3E8" w14:textId="77777777" w:rsidR="00210E78" w:rsidRPr="0073067C" w:rsidRDefault="00210E78" w:rsidP="002D6F45">
            <w:pPr>
              <w:jc w:val="center"/>
              <w:rPr>
                <w:b/>
                <w:bCs/>
                <w:sz w:val="20"/>
                <w:lang w:val="fr-FR"/>
              </w:rPr>
            </w:pPr>
          </w:p>
        </w:tc>
        <w:tc>
          <w:tcPr>
            <w:tcW w:w="709" w:type="dxa"/>
            <w:vAlign w:val="center"/>
          </w:tcPr>
          <w:p w14:paraId="476EABB7" w14:textId="77777777" w:rsidR="00210E78" w:rsidRPr="0073067C" w:rsidRDefault="00210E78" w:rsidP="002D6F45">
            <w:pPr>
              <w:jc w:val="center"/>
              <w:rPr>
                <w:b/>
                <w:bCs/>
                <w:sz w:val="20"/>
                <w:lang w:val="fr-FR"/>
              </w:rPr>
            </w:pPr>
          </w:p>
        </w:tc>
        <w:tc>
          <w:tcPr>
            <w:tcW w:w="850" w:type="dxa"/>
            <w:vAlign w:val="center"/>
          </w:tcPr>
          <w:p w14:paraId="7BBE5C8D" w14:textId="77777777" w:rsidR="00210E78" w:rsidRPr="0073067C" w:rsidRDefault="00210E78" w:rsidP="002D6F45">
            <w:pPr>
              <w:jc w:val="center"/>
              <w:rPr>
                <w:b/>
                <w:bCs/>
                <w:sz w:val="20"/>
                <w:lang w:val="fr-FR"/>
              </w:rPr>
            </w:pPr>
          </w:p>
        </w:tc>
        <w:tc>
          <w:tcPr>
            <w:tcW w:w="1134" w:type="dxa"/>
            <w:vAlign w:val="center"/>
          </w:tcPr>
          <w:p w14:paraId="50F17B97" w14:textId="77777777" w:rsidR="00210E78" w:rsidRPr="0073067C" w:rsidRDefault="00210E78" w:rsidP="002D6F45">
            <w:pPr>
              <w:jc w:val="center"/>
              <w:rPr>
                <w:b/>
                <w:bCs/>
                <w:sz w:val="20"/>
                <w:lang w:val="fr-FR"/>
              </w:rPr>
            </w:pPr>
          </w:p>
        </w:tc>
        <w:tc>
          <w:tcPr>
            <w:tcW w:w="1418" w:type="dxa"/>
            <w:vAlign w:val="center"/>
          </w:tcPr>
          <w:p w14:paraId="5B1F3F1F" w14:textId="77777777" w:rsidR="00210E78" w:rsidRPr="0073067C" w:rsidRDefault="00210E78" w:rsidP="002D6F45">
            <w:pPr>
              <w:jc w:val="center"/>
              <w:rPr>
                <w:b/>
                <w:bCs/>
                <w:sz w:val="20"/>
                <w:lang w:val="fr-FR"/>
              </w:rPr>
            </w:pPr>
          </w:p>
        </w:tc>
      </w:tr>
    </w:tbl>
    <w:p w14:paraId="2B8D005D" w14:textId="77777777" w:rsidR="00210E78" w:rsidRPr="0073067C" w:rsidRDefault="00210E78" w:rsidP="00210E78">
      <w:pPr>
        <w:tabs>
          <w:tab w:val="right" w:pos="15314"/>
        </w:tabs>
        <w:ind w:firstLine="360"/>
        <w:rPr>
          <w:b/>
          <w:bCs/>
          <w:sz w:val="26"/>
          <w:szCs w:val="26"/>
        </w:rPr>
      </w:pPr>
    </w:p>
    <w:p w14:paraId="5B53B611" w14:textId="77777777" w:rsidR="00210E78" w:rsidRPr="0073067C" w:rsidRDefault="00210E78" w:rsidP="00210E78">
      <w:pPr>
        <w:ind w:firstLine="360"/>
        <w:rPr>
          <w:b/>
          <w:bCs/>
          <w:i/>
          <w:iCs/>
          <w:sz w:val="26"/>
          <w:szCs w:val="26"/>
        </w:rPr>
      </w:pPr>
      <w:r w:rsidRPr="0073067C">
        <w:rPr>
          <w:b/>
          <w:bCs/>
          <w:i/>
          <w:iCs/>
          <w:sz w:val="26"/>
          <w:szCs w:val="26"/>
        </w:rPr>
        <w:t>Ghi chú:</w:t>
      </w:r>
    </w:p>
    <w:p w14:paraId="357C928D" w14:textId="77777777" w:rsidR="00210E78" w:rsidRPr="0073067C" w:rsidRDefault="00210E78" w:rsidP="00210E78">
      <w:pPr>
        <w:ind w:firstLine="360"/>
        <w:rPr>
          <w:i/>
          <w:iCs/>
          <w:sz w:val="26"/>
          <w:szCs w:val="26"/>
        </w:rPr>
      </w:pPr>
      <w:r w:rsidRPr="0073067C">
        <w:rPr>
          <w:i/>
          <w:iCs/>
          <w:sz w:val="26"/>
          <w:szCs w:val="26"/>
        </w:rPr>
        <w:t>- (1) Tên phần (lô): Là tên phần (lô) thuộc Chương IV. Biểu mẫu mời thầu của E-HSMT</w:t>
      </w:r>
    </w:p>
    <w:p w14:paraId="070F060A" w14:textId="77777777" w:rsidR="00210E78" w:rsidRPr="0073067C" w:rsidRDefault="00210E78" w:rsidP="00210E78">
      <w:pPr>
        <w:ind w:firstLine="360"/>
        <w:rPr>
          <w:i/>
          <w:iCs/>
          <w:sz w:val="26"/>
          <w:szCs w:val="26"/>
        </w:rPr>
      </w:pPr>
      <w:r w:rsidRPr="0073067C">
        <w:rPr>
          <w:i/>
          <w:iCs/>
          <w:sz w:val="26"/>
          <w:szCs w:val="26"/>
        </w:rPr>
        <w:t>- (3) Nhà thầu chào tên thương mại của hàng hoá dự thầu;</w:t>
      </w:r>
    </w:p>
    <w:p w14:paraId="666766CD" w14:textId="77777777" w:rsidR="00210E78" w:rsidRPr="0073067C" w:rsidRDefault="00210E78" w:rsidP="00210E78">
      <w:pPr>
        <w:ind w:firstLine="360"/>
        <w:rPr>
          <w:i/>
          <w:iCs/>
          <w:sz w:val="26"/>
          <w:szCs w:val="26"/>
        </w:rPr>
      </w:pPr>
      <w:r w:rsidRPr="0073067C">
        <w:rPr>
          <w:i/>
          <w:iCs/>
          <w:sz w:val="26"/>
          <w:szCs w:val="26"/>
        </w:rPr>
        <w:t>- (2,5) Danh mục và Yêu cầu đặc tính thông số kỹ thuật theo E-HSMT;</w:t>
      </w:r>
    </w:p>
    <w:p w14:paraId="27DFB704" w14:textId="77777777" w:rsidR="00210E78" w:rsidRPr="0073067C" w:rsidRDefault="00210E78" w:rsidP="00210E78">
      <w:pPr>
        <w:ind w:firstLine="360"/>
        <w:rPr>
          <w:i/>
          <w:iCs/>
          <w:sz w:val="26"/>
          <w:szCs w:val="26"/>
        </w:rPr>
      </w:pPr>
      <w:r w:rsidRPr="0073067C">
        <w:rPr>
          <w:i/>
          <w:iCs/>
          <w:sz w:val="26"/>
          <w:szCs w:val="26"/>
        </w:rPr>
        <w:t>- (7) Tiêu chuẩn hệ thống quản lý và chứng nhận chất lượng: ISO 13485, CE, FDA hoặc tương đương.</w:t>
      </w:r>
    </w:p>
    <w:p w14:paraId="4C7CE78C" w14:textId="77777777" w:rsidR="00210E78" w:rsidRPr="0073067C" w:rsidRDefault="00210E78" w:rsidP="00210E78">
      <w:pPr>
        <w:ind w:firstLine="360"/>
        <w:rPr>
          <w:i/>
          <w:iCs/>
          <w:sz w:val="26"/>
          <w:szCs w:val="26"/>
        </w:rPr>
      </w:pPr>
      <w:r w:rsidRPr="0073067C">
        <w:rPr>
          <w:i/>
          <w:iCs/>
          <w:sz w:val="26"/>
          <w:szCs w:val="26"/>
        </w:rPr>
        <w:t>- (8) Số giấy phép lưu hành sản phẩm/ Số đăng ký lưu hành/ Số Giấy phép nhập khẩu: Hàng hóa được xác định là trang thiết bị y tế dự thầu theo quy định tại điểm a, khoản 1, điều 22 của Nghị định 98/2021/NĐ-CP ngày 08/11/2021 và Nghị định số 07/2023/NĐ-CP.</w:t>
      </w:r>
    </w:p>
    <w:p w14:paraId="6ECBD08E" w14:textId="77777777" w:rsidR="00210E78" w:rsidRPr="0073067C" w:rsidRDefault="00210E78" w:rsidP="00210E78">
      <w:pPr>
        <w:pStyle w:val="SectionVIHeader"/>
        <w:spacing w:after="120" w:line="264" w:lineRule="auto"/>
        <w:ind w:firstLine="709"/>
        <w:jc w:val="left"/>
        <w:rPr>
          <w:b w:val="0"/>
          <w:bCs/>
          <w:sz w:val="28"/>
          <w:szCs w:val="28"/>
          <w:lang w:val="nl-NL"/>
        </w:rPr>
        <w:sectPr w:rsidR="00210E78" w:rsidRPr="0073067C" w:rsidSect="00210E78">
          <w:footnotePr>
            <w:numRestart w:val="eachSect"/>
          </w:footnotePr>
          <w:pgSz w:w="16838" w:h="11906" w:orient="landscape" w:code="9"/>
          <w:pgMar w:top="1276" w:right="1134" w:bottom="1134" w:left="1134" w:header="720" w:footer="720" w:gutter="0"/>
          <w:cols w:space="720"/>
          <w:docGrid w:linePitch="381"/>
        </w:sectPr>
      </w:pPr>
      <w:r w:rsidRPr="0073067C">
        <w:rPr>
          <w:b w:val="0"/>
          <w:i/>
          <w:iCs/>
          <w:sz w:val="26"/>
          <w:szCs w:val="26"/>
        </w:rPr>
        <w:t>Nhà thầu phải chịu trách nhiệm toàn bộ các thông tin được liệt kê trong biểu này.</w:t>
      </w:r>
    </w:p>
    <w:p w14:paraId="1C0CCA9A" w14:textId="77777777" w:rsidR="00210E78" w:rsidRPr="0073067C" w:rsidRDefault="00210E78" w:rsidP="00210E78">
      <w:pPr>
        <w:pStyle w:val="SectionVIHeader"/>
        <w:spacing w:after="120" w:line="264" w:lineRule="auto"/>
        <w:ind w:firstLine="709"/>
        <w:jc w:val="left"/>
        <w:rPr>
          <w:sz w:val="28"/>
          <w:szCs w:val="28"/>
          <w:lang w:val="nl-NL"/>
        </w:rPr>
      </w:pPr>
      <w:r w:rsidRPr="0073067C">
        <w:rPr>
          <w:sz w:val="28"/>
          <w:szCs w:val="28"/>
          <w:lang w:val="nl-NL"/>
        </w:rPr>
        <w:lastRenderedPageBreak/>
        <w:t>Mục 2. Bản vẽ</w:t>
      </w:r>
    </w:p>
    <w:p w14:paraId="31C548E4" w14:textId="77777777" w:rsidR="00210E78" w:rsidRPr="0073067C" w:rsidRDefault="00210E78" w:rsidP="00210E78">
      <w:pPr>
        <w:pStyle w:val="SectionVIHeader"/>
        <w:spacing w:after="120" w:line="264" w:lineRule="auto"/>
        <w:ind w:firstLine="709"/>
        <w:jc w:val="left"/>
        <w:rPr>
          <w:b w:val="0"/>
          <w:bCs/>
          <w:sz w:val="28"/>
          <w:szCs w:val="28"/>
          <w:lang w:val="nl-NL"/>
        </w:rPr>
      </w:pPr>
      <w:r w:rsidRPr="0073067C">
        <w:rPr>
          <w:b w:val="0"/>
          <w:bCs/>
          <w:sz w:val="28"/>
          <w:szCs w:val="28"/>
          <w:lang w:val="nl-NL"/>
        </w:rPr>
        <w:t>Không có bản vẽ.</w:t>
      </w:r>
    </w:p>
    <w:p w14:paraId="788A2F96" w14:textId="77777777" w:rsidR="00210E78" w:rsidRPr="0073067C" w:rsidRDefault="00210E78" w:rsidP="00210E78">
      <w:pPr>
        <w:pStyle w:val="SectionVIHeader"/>
        <w:widowControl w:val="0"/>
        <w:spacing w:after="120" w:line="264" w:lineRule="auto"/>
        <w:ind w:firstLine="709"/>
        <w:jc w:val="left"/>
        <w:rPr>
          <w:sz w:val="32"/>
          <w:szCs w:val="32"/>
          <w:lang w:val="nl-NL"/>
        </w:rPr>
      </w:pPr>
      <w:r w:rsidRPr="0073067C">
        <w:rPr>
          <w:sz w:val="28"/>
          <w:lang w:val="nl-NL"/>
        </w:rPr>
        <w:t>Mục 3. Kiểm tra và thử nghiệm</w:t>
      </w:r>
    </w:p>
    <w:p w14:paraId="685088BF" w14:textId="77777777" w:rsidR="00210E78" w:rsidRPr="0073067C" w:rsidRDefault="00210E78" w:rsidP="00210E78">
      <w:pPr>
        <w:spacing w:after="200" w:line="276" w:lineRule="auto"/>
        <w:ind w:firstLine="709"/>
        <w:rPr>
          <w:sz w:val="28"/>
          <w:lang w:val="nl-NL"/>
        </w:rPr>
      </w:pPr>
      <w:r w:rsidRPr="0073067C">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749AFFF2" w14:textId="77777777" w:rsidR="00210E78" w:rsidRPr="0073067C" w:rsidRDefault="00210E78" w:rsidP="00210E78">
      <w:pPr>
        <w:spacing w:after="200" w:line="276" w:lineRule="auto"/>
        <w:ind w:firstLine="709"/>
        <w:rPr>
          <w:sz w:val="28"/>
          <w:lang w:val="nl-NL"/>
        </w:rPr>
      </w:pPr>
      <w:r w:rsidRPr="0073067C">
        <w:rPr>
          <w:sz w:val="28"/>
          <w:lang w:val="nl-NL"/>
        </w:rPr>
        <w:t>Nội dung kiểm tra:</w:t>
      </w:r>
    </w:p>
    <w:p w14:paraId="7959CAB7" w14:textId="77777777" w:rsidR="00210E78" w:rsidRPr="0073067C" w:rsidRDefault="00210E78" w:rsidP="00210E78">
      <w:pPr>
        <w:spacing w:after="200" w:line="276" w:lineRule="auto"/>
        <w:ind w:firstLine="709"/>
        <w:rPr>
          <w:sz w:val="28"/>
          <w:lang w:val="nl-NL"/>
        </w:rPr>
      </w:pPr>
      <w:r w:rsidRPr="0073067C">
        <w:rPr>
          <w:b/>
          <w:bCs/>
          <w:sz w:val="28"/>
          <w:lang w:val="nl-NL"/>
        </w:rPr>
        <w:t>Bước 1:</w:t>
      </w:r>
      <w:r w:rsidRPr="0073067C">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04C2CC97" w14:textId="77777777" w:rsidR="00210E78" w:rsidRPr="0073067C" w:rsidRDefault="00210E78" w:rsidP="00210E78">
      <w:pPr>
        <w:spacing w:after="200" w:line="276" w:lineRule="auto"/>
        <w:ind w:firstLine="709"/>
        <w:rPr>
          <w:sz w:val="28"/>
          <w:lang w:val="nl-NL"/>
        </w:rPr>
      </w:pPr>
      <w:r w:rsidRPr="0073067C">
        <w:rPr>
          <w:b/>
          <w:bCs/>
          <w:sz w:val="28"/>
          <w:lang w:val="nl-NL"/>
        </w:rPr>
        <w:t>Bước 2:</w:t>
      </w:r>
      <w:r w:rsidRPr="0073067C">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402F64F1" w14:textId="77777777" w:rsidR="00210E78" w:rsidRPr="0073067C" w:rsidRDefault="00210E78" w:rsidP="00210E78">
      <w:pPr>
        <w:spacing w:after="200" w:line="276" w:lineRule="auto"/>
        <w:ind w:firstLine="709"/>
        <w:rPr>
          <w:sz w:val="28"/>
          <w:lang w:val="nl-NL"/>
        </w:rPr>
      </w:pPr>
      <w:r w:rsidRPr="0073067C">
        <w:rPr>
          <w:sz w:val="28"/>
          <w:lang w:val="nl-NL"/>
        </w:rPr>
        <w:t>- Chi phí cho việc kiểm tra, thử nghiệm: Mọi chi phí cho việc kiểm tra, thử nghiệm hàng hóa đều do nhà thầu chịu trách nhiệm.</w:t>
      </w:r>
    </w:p>
    <w:p w14:paraId="75405235" w14:textId="77777777" w:rsidR="00210E78" w:rsidRPr="0073067C" w:rsidRDefault="00210E78" w:rsidP="00210E78">
      <w:pPr>
        <w:spacing w:after="200" w:line="276" w:lineRule="auto"/>
        <w:ind w:firstLine="709"/>
        <w:rPr>
          <w:sz w:val="28"/>
          <w:lang w:val="nl-NL"/>
        </w:rPr>
      </w:pPr>
      <w:r w:rsidRPr="0073067C">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F9EA13B" w14:textId="77777777" w:rsidR="00210E78" w:rsidRPr="0073067C" w:rsidRDefault="00210E78" w:rsidP="00210E78">
      <w:pPr>
        <w:spacing w:after="200" w:line="276" w:lineRule="auto"/>
        <w:ind w:firstLine="709"/>
        <w:rPr>
          <w:sz w:val="28"/>
          <w:lang w:val="nl-NL"/>
        </w:rPr>
      </w:pPr>
      <w:r w:rsidRPr="0073067C">
        <w:rPr>
          <w:b/>
          <w:bCs/>
          <w:sz w:val="28"/>
          <w:lang w:val="nl-NL"/>
        </w:rPr>
        <w:t>Bước 3:</w:t>
      </w:r>
      <w:r w:rsidRPr="0073067C">
        <w:rPr>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bookmarkEnd w:id="0"/>
    <w:p w14:paraId="29E407C9" w14:textId="77777777" w:rsidR="00B45790" w:rsidRPr="0073067C" w:rsidRDefault="00B45790" w:rsidP="00210E78"/>
    <w:sectPr w:rsidR="00B45790" w:rsidRPr="0073067C" w:rsidSect="00B45790">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1"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476842843">
    <w:abstractNumId w:val="0"/>
  </w:num>
  <w:num w:numId="2" w16cid:durableId="159917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790"/>
    <w:rsid w:val="00044FB7"/>
    <w:rsid w:val="00050802"/>
    <w:rsid w:val="00091DDB"/>
    <w:rsid w:val="001A23AD"/>
    <w:rsid w:val="001C7278"/>
    <w:rsid w:val="00210E78"/>
    <w:rsid w:val="00271790"/>
    <w:rsid w:val="002C568C"/>
    <w:rsid w:val="002E2183"/>
    <w:rsid w:val="004A7952"/>
    <w:rsid w:val="005F607C"/>
    <w:rsid w:val="0066372C"/>
    <w:rsid w:val="007042CC"/>
    <w:rsid w:val="00726206"/>
    <w:rsid w:val="0073067C"/>
    <w:rsid w:val="00762C87"/>
    <w:rsid w:val="0076665A"/>
    <w:rsid w:val="007A0C93"/>
    <w:rsid w:val="007D1FBC"/>
    <w:rsid w:val="009253DD"/>
    <w:rsid w:val="00941ADD"/>
    <w:rsid w:val="009907C6"/>
    <w:rsid w:val="00AB5F34"/>
    <w:rsid w:val="00B45790"/>
    <w:rsid w:val="00C830DB"/>
    <w:rsid w:val="00D57E2C"/>
    <w:rsid w:val="00D71CDC"/>
    <w:rsid w:val="00DA4226"/>
    <w:rsid w:val="00E459FB"/>
    <w:rsid w:val="00ED140A"/>
    <w:rsid w:val="00F76D00"/>
    <w:rsid w:val="00F8674C"/>
    <w:rsid w:val="00F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33C3"/>
  <w15:docId w15:val="{6F742190-6508-4DE4-B106-16506DF4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7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57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57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57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579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579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579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579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579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579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790"/>
    <w:rPr>
      <w:rFonts w:eastAsiaTheme="majorEastAsia" w:cstheme="majorBidi"/>
      <w:color w:val="272727" w:themeColor="text1" w:themeTint="D8"/>
    </w:rPr>
  </w:style>
  <w:style w:type="paragraph" w:styleId="Title">
    <w:name w:val="Title"/>
    <w:basedOn w:val="Normal"/>
    <w:next w:val="Normal"/>
    <w:link w:val="TitleChar"/>
    <w:uiPriority w:val="10"/>
    <w:qFormat/>
    <w:rsid w:val="00B4579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4579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B4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79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579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B4579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45790"/>
    <w:rPr>
      <w:i/>
      <w:iCs/>
      <w:color w:val="0F4761" w:themeColor="accent1" w:themeShade="BF"/>
    </w:rPr>
  </w:style>
  <w:style w:type="paragraph" w:styleId="IntenseQuote">
    <w:name w:val="Intense Quote"/>
    <w:basedOn w:val="Normal"/>
    <w:next w:val="Normal"/>
    <w:link w:val="IntenseQuoteChar"/>
    <w:uiPriority w:val="30"/>
    <w:qFormat/>
    <w:rsid w:val="00B457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45790"/>
    <w:rPr>
      <w:i/>
      <w:iCs/>
      <w:color w:val="0F4761" w:themeColor="accent1" w:themeShade="BF"/>
    </w:rPr>
  </w:style>
  <w:style w:type="character" w:styleId="IntenseReference">
    <w:name w:val="Intense Reference"/>
    <w:basedOn w:val="DefaultParagraphFont"/>
    <w:uiPriority w:val="32"/>
    <w:qFormat/>
    <w:rsid w:val="00B45790"/>
    <w:rPr>
      <w:b/>
      <w:bCs/>
      <w:smallCaps/>
      <w:color w:val="0F4761" w:themeColor="accent1" w:themeShade="BF"/>
      <w:spacing w:val="5"/>
    </w:rPr>
  </w:style>
  <w:style w:type="paragraph" w:customStyle="1" w:styleId="SectionVIHeader">
    <w:name w:val="Section VI. Header"/>
    <w:basedOn w:val="Normal"/>
    <w:uiPriority w:val="99"/>
    <w:rsid w:val="00B4579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1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 tuvan</dc:creator>
  <cp:lastModifiedBy>Khanh</cp:lastModifiedBy>
  <cp:revision>20</cp:revision>
  <cp:lastPrinted>2025-08-19T02:32:00Z</cp:lastPrinted>
  <dcterms:created xsi:type="dcterms:W3CDTF">2025-08-11T04:06:00Z</dcterms:created>
  <dcterms:modified xsi:type="dcterms:W3CDTF">2025-09-04T10:48:00Z</dcterms:modified>
</cp:coreProperties>
</file>