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C47" w:rsidRPr="00A85E76" w:rsidRDefault="00CE4C47" w:rsidP="00CE4C47">
      <w:pPr>
        <w:pStyle w:val="TOC1"/>
      </w:pPr>
      <w:bookmarkStart w:id="0" w:name="_GoBack"/>
      <w:bookmarkEnd w:id="0"/>
      <w:r w:rsidRPr="00A85E76">
        <w:t xml:space="preserve">Mục </w:t>
      </w:r>
      <w:r w:rsidRPr="00A85E76">
        <w:rPr>
          <w:lang w:val="pl-PL"/>
        </w:rPr>
        <w:t>3</w:t>
      </w:r>
      <w:r w:rsidRPr="00A85E76">
        <w:t>. Tiêu chuẩn đánh giá về kỹ thuật</w:t>
      </w:r>
    </w:p>
    <w:p w:rsidR="00CE4C47" w:rsidRDefault="00CE4C47"/>
    <w:tbl>
      <w:tblPr>
        <w:tblStyle w:val="TableGrid"/>
        <w:tblW w:w="9469" w:type="dxa"/>
        <w:tblInd w:w="-147" w:type="dxa"/>
        <w:tblLook w:val="04A0" w:firstRow="1" w:lastRow="0" w:firstColumn="1" w:lastColumn="0" w:noHBand="0" w:noVBand="1"/>
      </w:tblPr>
      <w:tblGrid>
        <w:gridCol w:w="2523"/>
        <w:gridCol w:w="5529"/>
        <w:gridCol w:w="1417"/>
      </w:tblGrid>
      <w:tr w:rsidR="00CE4C47" w:rsidRPr="00015700" w:rsidTr="004028ED">
        <w:trPr>
          <w:trHeight w:val="980"/>
        </w:trPr>
        <w:tc>
          <w:tcPr>
            <w:tcW w:w="8052" w:type="dxa"/>
            <w:gridSpan w:val="2"/>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Nội dung đánh giá</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Tiêu chí đánh giá</w:t>
            </w:r>
          </w:p>
        </w:tc>
      </w:tr>
      <w:tr w:rsidR="00CE4C47" w:rsidRPr="00015700" w:rsidTr="004028ED">
        <w:tc>
          <w:tcPr>
            <w:tcW w:w="9469" w:type="dxa"/>
            <w:gridSpan w:val="3"/>
          </w:tcPr>
          <w:p w:rsidR="00CE4C47" w:rsidRPr="00015700" w:rsidRDefault="00CE4C47" w:rsidP="00CE4C47">
            <w:pPr>
              <w:numPr>
                <w:ilvl w:val="0"/>
                <w:numId w:val="1"/>
              </w:numPr>
              <w:tabs>
                <w:tab w:val="left" w:pos="306"/>
              </w:tabs>
              <w:spacing w:line="276" w:lineRule="auto"/>
              <w:ind w:left="8" w:firstLine="22"/>
              <w:contextualSpacing/>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Đặc tính, thông số và công nghệ kỹ thuật của hàng hóa, tiêu chuẩn sản xuất, chất lượng của hàng hóa cung cấp</w:t>
            </w:r>
          </w:p>
        </w:tc>
      </w:tr>
      <w:tr w:rsidR="00CE4C47" w:rsidRPr="00015700" w:rsidTr="004028ED">
        <w:trPr>
          <w:trHeight w:val="728"/>
        </w:trPr>
        <w:tc>
          <w:tcPr>
            <w:tcW w:w="2523" w:type="dxa"/>
            <w:vMerge w:val="restart"/>
            <w:vAlign w:val="center"/>
          </w:tcPr>
          <w:p w:rsidR="00CE4C47" w:rsidRPr="00015700" w:rsidRDefault="00CE4C47" w:rsidP="00CE4C47">
            <w:pPr>
              <w:numPr>
                <w:ilvl w:val="1"/>
                <w:numId w:val="1"/>
              </w:numPr>
              <w:tabs>
                <w:tab w:val="left" w:pos="447"/>
              </w:tabs>
              <w:spacing w:line="276" w:lineRule="auto"/>
              <w:ind w:left="22" w:hanging="22"/>
              <w:contextualSpacing/>
              <w:jc w:val="left"/>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Đặt tính, thông số và công nghệ kỹ thuật của hàng hóa, tiêu chuẩn sản xuất, chất lượng của hàng hóa cung cấp</w:t>
            </w:r>
          </w:p>
        </w:tc>
        <w:tc>
          <w:tcPr>
            <w:tcW w:w="5529" w:type="dxa"/>
          </w:tcPr>
          <w:p w:rsidR="00CE4C47" w:rsidRPr="00015700" w:rsidRDefault="00CE4C47" w:rsidP="00CE4C47">
            <w:pPr>
              <w:numPr>
                <w:ilvl w:val="0"/>
                <w:numId w:val="2"/>
              </w:numPr>
              <w:tabs>
                <w:tab w:val="left" w:pos="447"/>
              </w:tabs>
              <w:spacing w:line="276" w:lineRule="auto"/>
              <w:ind w:left="22" w:firstLine="14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Có nêu rõ đặc tính, cấu hình, tính năng kỹ thuật đáp ứng 100% các yêu cầu kỹ thuật chi tiết theo yêu cầu E-HSMT.</w:t>
            </w:r>
          </w:p>
          <w:p w:rsidR="00CE4C47" w:rsidRPr="00015700" w:rsidRDefault="00CE4C47" w:rsidP="00CE4C47">
            <w:pPr>
              <w:numPr>
                <w:ilvl w:val="0"/>
                <w:numId w:val="2"/>
              </w:numPr>
              <w:tabs>
                <w:tab w:val="left" w:pos="447"/>
              </w:tabs>
              <w:spacing w:line="276" w:lineRule="auto"/>
              <w:ind w:left="22" w:firstLine="14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có bảng chào kỹ thuật đầy đủ nội dung: Tên hàng hóa, model (hoặc mã ký hiệu), nhà sản xuất, xuất xứ, năm sản xuất đặt tính kỹ thuật, tiêu chuẩn chế tạo và công nghệ (nếu có) … tương đương hoặc cao hơn yêu cầu kỹ thuật tại chương V của E-HSMT.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579"/>
        </w:trPr>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9942"/>
        </w:trPr>
        <w:tc>
          <w:tcPr>
            <w:tcW w:w="2523" w:type="dxa"/>
            <w:vAlign w:val="center"/>
          </w:tcPr>
          <w:p w:rsidR="00CE4C47" w:rsidRPr="00015700" w:rsidRDefault="00CE4C47" w:rsidP="00CE4C47">
            <w:pPr>
              <w:numPr>
                <w:ilvl w:val="1"/>
                <w:numId w:val="1"/>
              </w:numPr>
              <w:tabs>
                <w:tab w:val="left" w:pos="456"/>
              </w:tabs>
              <w:spacing w:line="276" w:lineRule="auto"/>
              <w:ind w:left="30" w:firstLine="0"/>
              <w:contextualSpacing/>
              <w:jc w:val="left"/>
              <w:rPr>
                <w:rFonts w:asciiTheme="majorHAnsi" w:hAnsiTheme="majorHAnsi" w:cstheme="majorHAnsi"/>
                <w:color w:val="0070C0"/>
                <w:sz w:val="28"/>
                <w:szCs w:val="28"/>
              </w:rPr>
            </w:pPr>
            <w:r w:rsidRPr="00015700">
              <w:rPr>
                <w:rFonts w:asciiTheme="majorHAnsi" w:hAnsiTheme="majorHAnsi" w:cstheme="majorHAnsi"/>
                <w:color w:val="0070C0"/>
                <w:sz w:val="28"/>
                <w:szCs w:val="28"/>
              </w:rPr>
              <w:lastRenderedPageBreak/>
              <w:t xml:space="preserve"> Chất lượng của hàng hóa</w:t>
            </w:r>
          </w:p>
        </w:tc>
        <w:tc>
          <w:tcPr>
            <w:tcW w:w="5529" w:type="dxa"/>
          </w:tcPr>
          <w:p w:rsidR="00CE4C47" w:rsidRPr="00015700" w:rsidRDefault="00CE4C47" w:rsidP="00CE4C47">
            <w:pPr>
              <w:numPr>
                <w:ilvl w:val="0"/>
                <w:numId w:val="2"/>
              </w:numPr>
              <w:tabs>
                <w:tab w:val="left" w:pos="163"/>
                <w:tab w:val="left" w:pos="457"/>
              </w:tabs>
              <w:spacing w:line="276" w:lineRule="auto"/>
              <w:ind w:left="32" w:firstLine="142"/>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Hàng hóa là nhà thầu đề xuất cung cấp cho gói thầu này mới 100% chưa qua sử dụng, sản xuất từ năm 2024 trở lại đây.</w:t>
            </w:r>
          </w:p>
          <w:p w:rsidR="00CE4C47" w:rsidRPr="00015700" w:rsidRDefault="00CE4C47" w:rsidP="00CE4C47">
            <w:pPr>
              <w:numPr>
                <w:ilvl w:val="0"/>
                <w:numId w:val="2"/>
              </w:numPr>
              <w:tabs>
                <w:tab w:val="left" w:pos="163"/>
                <w:tab w:val="left" w:pos="316"/>
              </w:tabs>
              <w:spacing w:line="276" w:lineRule="auto"/>
              <w:ind w:left="0" w:firstLine="174"/>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Nhà thầu phải có văn bản cam kết hàng hóa chào thầu có nguồn gốc xuất xứ rõ ràng (ghi rõ nhãn mác, hãng sản xuất, không vi phạm các quy định về sở hữu trí tuệ, sở hữu nhãn mác của Việt Nam và quốc tế).</w:t>
            </w:r>
          </w:p>
          <w:p w:rsidR="00CE4C47" w:rsidRPr="00015700" w:rsidRDefault="00CE4C47" w:rsidP="00CE4C47">
            <w:pPr>
              <w:numPr>
                <w:ilvl w:val="0"/>
                <w:numId w:val="2"/>
              </w:numPr>
              <w:tabs>
                <w:tab w:val="left" w:pos="163"/>
                <w:tab w:val="left" w:pos="316"/>
              </w:tabs>
              <w:spacing w:line="276" w:lineRule="auto"/>
              <w:ind w:left="0" w:firstLine="174"/>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có cam kết khi bàn giao hàng hóa, nhà thầu phải cung cấp đối với hàng hóa nhập khẩu: Bản sao có chứng thực giấy chứng nhận nguồn gốc xuất xứ hàng hóa (CO) và bản gốc giấy chứng nhận chất lượng sản phẩm (CQ); Đối với hàng hóa trong nước: Bản gốc giấy chứng nhận chất lượng, phiếu xuất xưởng của nhà sản xuất;</w:t>
            </w:r>
          </w:p>
          <w:p w:rsidR="00CE4C47" w:rsidRPr="00015700" w:rsidRDefault="00CE4C47" w:rsidP="00CE4C47">
            <w:pPr>
              <w:numPr>
                <w:ilvl w:val="0"/>
                <w:numId w:val="2"/>
              </w:numPr>
              <w:tabs>
                <w:tab w:val="left" w:pos="163"/>
                <w:tab w:val="left" w:pos="316"/>
              </w:tabs>
              <w:spacing w:line="276" w:lineRule="auto"/>
              <w:ind w:left="0" w:firstLine="174"/>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Đáp ứng các yêu cầu đối với các thiết bị nêu tại chương V của E-HSMT như sau: Nhà thầu phải có Catalogue của thiết bị phù hợp với thông số do nhà thầu đề xuất và đáp ứng yêu cầu của E-HSMT, </w:t>
            </w:r>
            <w:r w:rsidRPr="00015700">
              <w:rPr>
                <w:rFonts w:asciiTheme="majorHAnsi" w:hAnsiTheme="majorHAnsi" w:cstheme="majorHAnsi"/>
                <w:b/>
                <w:color w:val="0070C0"/>
                <w:sz w:val="28"/>
                <w:szCs w:val="28"/>
              </w:rPr>
              <w:t>đối với thiết bị là đồ gỗ nhà thầu nộp kèm hình chụp có mô tả thông số kỹ thuật chi tiết của thiết bị</w:t>
            </w:r>
            <w:r w:rsidRPr="00015700">
              <w:rPr>
                <w:rFonts w:asciiTheme="majorHAnsi" w:hAnsiTheme="majorHAnsi" w:cstheme="majorHAnsi"/>
                <w:color w:val="0070C0"/>
                <w:sz w:val="28"/>
                <w:szCs w:val="28"/>
              </w:rPr>
              <w:t>. Các thông số của thiết bị phải là tiếng Việt, nếu là tiếng nước ngoài nhà thầu phải cung cấp bản dịch thuật sang tiếng Việt khi có yêu cầu của Bên mời thầu.</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1044"/>
        </w:trPr>
        <w:tc>
          <w:tcPr>
            <w:tcW w:w="2523" w:type="dxa"/>
            <w:tcBorders>
              <w:top w:val="nil"/>
            </w:tcBorders>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698"/>
        </w:trPr>
        <w:tc>
          <w:tcPr>
            <w:tcW w:w="9469" w:type="dxa"/>
            <w:gridSpan w:val="3"/>
            <w:vAlign w:val="center"/>
          </w:tcPr>
          <w:p w:rsidR="00CE4C47" w:rsidRPr="00015700" w:rsidRDefault="00CE4C47" w:rsidP="00CE4C47">
            <w:pPr>
              <w:numPr>
                <w:ilvl w:val="0"/>
                <w:numId w:val="1"/>
              </w:numPr>
              <w:tabs>
                <w:tab w:val="left" w:pos="306"/>
              </w:tabs>
              <w:spacing w:line="276" w:lineRule="auto"/>
              <w:ind w:left="0" w:firstLine="0"/>
              <w:contextualSpacing/>
              <w:jc w:val="left"/>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Giải pháp kỹ thuật, biện pháp tổ chức cung cấp, lắp đặt hàng hóa</w:t>
            </w:r>
          </w:p>
        </w:tc>
      </w:tr>
      <w:tr w:rsidR="00CE4C47" w:rsidRPr="00015700" w:rsidTr="004028ED">
        <w:tc>
          <w:tcPr>
            <w:tcW w:w="2523" w:type="dxa"/>
            <w:vMerge w:val="restart"/>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2.2.</w:t>
            </w:r>
            <w:r w:rsidRPr="00015700">
              <w:rPr>
                <w:color w:val="0070C0"/>
                <w:sz w:val="28"/>
                <w:szCs w:val="28"/>
              </w:rPr>
              <w:t xml:space="preserve"> </w:t>
            </w:r>
            <w:r w:rsidRPr="00015700">
              <w:rPr>
                <w:rFonts w:asciiTheme="majorHAnsi" w:hAnsiTheme="majorHAnsi" w:cstheme="majorHAnsi"/>
                <w:color w:val="0070C0"/>
                <w:sz w:val="28"/>
                <w:szCs w:val="28"/>
              </w:rPr>
              <w:t>Kế hoạch triển khai gói thầu</w:t>
            </w:r>
          </w:p>
        </w:tc>
        <w:tc>
          <w:tcPr>
            <w:tcW w:w="5529" w:type="dxa"/>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trình bày chi tiết kế hoạch triển khai gói thầu (từ khi ký hợp đồng đến khi thanh lý hợp đồng). Mỗi một công việc phải được phân tích, mô tả phù hợp với gói thầu và bảng tiến độ nhà thầu đề xuất.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 xml:space="preserve">Không </w:t>
            </w:r>
            <w:r w:rsidRPr="00015700">
              <w:rPr>
                <w:rFonts w:asciiTheme="majorHAnsi" w:hAnsiTheme="majorHAnsi" w:cstheme="majorHAnsi"/>
                <w:b/>
                <w:bCs/>
                <w:color w:val="0070C0"/>
                <w:sz w:val="28"/>
                <w:szCs w:val="28"/>
              </w:rPr>
              <w:lastRenderedPageBreak/>
              <w:t>đạt</w:t>
            </w:r>
          </w:p>
        </w:tc>
      </w:tr>
      <w:tr w:rsidR="00CE4C47" w:rsidRPr="00015700" w:rsidTr="004028ED">
        <w:tc>
          <w:tcPr>
            <w:tcW w:w="2523" w:type="dxa"/>
            <w:vMerge w:val="restart"/>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lastRenderedPageBreak/>
              <w:t>2.3.</w:t>
            </w:r>
            <w:r w:rsidRPr="00015700">
              <w:rPr>
                <w:color w:val="0070C0"/>
                <w:sz w:val="28"/>
                <w:szCs w:val="28"/>
              </w:rPr>
              <w:t xml:space="preserve"> </w:t>
            </w:r>
            <w:r w:rsidRPr="00015700">
              <w:rPr>
                <w:rFonts w:asciiTheme="majorHAnsi" w:hAnsiTheme="majorHAnsi" w:cstheme="majorHAnsi"/>
                <w:color w:val="0070C0"/>
                <w:sz w:val="28"/>
                <w:szCs w:val="28"/>
              </w:rPr>
              <w:t>Quy trình cung cấp, lắp đặt hàng hóa</w:t>
            </w:r>
          </w:p>
        </w:tc>
        <w:tc>
          <w:tcPr>
            <w:tcW w:w="5529" w:type="dxa"/>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trình bày đầy đủ, hợp lý quy trình cung cấp, lắp đặt đầy đủ các loại hàng hóa cho gói thầu.</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2523" w:type="dxa"/>
            <w:vMerge w:val="restart"/>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2.4.</w:t>
            </w:r>
            <w:r w:rsidRPr="00015700">
              <w:rPr>
                <w:color w:val="0070C0"/>
                <w:sz w:val="28"/>
                <w:szCs w:val="28"/>
              </w:rPr>
              <w:t xml:space="preserve"> </w:t>
            </w:r>
            <w:r w:rsidRPr="00015700">
              <w:rPr>
                <w:rFonts w:asciiTheme="majorHAnsi" w:hAnsiTheme="majorHAnsi" w:cstheme="majorHAnsi"/>
                <w:color w:val="0070C0"/>
                <w:sz w:val="28"/>
                <w:szCs w:val="28"/>
              </w:rPr>
              <w:t>Quy trình hỗ trợ, bảo hành, bảo trì của nhà thầu và biện pháp quản lý, theo dõi bảo hành, bảo trì hàng hóa</w:t>
            </w:r>
          </w:p>
        </w:tc>
        <w:tc>
          <w:tcPr>
            <w:tcW w:w="5529" w:type="dxa"/>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trình bày đầy đủ, hợp lý, khả thi quy trình hỗ trợ, bảo hành, bảo trì của nhà thầu và biện pháp quản lý, theo dõi bảo hành, bảo trì hàng hóa</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1328"/>
        </w:trPr>
        <w:tc>
          <w:tcPr>
            <w:tcW w:w="2523" w:type="dxa"/>
            <w:vMerge w:val="restart"/>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2.5.</w:t>
            </w:r>
            <w:r w:rsidRPr="00015700">
              <w:rPr>
                <w:color w:val="0070C0"/>
                <w:sz w:val="28"/>
                <w:szCs w:val="28"/>
              </w:rPr>
              <w:t xml:space="preserve"> </w:t>
            </w:r>
            <w:r w:rsidRPr="00015700">
              <w:rPr>
                <w:rFonts w:asciiTheme="majorHAnsi" w:hAnsiTheme="majorHAnsi" w:cstheme="majorHAnsi"/>
                <w:color w:val="0070C0"/>
                <w:sz w:val="28"/>
                <w:szCs w:val="28"/>
              </w:rPr>
              <w:t>Giải pháp kỹ thuật, biện pháp kiểm thử, vận hành thử hàng hóa sau khi lắp đặt</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trình bày đầy đủ, hợp lý, khả thi giải pháp kỹ thuật, biện pháp kiểm thử, vận hành thử hàng hóa sau khi lắp đặt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9469" w:type="dxa"/>
            <w:gridSpan w:val="3"/>
          </w:tcPr>
          <w:p w:rsidR="00CE4C47" w:rsidRPr="00015700" w:rsidRDefault="00CE4C47" w:rsidP="00CE4C47">
            <w:pPr>
              <w:numPr>
                <w:ilvl w:val="0"/>
                <w:numId w:val="1"/>
              </w:numPr>
              <w:tabs>
                <w:tab w:val="left" w:pos="306"/>
              </w:tabs>
              <w:spacing w:line="276" w:lineRule="auto"/>
              <w:ind w:left="8" w:firstLine="22"/>
              <w:contextualSpacing/>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Biện pháp bảo đảm vệ sinh môi trường, an toàn lao động, phòng chống cháy nổ</w:t>
            </w:r>
          </w:p>
        </w:tc>
      </w:tr>
      <w:tr w:rsidR="00CE4C47" w:rsidRPr="00015700" w:rsidTr="004028ED">
        <w:trPr>
          <w:trHeight w:val="1549"/>
        </w:trPr>
        <w:tc>
          <w:tcPr>
            <w:tcW w:w="2523" w:type="dxa"/>
            <w:vMerge w:val="restart"/>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Biện pháp bảo đảm vệ sinh môi trường; Biện pháp bảo đảm an toàn lao động; Biện pháp bảo đảm phòng chống cháy nổ trong quá trình thực hiện gói thầu</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Có thuyết minh hợp lý, khả thi cho đầy đủ 03 biện pháp yêu cầu, phù hợp với tính chất gói thầu</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556"/>
        </w:trPr>
        <w:tc>
          <w:tcPr>
            <w:tcW w:w="9469" w:type="dxa"/>
            <w:gridSpan w:val="3"/>
            <w:vAlign w:val="center"/>
          </w:tcPr>
          <w:p w:rsidR="00CE4C47" w:rsidRPr="00015700" w:rsidRDefault="00CE4C47" w:rsidP="00CE4C47">
            <w:pPr>
              <w:numPr>
                <w:ilvl w:val="0"/>
                <w:numId w:val="1"/>
              </w:numPr>
              <w:tabs>
                <w:tab w:val="left" w:pos="314"/>
              </w:tabs>
              <w:spacing w:line="276" w:lineRule="auto"/>
              <w:ind w:left="30"/>
              <w:contextualSpacing/>
              <w:jc w:val="left"/>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4</w:t>
            </w:r>
            <w:r w:rsidRPr="00015700">
              <w:rPr>
                <w:color w:val="0070C0"/>
                <w:sz w:val="28"/>
                <w:szCs w:val="28"/>
              </w:rPr>
              <w:t xml:space="preserve">. </w:t>
            </w:r>
            <w:r w:rsidRPr="00015700">
              <w:rPr>
                <w:rFonts w:asciiTheme="majorHAnsi" w:hAnsiTheme="majorHAnsi" w:cstheme="majorHAnsi"/>
                <w:b/>
                <w:bCs/>
                <w:color w:val="0070C0"/>
                <w:sz w:val="28"/>
                <w:szCs w:val="28"/>
              </w:rPr>
              <w:t>Tiến độ cung cấp, lắp đặt hàng hóa</w:t>
            </w:r>
          </w:p>
        </w:tc>
      </w:tr>
      <w:tr w:rsidR="00CE4C47" w:rsidRPr="00015700" w:rsidTr="004028ED">
        <w:tc>
          <w:tcPr>
            <w:tcW w:w="2523" w:type="dxa"/>
            <w:vMerge w:val="restart"/>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Bảng tiến độ cung cấp hàng hóa hợp lý, khả thi phù hợp với đề xuất kỹ thuật, đáp ứng yêu cầu của E-HSMT</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Có bảng biểu tiến độ cung cấp hàng hóa hợp lý, khả thi và phù hợp với thuyết minh chi tiết kế hoạch cung cấp, có thời gian thực hiện ≤ 15 ngày kể từ ngày hợp đồng có hiệu lực.</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9469" w:type="dxa"/>
            <w:gridSpan w:val="3"/>
            <w:vAlign w:val="center"/>
          </w:tcPr>
          <w:p w:rsidR="00CE4C47" w:rsidRPr="00015700" w:rsidRDefault="00CE4C47" w:rsidP="00CE4C47">
            <w:pPr>
              <w:numPr>
                <w:ilvl w:val="0"/>
                <w:numId w:val="1"/>
              </w:numPr>
              <w:tabs>
                <w:tab w:val="left" w:pos="314"/>
              </w:tabs>
              <w:spacing w:line="276" w:lineRule="auto"/>
              <w:ind w:left="8" w:firstLine="0"/>
              <w:contextualSpacing/>
              <w:jc w:val="left"/>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lastRenderedPageBreak/>
              <w:t>Điều kiện lắp đặt và vận chuyển</w:t>
            </w:r>
          </w:p>
        </w:tc>
      </w:tr>
      <w:tr w:rsidR="00CE4C47" w:rsidRPr="00015700" w:rsidTr="004028ED">
        <w:tc>
          <w:tcPr>
            <w:tcW w:w="2523" w:type="dxa"/>
            <w:vMerge w:val="restart"/>
            <w:vAlign w:val="center"/>
          </w:tcPr>
          <w:p w:rsidR="00CE4C47" w:rsidRPr="00015700" w:rsidRDefault="00CE4C47" w:rsidP="00CE4C47">
            <w:pPr>
              <w:pStyle w:val="ListParagraph"/>
              <w:numPr>
                <w:ilvl w:val="1"/>
                <w:numId w:val="1"/>
              </w:numPr>
              <w:tabs>
                <w:tab w:val="left" w:pos="434"/>
              </w:tabs>
              <w:spacing w:line="276" w:lineRule="auto"/>
              <w:ind w:left="0" w:firstLine="8"/>
              <w:jc w:val="left"/>
              <w:rPr>
                <w:rFonts w:asciiTheme="majorHAnsi" w:hAnsiTheme="majorHAnsi" w:cstheme="majorHAnsi"/>
                <w:color w:val="0070C0"/>
                <w:sz w:val="28"/>
                <w:szCs w:val="28"/>
              </w:rPr>
            </w:pPr>
            <w:r w:rsidRPr="00015700">
              <w:rPr>
                <w:rFonts w:asciiTheme="majorHAnsi" w:hAnsiTheme="majorHAnsi" w:cstheme="majorHAnsi"/>
                <w:color w:val="0070C0"/>
                <w:sz w:val="28"/>
                <w:szCs w:val="28"/>
              </w:rPr>
              <w:t>Vân chuyển và lắp đặt</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cam kết hàng hóa được bao bọc đúng quy cách trong quá trình vận chuyển, cung cấp; Có trách nhiệm phối hợp với đơn vị sử dụng giám sát quá trình lắp đặt.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495"/>
        </w:trPr>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có cam kết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812"/>
        </w:trPr>
        <w:tc>
          <w:tcPr>
            <w:tcW w:w="2523" w:type="dxa"/>
            <w:vMerge w:val="restart"/>
            <w:vAlign w:val="center"/>
          </w:tcPr>
          <w:p w:rsidR="00CE4C47" w:rsidRPr="00015700" w:rsidRDefault="00CE4C47" w:rsidP="00CE4C47">
            <w:pPr>
              <w:pStyle w:val="ListParagraph"/>
              <w:numPr>
                <w:ilvl w:val="1"/>
                <w:numId w:val="1"/>
              </w:numPr>
              <w:tabs>
                <w:tab w:val="left" w:pos="434"/>
              </w:tabs>
              <w:spacing w:line="276" w:lineRule="auto"/>
              <w:ind w:left="8" w:firstLine="0"/>
              <w:jc w:val="left"/>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Địa điểm cung cấp</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cam kết giao hàng đúng địa điểm yêu cầu của chủ đầu tư nêu trong E-HSMT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483"/>
        </w:trPr>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có cam kết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1639"/>
        </w:trPr>
        <w:tc>
          <w:tcPr>
            <w:tcW w:w="2523" w:type="dxa"/>
            <w:vMerge w:val="restart"/>
          </w:tcPr>
          <w:p w:rsidR="00CE4C47" w:rsidRPr="00015700" w:rsidRDefault="00CE4C47" w:rsidP="00CE4C47">
            <w:pPr>
              <w:pStyle w:val="ListParagraph"/>
              <w:numPr>
                <w:ilvl w:val="1"/>
                <w:numId w:val="1"/>
              </w:numPr>
              <w:tabs>
                <w:tab w:val="left" w:pos="434"/>
              </w:tabs>
              <w:spacing w:line="276" w:lineRule="auto"/>
              <w:ind w:left="8" w:firstLine="0"/>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Cam kết về bồi thường thiệt hại</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cam kết bồi thường thiệt hại nếu xảy ra sự cố hư hỏng, cháy nổ gây thiệt hại cho chủ đầu tư trong quá trình cung cấp hàng hóa nếu do lỗi của nhân sự nhà thầu thực hiện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555"/>
        </w:trPr>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có cam kết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rPr>
          <w:trHeight w:val="2021"/>
        </w:trPr>
        <w:tc>
          <w:tcPr>
            <w:tcW w:w="2523" w:type="dxa"/>
            <w:vMerge w:val="restart"/>
          </w:tcPr>
          <w:p w:rsidR="00CE4C47" w:rsidRPr="00015700" w:rsidRDefault="00CE4C47" w:rsidP="00CE4C47">
            <w:pPr>
              <w:pStyle w:val="ListParagraph"/>
              <w:numPr>
                <w:ilvl w:val="1"/>
                <w:numId w:val="1"/>
              </w:numPr>
              <w:tabs>
                <w:tab w:val="left" w:pos="434"/>
              </w:tabs>
              <w:spacing w:line="276" w:lineRule="auto"/>
              <w:ind w:left="8" w:firstLine="0"/>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Cam kết thu hồi hàng hóa</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cam kết thu hồi hàng hóa trong trường hợp đã giao hàng nhưng không đảm bảo chất lượng, hoặc có thông báo thu hồi của cơ quan có thẩm quyền mà nguyên nhân không do lỗi của chủ đầu tư</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rPr>
          <w:trHeight w:val="445"/>
        </w:trPr>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có cam kết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9469" w:type="dxa"/>
            <w:gridSpan w:val="3"/>
            <w:vAlign w:val="center"/>
          </w:tcPr>
          <w:p w:rsidR="00CE4C47" w:rsidRPr="00015700" w:rsidRDefault="00CE4C47" w:rsidP="00CE4C47">
            <w:pPr>
              <w:numPr>
                <w:ilvl w:val="0"/>
                <w:numId w:val="1"/>
              </w:numPr>
              <w:tabs>
                <w:tab w:val="left" w:pos="314"/>
              </w:tabs>
              <w:spacing w:line="276" w:lineRule="auto"/>
              <w:ind w:hanging="720"/>
              <w:contextualSpacing/>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Bảo hành, bảo trì</w:t>
            </w:r>
          </w:p>
        </w:tc>
      </w:tr>
      <w:tr w:rsidR="00CE4C47" w:rsidRPr="00015700" w:rsidTr="004028ED">
        <w:tc>
          <w:tcPr>
            <w:tcW w:w="2523" w:type="dxa"/>
            <w:vMerge w:val="restart"/>
            <w:vAlign w:val="center"/>
          </w:tcPr>
          <w:p w:rsidR="00CE4C47" w:rsidRPr="00015700" w:rsidRDefault="00CE4C47" w:rsidP="00CE4C47">
            <w:pPr>
              <w:pStyle w:val="ListParagraph"/>
              <w:numPr>
                <w:ilvl w:val="1"/>
                <w:numId w:val="1"/>
              </w:numPr>
              <w:tabs>
                <w:tab w:val="left" w:pos="434"/>
              </w:tabs>
              <w:spacing w:line="276" w:lineRule="auto"/>
              <w:ind w:left="0" w:firstLine="0"/>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Thời gian bảo hành, bảo trì</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Thời gian do nhà thầu đề xuất phải đáp ứng yêu cầu kỹ thuật, bảo đảm thời gian bảo hành theo quy định của nhà sản xuất và tối thiểu phải là 12 tháng (khuyến khích tăng thời gian bảo hành)</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2523" w:type="dxa"/>
            <w:vMerge w:val="restart"/>
            <w:vAlign w:val="center"/>
          </w:tcPr>
          <w:p w:rsidR="00CE4C47" w:rsidRPr="00015700" w:rsidRDefault="00CE4C47" w:rsidP="00CE4C47">
            <w:pPr>
              <w:pStyle w:val="ListParagraph"/>
              <w:numPr>
                <w:ilvl w:val="1"/>
                <w:numId w:val="1"/>
              </w:numPr>
              <w:tabs>
                <w:tab w:val="left" w:pos="434"/>
              </w:tabs>
              <w:spacing w:line="276" w:lineRule="auto"/>
              <w:ind w:left="0" w:firstLine="8"/>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Phương thức bảo hành, bảo trì</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Nhà thầu cam kết khi có yêu cầu về bảo hành, nhà thầu phải cử chuyên gia không chậm quá 24 giờ kể từ khi nhận được yêu cầu của chủ đầu tư. Trong trường hợp nhà </w:t>
            </w:r>
            <w:r w:rsidRPr="00015700">
              <w:rPr>
                <w:rFonts w:asciiTheme="majorHAnsi" w:hAnsiTheme="majorHAnsi" w:cstheme="majorHAnsi"/>
                <w:color w:val="0070C0"/>
                <w:sz w:val="28"/>
                <w:szCs w:val="28"/>
              </w:rPr>
              <w:lastRenderedPageBreak/>
              <w:t xml:space="preserve">thầu không đáp ứng được việc bảo hành, bảo trì thì chủ đầu tư có quyền thuê nhà thầu khác thực hiện và toàn bộ chi phí thuê này do nhà thầu chi trả. </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lastRenderedPageBreak/>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có cam kết</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2523" w:type="dxa"/>
            <w:vMerge w:val="restart"/>
            <w:vAlign w:val="center"/>
          </w:tcPr>
          <w:p w:rsidR="00CE4C47" w:rsidRPr="00015700" w:rsidRDefault="00CE4C47" w:rsidP="00CE4C47">
            <w:pPr>
              <w:pStyle w:val="ListParagraph"/>
              <w:numPr>
                <w:ilvl w:val="1"/>
                <w:numId w:val="1"/>
              </w:numPr>
              <w:tabs>
                <w:tab w:val="left" w:pos="434"/>
              </w:tabs>
              <w:spacing w:line="276" w:lineRule="auto"/>
              <w:ind w:left="0" w:firstLine="8"/>
              <w:jc w:val="left"/>
              <w:rPr>
                <w:rFonts w:asciiTheme="majorHAnsi" w:hAnsiTheme="majorHAnsi" w:cstheme="majorHAnsi"/>
                <w:color w:val="0070C0"/>
                <w:sz w:val="28"/>
                <w:szCs w:val="28"/>
              </w:rPr>
            </w:pPr>
            <w:r w:rsidRPr="00015700">
              <w:rPr>
                <w:rFonts w:asciiTheme="majorHAnsi" w:hAnsiTheme="majorHAnsi" w:cstheme="majorHAnsi"/>
                <w:color w:val="0070C0"/>
                <w:sz w:val="28"/>
                <w:szCs w:val="28"/>
              </w:rPr>
              <w:t xml:space="preserve"> Mức độ đáp ứng</w:t>
            </w:r>
          </w:p>
        </w:tc>
        <w:tc>
          <w:tcPr>
            <w:tcW w:w="5529" w:type="dxa"/>
            <w:vAlign w:val="center"/>
          </w:tcPr>
          <w:p w:rsidR="00CE4C47" w:rsidRPr="00015700" w:rsidRDefault="00CE4C47" w:rsidP="00CE4C47">
            <w:pPr>
              <w:numPr>
                <w:ilvl w:val="0"/>
                <w:numId w:val="2"/>
              </w:numPr>
              <w:tabs>
                <w:tab w:val="left" w:pos="173"/>
              </w:tabs>
              <w:spacing w:line="276" w:lineRule="auto"/>
              <w:ind w:left="3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Cam kết bảo hành, bảo trì tại địa điểm cung cấp lắp đặt.</w:t>
            </w:r>
          </w:p>
          <w:p w:rsidR="00CE4C47" w:rsidRPr="00015700" w:rsidRDefault="00CE4C47" w:rsidP="00CE4C47">
            <w:pPr>
              <w:numPr>
                <w:ilvl w:val="0"/>
                <w:numId w:val="2"/>
              </w:numPr>
              <w:tabs>
                <w:tab w:val="left" w:pos="173"/>
              </w:tabs>
              <w:spacing w:line="276" w:lineRule="auto"/>
              <w:ind w:left="3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Cam kết cung cấp linh kiện, phụ tùng thay thế phù hợp với hàng hóa cảu gói thầu này trong thời gian tối thiểu 03 năm.</w:t>
            </w:r>
          </w:p>
          <w:p w:rsidR="00CE4C47" w:rsidRPr="00015700" w:rsidRDefault="00CE4C47" w:rsidP="00CE4C47">
            <w:pPr>
              <w:numPr>
                <w:ilvl w:val="0"/>
                <w:numId w:val="2"/>
              </w:numPr>
              <w:tabs>
                <w:tab w:val="left" w:pos="173"/>
              </w:tabs>
              <w:spacing w:line="276" w:lineRule="auto"/>
              <w:ind w:left="3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Liệt kê các dạng hư hỏng sẽ được bảo hành, các dạng hư hỏng không được bảo hành.</w:t>
            </w:r>
          </w:p>
          <w:p w:rsidR="00CE4C47" w:rsidRPr="00015700" w:rsidRDefault="00CE4C47" w:rsidP="00CE4C47">
            <w:pPr>
              <w:numPr>
                <w:ilvl w:val="0"/>
                <w:numId w:val="2"/>
              </w:numPr>
              <w:tabs>
                <w:tab w:val="left" w:pos="173"/>
              </w:tabs>
              <w:spacing w:line="276" w:lineRule="auto"/>
              <w:ind w:left="31"/>
              <w:contextualSpacing/>
              <w:rPr>
                <w:rFonts w:asciiTheme="majorHAnsi" w:hAnsiTheme="majorHAnsi" w:cstheme="majorHAnsi"/>
                <w:color w:val="0070C0"/>
                <w:sz w:val="28"/>
                <w:szCs w:val="28"/>
              </w:rPr>
            </w:pPr>
            <w:r w:rsidRPr="00015700">
              <w:rPr>
                <w:rFonts w:asciiTheme="majorHAnsi" w:hAnsiTheme="majorHAnsi" w:cstheme="majorHAnsi"/>
                <w:color w:val="0070C0"/>
                <w:sz w:val="28"/>
                <w:szCs w:val="28"/>
              </w:rPr>
              <w:t>Phương thức liên hệ nhà thầu khi hàng hóa gặp hư hỏng (bằng văn bản, email, điện thoại,…)</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r w:rsidR="00CE4C47" w:rsidRPr="00015700" w:rsidTr="004028ED">
        <w:tc>
          <w:tcPr>
            <w:tcW w:w="9469" w:type="dxa"/>
            <w:gridSpan w:val="3"/>
          </w:tcPr>
          <w:p w:rsidR="00CE4C47" w:rsidRPr="00015700" w:rsidRDefault="00CE4C47" w:rsidP="00CE4C47">
            <w:pPr>
              <w:numPr>
                <w:ilvl w:val="0"/>
                <w:numId w:val="1"/>
              </w:numPr>
              <w:tabs>
                <w:tab w:val="left" w:pos="314"/>
              </w:tabs>
              <w:spacing w:line="276" w:lineRule="auto"/>
              <w:ind w:left="38" w:hanging="38"/>
              <w:contextualSpacing/>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Uy tính của nhà thầu</w:t>
            </w:r>
          </w:p>
        </w:tc>
      </w:tr>
      <w:tr w:rsidR="00CE4C47" w:rsidRPr="00015700" w:rsidTr="004028ED">
        <w:tc>
          <w:tcPr>
            <w:tcW w:w="2523" w:type="dxa"/>
            <w:vMerge w:val="restart"/>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Uy tính của nhà thầu trong 03 năm gần nhất thông qua việc thực hiện các hợp đồng tương tự và tham gia dự thầu trước đó</w:t>
            </w: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Nhà thầu cam kết không có hợp đồng tương tự chậm tiến độ hoặc bỏ dở hợp đồng do lỗi của nhà thầu; không có gói thầu nào không thương thảo hợp đồng hoặc có quyết định trúng thầu nhưng không tiến hành hoàn thiện, ký kết hợp đồng; không trong thời gian bị cấm thầu hoặc bị kết luận gian lận, không trung thực trong đấu thầu tại bất kỳ cơ quan, đơn vị nào. Trường hợp phát hiện nhà thầu cam kết không trung thực thì sẽ bị đánh giá là gian lận trong đấu thầu và E-HSDT sẽ bị loại.</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Đạt</w:t>
            </w:r>
          </w:p>
        </w:tc>
      </w:tr>
      <w:tr w:rsidR="00CE4C47" w:rsidRPr="00015700" w:rsidTr="004028ED">
        <w:tc>
          <w:tcPr>
            <w:tcW w:w="2523" w:type="dxa"/>
            <w:vMerge/>
          </w:tcPr>
          <w:p w:rsidR="00CE4C47" w:rsidRPr="00015700" w:rsidRDefault="00CE4C47" w:rsidP="004028ED">
            <w:pPr>
              <w:spacing w:line="276" w:lineRule="auto"/>
              <w:rPr>
                <w:rFonts w:asciiTheme="majorHAnsi" w:hAnsiTheme="majorHAnsi" w:cstheme="majorHAnsi"/>
                <w:color w:val="0070C0"/>
                <w:sz w:val="28"/>
                <w:szCs w:val="28"/>
              </w:rPr>
            </w:pPr>
          </w:p>
        </w:tc>
        <w:tc>
          <w:tcPr>
            <w:tcW w:w="5529" w:type="dxa"/>
            <w:vAlign w:val="center"/>
          </w:tcPr>
          <w:p w:rsidR="00CE4C47" w:rsidRPr="00015700" w:rsidRDefault="00CE4C47" w:rsidP="004028ED">
            <w:pPr>
              <w:spacing w:line="276" w:lineRule="auto"/>
              <w:rPr>
                <w:rFonts w:asciiTheme="majorHAnsi" w:hAnsiTheme="majorHAnsi" w:cstheme="majorHAnsi"/>
                <w:color w:val="0070C0"/>
                <w:sz w:val="28"/>
                <w:szCs w:val="28"/>
              </w:rPr>
            </w:pPr>
            <w:r w:rsidRPr="00015700">
              <w:rPr>
                <w:rFonts w:asciiTheme="majorHAnsi" w:hAnsiTheme="majorHAnsi" w:cstheme="majorHAnsi"/>
                <w:color w:val="0070C0"/>
                <w:sz w:val="28"/>
                <w:szCs w:val="28"/>
              </w:rPr>
              <w:t>Không đáp ứng một trong các yêu cầu trên</w:t>
            </w:r>
          </w:p>
        </w:tc>
        <w:tc>
          <w:tcPr>
            <w:tcW w:w="1417" w:type="dxa"/>
            <w:vAlign w:val="center"/>
          </w:tcPr>
          <w:p w:rsidR="00CE4C47" w:rsidRPr="00015700" w:rsidRDefault="00CE4C47" w:rsidP="004028ED">
            <w:pPr>
              <w:spacing w:line="276" w:lineRule="auto"/>
              <w:jc w:val="center"/>
              <w:rPr>
                <w:rFonts w:asciiTheme="majorHAnsi" w:hAnsiTheme="majorHAnsi" w:cstheme="majorHAnsi"/>
                <w:b/>
                <w:bCs/>
                <w:color w:val="0070C0"/>
                <w:sz w:val="28"/>
                <w:szCs w:val="28"/>
              </w:rPr>
            </w:pPr>
            <w:r w:rsidRPr="00015700">
              <w:rPr>
                <w:rFonts w:asciiTheme="majorHAnsi" w:hAnsiTheme="majorHAnsi" w:cstheme="majorHAnsi"/>
                <w:b/>
                <w:bCs/>
                <w:color w:val="0070C0"/>
                <w:sz w:val="28"/>
                <w:szCs w:val="28"/>
              </w:rPr>
              <w:t>Không đạt</w:t>
            </w:r>
          </w:p>
        </w:tc>
      </w:tr>
    </w:tbl>
    <w:p w:rsidR="001E4BA8" w:rsidRDefault="001E4BA8"/>
    <w:sectPr w:rsidR="001E4BA8" w:rsidSect="00CE4C47">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C16" w:rsidRDefault="00FF0C16" w:rsidP="00CE4C47">
      <w:r>
        <w:separator/>
      </w:r>
    </w:p>
  </w:endnote>
  <w:endnote w:type="continuationSeparator" w:id="0">
    <w:p w:rsidR="00FF0C16" w:rsidRDefault="00FF0C16" w:rsidP="00CE4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C16" w:rsidRDefault="00FF0C16" w:rsidP="00CE4C47">
      <w:r>
        <w:separator/>
      </w:r>
    </w:p>
  </w:footnote>
  <w:footnote w:type="continuationSeparator" w:id="0">
    <w:p w:rsidR="00FF0C16" w:rsidRDefault="00FF0C16" w:rsidP="00CE4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4177057"/>
      <w:docPartObj>
        <w:docPartGallery w:val="Page Numbers (Top of Page)"/>
        <w:docPartUnique/>
      </w:docPartObj>
    </w:sdtPr>
    <w:sdtEndPr>
      <w:rPr>
        <w:noProof/>
      </w:rPr>
    </w:sdtEndPr>
    <w:sdtContent>
      <w:p w:rsidR="00CE4C47" w:rsidRDefault="00CE4C47">
        <w:pPr>
          <w:pStyle w:val="Header"/>
          <w:jc w:val="center"/>
        </w:pPr>
        <w:r w:rsidRPr="00CE4C47">
          <w:rPr>
            <w:sz w:val="26"/>
            <w:szCs w:val="26"/>
          </w:rPr>
          <w:fldChar w:fldCharType="begin"/>
        </w:r>
        <w:r w:rsidRPr="00CE4C47">
          <w:rPr>
            <w:sz w:val="26"/>
            <w:szCs w:val="26"/>
          </w:rPr>
          <w:instrText xml:space="preserve"> PAGE   \* MERGEFORMAT </w:instrText>
        </w:r>
        <w:r w:rsidRPr="00CE4C47">
          <w:rPr>
            <w:sz w:val="26"/>
            <w:szCs w:val="26"/>
          </w:rPr>
          <w:fldChar w:fldCharType="separate"/>
        </w:r>
        <w:r w:rsidR="00FA4E48">
          <w:rPr>
            <w:noProof/>
            <w:sz w:val="26"/>
            <w:szCs w:val="26"/>
          </w:rPr>
          <w:t>5</w:t>
        </w:r>
        <w:r w:rsidRPr="00CE4C47">
          <w:rPr>
            <w:noProof/>
            <w:sz w:val="26"/>
            <w:szCs w:val="26"/>
          </w:rPr>
          <w:fldChar w:fldCharType="end"/>
        </w:r>
      </w:p>
    </w:sdtContent>
  </w:sdt>
  <w:p w:rsidR="00CE4C47" w:rsidRDefault="00CE4C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14ACA"/>
    <w:multiLevelType w:val="hybridMultilevel"/>
    <w:tmpl w:val="37EEF1E4"/>
    <w:lvl w:ilvl="0" w:tplc="1340DB58">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A1A0DC6"/>
    <w:multiLevelType w:val="multilevel"/>
    <w:tmpl w:val="956CBC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47"/>
    <w:rsid w:val="00043EE8"/>
    <w:rsid w:val="001E4BA8"/>
    <w:rsid w:val="00354BE3"/>
    <w:rsid w:val="00CE4C47"/>
    <w:rsid w:val="00FA4E48"/>
    <w:rsid w:val="00FF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4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E4C4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E4C47"/>
    <w:rPr>
      <w:rFonts w:eastAsia="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CE4C4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C47"/>
    <w:pPr>
      <w:tabs>
        <w:tab w:val="center" w:pos="4680"/>
        <w:tab w:val="right" w:pos="9360"/>
      </w:tabs>
    </w:pPr>
  </w:style>
  <w:style w:type="character" w:customStyle="1" w:styleId="HeaderChar">
    <w:name w:val="Header Char"/>
    <w:basedOn w:val="DefaultParagraphFont"/>
    <w:link w:val="Header"/>
    <w:uiPriority w:val="99"/>
    <w:rsid w:val="00CE4C47"/>
    <w:rPr>
      <w:rFonts w:eastAsia="Times New Roman" w:cs="Times New Roman"/>
      <w:sz w:val="24"/>
      <w:szCs w:val="20"/>
    </w:rPr>
  </w:style>
  <w:style w:type="paragraph" w:styleId="Footer">
    <w:name w:val="footer"/>
    <w:basedOn w:val="Normal"/>
    <w:link w:val="FooterChar"/>
    <w:uiPriority w:val="99"/>
    <w:unhideWhenUsed/>
    <w:rsid w:val="00CE4C47"/>
    <w:pPr>
      <w:tabs>
        <w:tab w:val="center" w:pos="4680"/>
        <w:tab w:val="right" w:pos="9360"/>
      </w:tabs>
    </w:pPr>
  </w:style>
  <w:style w:type="character" w:customStyle="1" w:styleId="FooterChar">
    <w:name w:val="Footer Char"/>
    <w:basedOn w:val="DefaultParagraphFont"/>
    <w:link w:val="Footer"/>
    <w:uiPriority w:val="99"/>
    <w:rsid w:val="00CE4C47"/>
    <w:rPr>
      <w:rFonts w:eastAsia="Times New Roman" w:cs="Times New Roman"/>
      <w:sz w:val="24"/>
      <w:szCs w:val="20"/>
    </w:rPr>
  </w:style>
  <w:style w:type="paragraph" w:styleId="TOC1">
    <w:name w:val="toc 1"/>
    <w:basedOn w:val="Normal"/>
    <w:next w:val="Normal"/>
    <w:autoRedefine/>
    <w:uiPriority w:val="39"/>
    <w:qFormat/>
    <w:rsid w:val="00CE4C47"/>
    <w:pPr>
      <w:tabs>
        <w:tab w:val="right" w:leader="dot" w:pos="9062"/>
      </w:tabs>
      <w:spacing w:before="80" w:after="80" w:line="264" w:lineRule="auto"/>
      <w:ind w:firstLine="709"/>
      <w:outlineLvl w:val="2"/>
    </w:pPr>
    <w:rPr>
      <w:rFonts w:eastAsia="Batang"/>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47"/>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E4C4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E4C47"/>
    <w:rPr>
      <w:rFonts w:eastAsia="Times New Roman" w:cs="Times New Roman"/>
      <w:sz w:val="24"/>
      <w:szCs w:val="20"/>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rsid w:val="00CE4C47"/>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E4C47"/>
    <w:pPr>
      <w:tabs>
        <w:tab w:val="center" w:pos="4680"/>
        <w:tab w:val="right" w:pos="9360"/>
      </w:tabs>
    </w:pPr>
  </w:style>
  <w:style w:type="character" w:customStyle="1" w:styleId="HeaderChar">
    <w:name w:val="Header Char"/>
    <w:basedOn w:val="DefaultParagraphFont"/>
    <w:link w:val="Header"/>
    <w:uiPriority w:val="99"/>
    <w:rsid w:val="00CE4C47"/>
    <w:rPr>
      <w:rFonts w:eastAsia="Times New Roman" w:cs="Times New Roman"/>
      <w:sz w:val="24"/>
      <w:szCs w:val="20"/>
    </w:rPr>
  </w:style>
  <w:style w:type="paragraph" w:styleId="Footer">
    <w:name w:val="footer"/>
    <w:basedOn w:val="Normal"/>
    <w:link w:val="FooterChar"/>
    <w:uiPriority w:val="99"/>
    <w:unhideWhenUsed/>
    <w:rsid w:val="00CE4C47"/>
    <w:pPr>
      <w:tabs>
        <w:tab w:val="center" w:pos="4680"/>
        <w:tab w:val="right" w:pos="9360"/>
      </w:tabs>
    </w:pPr>
  </w:style>
  <w:style w:type="character" w:customStyle="1" w:styleId="FooterChar">
    <w:name w:val="Footer Char"/>
    <w:basedOn w:val="DefaultParagraphFont"/>
    <w:link w:val="Footer"/>
    <w:uiPriority w:val="99"/>
    <w:rsid w:val="00CE4C47"/>
    <w:rPr>
      <w:rFonts w:eastAsia="Times New Roman" w:cs="Times New Roman"/>
      <w:sz w:val="24"/>
      <w:szCs w:val="20"/>
    </w:rPr>
  </w:style>
  <w:style w:type="paragraph" w:styleId="TOC1">
    <w:name w:val="toc 1"/>
    <w:basedOn w:val="Normal"/>
    <w:next w:val="Normal"/>
    <w:autoRedefine/>
    <w:uiPriority w:val="39"/>
    <w:qFormat/>
    <w:rsid w:val="00CE4C47"/>
    <w:pPr>
      <w:tabs>
        <w:tab w:val="right" w:leader="dot" w:pos="9062"/>
      </w:tabs>
      <w:spacing w:before="80" w:after="80" w:line="264" w:lineRule="auto"/>
      <w:ind w:firstLine="709"/>
      <w:outlineLvl w:val="2"/>
    </w:pPr>
    <w:rPr>
      <w:rFonts w:eastAsia="Batang"/>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2025-09-05T02:34:00Z</cp:lastPrinted>
  <dcterms:created xsi:type="dcterms:W3CDTF">2025-09-05T02:32:00Z</dcterms:created>
  <dcterms:modified xsi:type="dcterms:W3CDTF">2025-09-05T02:39:00Z</dcterms:modified>
</cp:coreProperties>
</file>