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94" w:rsidRPr="007C4931" w:rsidRDefault="00503194">
      <w:pPr>
        <w:rPr>
          <w:b/>
          <w:bCs/>
          <w:sz w:val="28"/>
          <w:szCs w:val="28"/>
        </w:rPr>
      </w:pPr>
      <w:r w:rsidRPr="007C4931">
        <w:rPr>
          <w:b/>
          <w:bCs/>
          <w:sz w:val="28"/>
          <w:szCs w:val="28"/>
        </w:rPr>
        <w:t>Mục 3. Tiêu chuẩn đánh giá về kỹ thuật</w:t>
      </w:r>
    </w:p>
    <w:p w:rsidR="00503194" w:rsidRPr="007C4931" w:rsidRDefault="00503194" w:rsidP="00503194">
      <w:pPr>
        <w:spacing w:before="120"/>
        <w:rPr>
          <w:sz w:val="28"/>
          <w:szCs w:val="28"/>
        </w:rPr>
      </w:pPr>
      <w:r w:rsidRPr="007C4931">
        <w:rPr>
          <w:b/>
          <w:bCs/>
          <w:sz w:val="28"/>
          <w:szCs w:val="28"/>
        </w:rPr>
        <w:t>1</w:t>
      </w:r>
      <w:r w:rsidR="00990B4D" w:rsidRPr="007C4931">
        <w:rPr>
          <w:b/>
          <w:bCs/>
          <w:sz w:val="28"/>
          <w:szCs w:val="28"/>
        </w:rPr>
        <w:t>.</w:t>
      </w:r>
      <w:r w:rsidRPr="007C4931">
        <w:rPr>
          <w:b/>
          <w:bCs/>
          <w:sz w:val="28"/>
          <w:szCs w:val="28"/>
        </w:rPr>
        <w:t xml:space="preserve"> Tiêu chi đánh giá: </w:t>
      </w:r>
      <w:r w:rsidR="00E4157D" w:rsidRPr="007C4931">
        <w:rPr>
          <w:sz w:val="28"/>
          <w:szCs w:val="28"/>
        </w:rPr>
        <w:t>thực hiện theo tiêu chí “Đạt/Không đạt”. E-HSDT được đánh giá là đáp ứng yêu cầu về kỹ thuật khi có tất cả các tiêu chí kỹ thuật đều được đánh giá là đạt.</w:t>
      </w:r>
    </w:p>
    <w:p w:rsidR="00503194" w:rsidRPr="007C4931" w:rsidRDefault="00503194">
      <w:pPr>
        <w:rPr>
          <w:sz w:val="28"/>
          <w:szCs w:val="28"/>
        </w:rPr>
      </w:pPr>
    </w:p>
    <w:tbl>
      <w:tblPr>
        <w:tblStyle w:val="TableGrid"/>
        <w:tblW w:w="0" w:type="auto"/>
        <w:jc w:val="center"/>
        <w:tblLook w:val="04A0" w:firstRow="1" w:lastRow="0" w:firstColumn="1" w:lastColumn="0" w:noHBand="0" w:noVBand="1"/>
      </w:tblPr>
      <w:tblGrid>
        <w:gridCol w:w="746"/>
        <w:gridCol w:w="2793"/>
        <w:gridCol w:w="8930"/>
        <w:gridCol w:w="2084"/>
      </w:tblGrid>
      <w:tr w:rsidR="007C4931" w:rsidRPr="007C4931" w:rsidTr="00EB6B32">
        <w:trPr>
          <w:jc w:val="center"/>
        </w:trPr>
        <w:tc>
          <w:tcPr>
            <w:tcW w:w="746" w:type="dxa"/>
          </w:tcPr>
          <w:p w:rsidR="00503194" w:rsidRPr="007C4931" w:rsidRDefault="00503194" w:rsidP="00DB5DB4">
            <w:pPr>
              <w:pStyle w:val="01"/>
              <w:rPr>
                <w:lang w:val="en-US"/>
              </w:rPr>
            </w:pPr>
            <w:r w:rsidRPr="007C4931">
              <w:rPr>
                <w:lang w:val="en-US"/>
              </w:rPr>
              <w:t>STT</w:t>
            </w:r>
          </w:p>
        </w:tc>
        <w:tc>
          <w:tcPr>
            <w:tcW w:w="2793" w:type="dxa"/>
          </w:tcPr>
          <w:p w:rsidR="00503194" w:rsidRPr="007C4931" w:rsidRDefault="00503194" w:rsidP="00DB5DB4">
            <w:pPr>
              <w:pStyle w:val="01"/>
              <w:jc w:val="left"/>
              <w:rPr>
                <w:lang w:val="en-US"/>
              </w:rPr>
            </w:pPr>
            <w:r w:rsidRPr="007C4931">
              <w:rPr>
                <w:lang w:val="en-US"/>
              </w:rPr>
              <w:t>Tiêu chí đánh giá</w:t>
            </w:r>
          </w:p>
        </w:tc>
        <w:tc>
          <w:tcPr>
            <w:tcW w:w="8930" w:type="dxa"/>
          </w:tcPr>
          <w:p w:rsidR="00503194" w:rsidRPr="007C4931" w:rsidRDefault="00503194" w:rsidP="00DB5DB4">
            <w:pPr>
              <w:pStyle w:val="01"/>
              <w:rPr>
                <w:lang w:val="en-US"/>
              </w:rPr>
            </w:pPr>
            <w:r w:rsidRPr="007C4931">
              <w:rPr>
                <w:lang w:val="en-US"/>
              </w:rPr>
              <w:t>Yêu cầu cụ thể</w:t>
            </w:r>
          </w:p>
        </w:tc>
        <w:tc>
          <w:tcPr>
            <w:tcW w:w="2084" w:type="dxa"/>
          </w:tcPr>
          <w:p w:rsidR="00503194" w:rsidRPr="007C4931" w:rsidRDefault="00503194" w:rsidP="00DB5DB4">
            <w:pPr>
              <w:pStyle w:val="01"/>
              <w:rPr>
                <w:lang w:val="en-US"/>
              </w:rPr>
            </w:pPr>
            <w:r w:rsidRPr="007C4931">
              <w:rPr>
                <w:lang w:val="en-US"/>
              </w:rPr>
              <w:t>Kết quả đánh giá</w:t>
            </w:r>
          </w:p>
        </w:tc>
      </w:tr>
      <w:tr w:rsidR="007C4931" w:rsidRPr="007C4931" w:rsidTr="00B7189F">
        <w:trPr>
          <w:jc w:val="center"/>
        </w:trPr>
        <w:tc>
          <w:tcPr>
            <w:tcW w:w="746" w:type="dxa"/>
            <w:vMerge w:val="restart"/>
            <w:vAlign w:val="center"/>
          </w:tcPr>
          <w:p w:rsidR="00503194" w:rsidRPr="007C4931" w:rsidRDefault="00503194" w:rsidP="00DB5DB4">
            <w:pPr>
              <w:pStyle w:val="01"/>
              <w:rPr>
                <w:b w:val="0"/>
                <w:lang w:val="en-US"/>
              </w:rPr>
            </w:pPr>
            <w:r w:rsidRPr="007C4931">
              <w:rPr>
                <w:b w:val="0"/>
                <w:lang w:val="en-US"/>
              </w:rPr>
              <w:t>1</w:t>
            </w:r>
          </w:p>
        </w:tc>
        <w:tc>
          <w:tcPr>
            <w:tcW w:w="2793" w:type="dxa"/>
            <w:vMerge w:val="restart"/>
            <w:vAlign w:val="center"/>
          </w:tcPr>
          <w:p w:rsidR="00503194" w:rsidRPr="007C4931" w:rsidRDefault="00503194" w:rsidP="009C75B3">
            <w:pPr>
              <w:pStyle w:val="01"/>
              <w:jc w:val="both"/>
              <w:rPr>
                <w:b w:val="0"/>
              </w:rPr>
            </w:pPr>
            <w:r w:rsidRPr="007C4931">
              <w:rPr>
                <w:b w:val="0"/>
              </w:rPr>
              <w:t>Hiểu biết về tính</w:t>
            </w:r>
            <w:r w:rsidRPr="007C4931">
              <w:rPr>
                <w:b w:val="0"/>
                <w:lang w:val="en-US"/>
              </w:rPr>
              <w:t xml:space="preserve"> </w:t>
            </w:r>
            <w:r w:rsidRPr="007C4931">
              <w:rPr>
                <w:b w:val="0"/>
              </w:rPr>
              <w:t>chất và mục đích</w:t>
            </w:r>
            <w:r w:rsidRPr="007C4931">
              <w:rPr>
                <w:b w:val="0"/>
                <w:lang w:val="en-US"/>
              </w:rPr>
              <w:t xml:space="preserve"> </w:t>
            </w:r>
            <w:r w:rsidRPr="007C4931">
              <w:rPr>
                <w:b w:val="0"/>
              </w:rPr>
              <w:t>công việc</w:t>
            </w:r>
          </w:p>
        </w:tc>
        <w:tc>
          <w:tcPr>
            <w:tcW w:w="8930" w:type="dxa"/>
            <w:vAlign w:val="center"/>
          </w:tcPr>
          <w:p w:rsidR="00503194" w:rsidRPr="007C4931" w:rsidRDefault="008261B2" w:rsidP="00E912F6">
            <w:pPr>
              <w:rPr>
                <w:sz w:val="28"/>
                <w:szCs w:val="28"/>
              </w:rPr>
            </w:pPr>
            <w:r w:rsidRPr="007C4931">
              <w:rPr>
                <w:rStyle w:val="fontstyle01"/>
                <w:rFonts w:ascii="Times New Roman" w:hAnsi="Times New Roman"/>
                <w:color w:val="auto"/>
              </w:rPr>
              <w:t xml:space="preserve">Có trình bày được địa điểm, phạm </w:t>
            </w:r>
            <w:r w:rsidR="003C775C" w:rsidRPr="007C4931">
              <w:rPr>
                <w:rStyle w:val="fontstyle01"/>
                <w:rFonts w:ascii="Times New Roman" w:hAnsi="Times New Roman"/>
                <w:color w:val="auto"/>
              </w:rPr>
              <w:t xml:space="preserve">vi, nội dung thực hiện tại </w:t>
            </w:r>
            <w:r w:rsidRPr="007C4931">
              <w:rPr>
                <w:rStyle w:val="fontstyle01"/>
                <w:rFonts w:ascii="Times New Roman" w:hAnsi="Times New Roman"/>
                <w:color w:val="auto"/>
              </w:rPr>
              <w:t>Chương V của E-HSMT</w:t>
            </w:r>
          </w:p>
        </w:tc>
        <w:tc>
          <w:tcPr>
            <w:tcW w:w="2084" w:type="dxa"/>
            <w:vAlign w:val="center"/>
          </w:tcPr>
          <w:p w:rsidR="00503194" w:rsidRPr="007C4931" w:rsidRDefault="00503194" w:rsidP="00DB5DB4">
            <w:pPr>
              <w:pStyle w:val="01"/>
              <w:rPr>
                <w:b w:val="0"/>
                <w:lang w:val="en-US"/>
              </w:rPr>
            </w:pPr>
            <w:r w:rsidRPr="007C4931">
              <w:rPr>
                <w:b w:val="0"/>
                <w:lang w:val="en-US"/>
              </w:rPr>
              <w:t>Đạt</w:t>
            </w:r>
          </w:p>
        </w:tc>
      </w:tr>
      <w:tr w:rsidR="007C4931" w:rsidRPr="007C4931" w:rsidTr="00B7189F">
        <w:trPr>
          <w:jc w:val="center"/>
        </w:trPr>
        <w:tc>
          <w:tcPr>
            <w:tcW w:w="746" w:type="dxa"/>
            <w:vMerge/>
            <w:vAlign w:val="center"/>
          </w:tcPr>
          <w:p w:rsidR="00503194" w:rsidRPr="007C4931" w:rsidRDefault="00503194" w:rsidP="00DB5DB4">
            <w:pPr>
              <w:pStyle w:val="01"/>
              <w:rPr>
                <w:b w:val="0"/>
                <w:lang w:val="en-US"/>
              </w:rPr>
            </w:pPr>
          </w:p>
        </w:tc>
        <w:tc>
          <w:tcPr>
            <w:tcW w:w="2793" w:type="dxa"/>
            <w:vMerge/>
            <w:vAlign w:val="center"/>
          </w:tcPr>
          <w:p w:rsidR="00503194" w:rsidRPr="007C4931" w:rsidRDefault="00503194" w:rsidP="009C75B3">
            <w:pPr>
              <w:pStyle w:val="01"/>
              <w:jc w:val="both"/>
              <w:rPr>
                <w:b w:val="0"/>
              </w:rPr>
            </w:pPr>
          </w:p>
        </w:tc>
        <w:tc>
          <w:tcPr>
            <w:tcW w:w="8930" w:type="dxa"/>
            <w:vAlign w:val="center"/>
          </w:tcPr>
          <w:p w:rsidR="00503194" w:rsidRPr="007C4931" w:rsidRDefault="008261B2" w:rsidP="00E912F6">
            <w:pPr>
              <w:rPr>
                <w:sz w:val="28"/>
                <w:szCs w:val="28"/>
              </w:rPr>
            </w:pPr>
            <w:r w:rsidRPr="007C4931">
              <w:rPr>
                <w:rStyle w:val="fontstyle01"/>
                <w:rFonts w:ascii="Times New Roman" w:hAnsi="Times New Roman"/>
                <w:color w:val="auto"/>
              </w:rPr>
              <w:t xml:space="preserve">Không trình bày được địa điểm, phạm </w:t>
            </w:r>
            <w:r w:rsidR="003C775C" w:rsidRPr="007C4931">
              <w:rPr>
                <w:rStyle w:val="fontstyle01"/>
                <w:rFonts w:ascii="Times New Roman" w:hAnsi="Times New Roman"/>
                <w:color w:val="auto"/>
              </w:rPr>
              <w:t xml:space="preserve">vi, nội dung thực hiện tại </w:t>
            </w:r>
            <w:r w:rsidRPr="007C4931">
              <w:rPr>
                <w:rStyle w:val="fontstyle01"/>
                <w:rFonts w:ascii="Times New Roman" w:hAnsi="Times New Roman"/>
                <w:color w:val="auto"/>
              </w:rPr>
              <w:t>Chương V của E-HSMT</w:t>
            </w:r>
          </w:p>
        </w:tc>
        <w:tc>
          <w:tcPr>
            <w:tcW w:w="2084" w:type="dxa"/>
            <w:vAlign w:val="center"/>
          </w:tcPr>
          <w:p w:rsidR="00503194" w:rsidRPr="007C4931" w:rsidRDefault="00503194" w:rsidP="00DB5DB4">
            <w:pPr>
              <w:pStyle w:val="01"/>
              <w:rPr>
                <w:b w:val="0"/>
                <w:lang w:val="en-US"/>
              </w:rPr>
            </w:pPr>
            <w:r w:rsidRPr="007C4931">
              <w:rPr>
                <w:b w:val="0"/>
                <w:lang w:val="en-US"/>
              </w:rPr>
              <w:t>Không đạt</w:t>
            </w:r>
          </w:p>
        </w:tc>
      </w:tr>
      <w:tr w:rsidR="007C4931" w:rsidRPr="007C4931" w:rsidTr="00B7189F">
        <w:trPr>
          <w:jc w:val="center"/>
        </w:trPr>
        <w:tc>
          <w:tcPr>
            <w:tcW w:w="746" w:type="dxa"/>
            <w:vMerge w:val="restart"/>
            <w:vAlign w:val="center"/>
          </w:tcPr>
          <w:p w:rsidR="00503194" w:rsidRPr="007C4931" w:rsidRDefault="00503194" w:rsidP="00DB5DB4">
            <w:pPr>
              <w:pStyle w:val="01"/>
              <w:rPr>
                <w:b w:val="0"/>
                <w:lang w:val="en-US"/>
              </w:rPr>
            </w:pPr>
            <w:r w:rsidRPr="007C4931">
              <w:rPr>
                <w:b w:val="0"/>
                <w:lang w:val="en-US"/>
              </w:rPr>
              <w:t>2</w:t>
            </w:r>
          </w:p>
        </w:tc>
        <w:tc>
          <w:tcPr>
            <w:tcW w:w="2793" w:type="dxa"/>
            <w:vMerge w:val="restart"/>
            <w:vAlign w:val="center"/>
          </w:tcPr>
          <w:p w:rsidR="00503194" w:rsidRPr="007C4931" w:rsidRDefault="00503194" w:rsidP="009C75B3">
            <w:pPr>
              <w:rPr>
                <w:sz w:val="28"/>
                <w:szCs w:val="28"/>
              </w:rPr>
            </w:pPr>
            <w:r w:rsidRPr="007C4931">
              <w:rPr>
                <w:rStyle w:val="fontstyle01"/>
                <w:rFonts w:ascii="Times New Roman" w:hAnsi="Times New Roman"/>
                <w:color w:val="auto"/>
              </w:rPr>
              <w:t>Có giải pháp kỹ thuật, biện pháp tổ chức cung cấp dịch vụ</w:t>
            </w:r>
          </w:p>
        </w:tc>
        <w:tc>
          <w:tcPr>
            <w:tcW w:w="8930" w:type="dxa"/>
            <w:vAlign w:val="center"/>
          </w:tcPr>
          <w:p w:rsidR="00503194" w:rsidRPr="007C4931" w:rsidRDefault="00503194" w:rsidP="00E912F6">
            <w:pPr>
              <w:rPr>
                <w:sz w:val="28"/>
                <w:szCs w:val="28"/>
              </w:rPr>
            </w:pPr>
            <w:r w:rsidRPr="007C4931">
              <w:rPr>
                <w:rStyle w:val="fontstyle01"/>
                <w:rFonts w:ascii="Times New Roman" w:hAnsi="Times New Roman"/>
                <w:color w:val="auto"/>
              </w:rPr>
              <w:t>Có đề xuất quy trình bảo trì phù hợp với yêu cầu tại Chương V của E-HSMT</w:t>
            </w:r>
          </w:p>
        </w:tc>
        <w:tc>
          <w:tcPr>
            <w:tcW w:w="2084" w:type="dxa"/>
            <w:vAlign w:val="center"/>
          </w:tcPr>
          <w:p w:rsidR="00503194" w:rsidRPr="007C4931" w:rsidRDefault="00503194" w:rsidP="00DB5DB4">
            <w:pPr>
              <w:pStyle w:val="01"/>
              <w:rPr>
                <w:b w:val="0"/>
              </w:rPr>
            </w:pPr>
            <w:r w:rsidRPr="007C4931">
              <w:rPr>
                <w:b w:val="0"/>
                <w:lang w:val="en-US"/>
              </w:rPr>
              <w:t>Đạt</w:t>
            </w:r>
          </w:p>
        </w:tc>
      </w:tr>
      <w:tr w:rsidR="007C4931" w:rsidRPr="007C4931" w:rsidTr="00B7189F">
        <w:trPr>
          <w:trHeight w:val="577"/>
          <w:jc w:val="center"/>
        </w:trPr>
        <w:tc>
          <w:tcPr>
            <w:tcW w:w="746" w:type="dxa"/>
            <w:vMerge/>
            <w:vAlign w:val="center"/>
          </w:tcPr>
          <w:p w:rsidR="00503194" w:rsidRPr="007C4931" w:rsidRDefault="00503194" w:rsidP="00DB5DB4">
            <w:pPr>
              <w:pStyle w:val="01"/>
              <w:rPr>
                <w:b w:val="0"/>
                <w:lang w:val="en-US"/>
              </w:rPr>
            </w:pPr>
          </w:p>
        </w:tc>
        <w:tc>
          <w:tcPr>
            <w:tcW w:w="2793" w:type="dxa"/>
            <w:vMerge/>
            <w:vAlign w:val="center"/>
          </w:tcPr>
          <w:p w:rsidR="00503194" w:rsidRPr="007C4931" w:rsidRDefault="00503194" w:rsidP="009C75B3">
            <w:pPr>
              <w:pStyle w:val="01"/>
              <w:jc w:val="both"/>
              <w:rPr>
                <w:b w:val="0"/>
              </w:rPr>
            </w:pPr>
          </w:p>
        </w:tc>
        <w:tc>
          <w:tcPr>
            <w:tcW w:w="8930" w:type="dxa"/>
            <w:vAlign w:val="center"/>
          </w:tcPr>
          <w:p w:rsidR="00503194" w:rsidRPr="007C4931" w:rsidRDefault="00503194" w:rsidP="009E4419">
            <w:pPr>
              <w:rPr>
                <w:b/>
                <w:sz w:val="28"/>
                <w:szCs w:val="28"/>
              </w:rPr>
            </w:pPr>
            <w:r w:rsidRPr="007C4931">
              <w:rPr>
                <w:rStyle w:val="fontstyle01"/>
                <w:rFonts w:ascii="Times New Roman" w:hAnsi="Times New Roman"/>
                <w:color w:val="auto"/>
              </w:rPr>
              <w:t xml:space="preserve">Không đề xuất quy trình bảo trì </w:t>
            </w:r>
            <w:r w:rsidR="009E4419" w:rsidRPr="007C4931">
              <w:rPr>
                <w:rStyle w:val="fontstyle01"/>
                <w:rFonts w:ascii="Times New Roman" w:hAnsi="Times New Roman"/>
                <w:color w:val="auto"/>
                <w:lang w:val="en-US"/>
              </w:rPr>
              <w:t xml:space="preserve">hoặc có đề xuất nhưng không </w:t>
            </w:r>
            <w:r w:rsidRPr="007C4931">
              <w:rPr>
                <w:rStyle w:val="fontstyle01"/>
                <w:rFonts w:ascii="Times New Roman" w:hAnsi="Times New Roman"/>
                <w:color w:val="auto"/>
              </w:rPr>
              <w:t>phù hợp với yêu cầu tại Chương V của E-HSMT</w:t>
            </w:r>
          </w:p>
        </w:tc>
        <w:tc>
          <w:tcPr>
            <w:tcW w:w="2084" w:type="dxa"/>
            <w:vAlign w:val="center"/>
          </w:tcPr>
          <w:p w:rsidR="00503194" w:rsidRPr="007C4931" w:rsidRDefault="00503194" w:rsidP="00DB5DB4">
            <w:pPr>
              <w:pStyle w:val="01"/>
              <w:rPr>
                <w:b w:val="0"/>
              </w:rPr>
            </w:pPr>
            <w:r w:rsidRPr="007C4931">
              <w:rPr>
                <w:b w:val="0"/>
                <w:lang w:val="en-US"/>
              </w:rPr>
              <w:t>Không đạt</w:t>
            </w:r>
          </w:p>
        </w:tc>
      </w:tr>
      <w:tr w:rsidR="00455C45" w:rsidRPr="007C4931" w:rsidTr="00B7189F">
        <w:trPr>
          <w:trHeight w:val="694"/>
          <w:jc w:val="center"/>
        </w:trPr>
        <w:tc>
          <w:tcPr>
            <w:tcW w:w="746" w:type="dxa"/>
            <w:vMerge w:val="restart"/>
            <w:vAlign w:val="center"/>
          </w:tcPr>
          <w:p w:rsidR="00455C45" w:rsidRPr="007C4931" w:rsidRDefault="00455C45" w:rsidP="00455C45">
            <w:pPr>
              <w:pStyle w:val="01"/>
              <w:rPr>
                <w:b w:val="0"/>
                <w:lang w:val="en-US"/>
              </w:rPr>
            </w:pPr>
            <w:bookmarkStart w:id="0" w:name="_GoBack" w:colFirst="2" w:colLast="2"/>
            <w:r w:rsidRPr="007C4931">
              <w:rPr>
                <w:b w:val="0"/>
                <w:lang w:val="en-US"/>
              </w:rPr>
              <w:t>3</w:t>
            </w:r>
          </w:p>
        </w:tc>
        <w:tc>
          <w:tcPr>
            <w:tcW w:w="2793" w:type="dxa"/>
            <w:vMerge w:val="restart"/>
            <w:vAlign w:val="center"/>
          </w:tcPr>
          <w:p w:rsidR="00455C45" w:rsidRPr="007C4931" w:rsidRDefault="00455C45" w:rsidP="00455C45">
            <w:pPr>
              <w:rPr>
                <w:sz w:val="28"/>
                <w:szCs w:val="28"/>
              </w:rPr>
            </w:pPr>
            <w:r w:rsidRPr="007C4931">
              <w:rPr>
                <w:rStyle w:val="fontstyle01"/>
                <w:rFonts w:ascii="Times New Roman" w:hAnsi="Times New Roman"/>
                <w:color w:val="auto"/>
              </w:rPr>
              <w:t>Mức độ đáp ứng hệ</w:t>
            </w:r>
            <w:r w:rsidRPr="007C4931">
              <w:rPr>
                <w:sz w:val="28"/>
                <w:szCs w:val="28"/>
              </w:rPr>
              <w:t xml:space="preserve"> </w:t>
            </w:r>
            <w:r w:rsidRPr="007C4931">
              <w:rPr>
                <w:rStyle w:val="fontstyle01"/>
                <w:rFonts w:ascii="Times New Roman" w:hAnsi="Times New Roman"/>
                <w:color w:val="auto"/>
              </w:rPr>
              <w:t>thống bảo đảm chất lượng, đáp ứng tiêu chuẩn thực hiện</w:t>
            </w:r>
            <w:r w:rsidRPr="007C4931">
              <w:rPr>
                <w:sz w:val="28"/>
                <w:szCs w:val="28"/>
              </w:rPr>
              <w:br/>
            </w:r>
            <w:r w:rsidRPr="007C4931">
              <w:rPr>
                <w:rStyle w:val="fontstyle01"/>
                <w:rFonts w:ascii="Times New Roman" w:hAnsi="Times New Roman"/>
                <w:color w:val="auto"/>
              </w:rPr>
              <w:t>dịch vụ</w:t>
            </w:r>
          </w:p>
        </w:tc>
        <w:tc>
          <w:tcPr>
            <w:tcW w:w="8930" w:type="dxa"/>
            <w:vAlign w:val="center"/>
          </w:tcPr>
          <w:p w:rsidR="00455C45" w:rsidRPr="007C4931" w:rsidRDefault="00455C45" w:rsidP="00455C45">
            <w:pPr>
              <w:rPr>
                <w:sz w:val="28"/>
                <w:szCs w:val="28"/>
              </w:rPr>
            </w:pPr>
            <w:r w:rsidRPr="007C4931">
              <w:rPr>
                <w:rStyle w:val="fontstyle01"/>
                <w:rFonts w:ascii="Times New Roman" w:hAnsi="Times New Roman"/>
                <w:color w:val="auto"/>
              </w:rPr>
              <w:t>Có đề xuất kế hoạch, giải pháp kỹ thuật, biện pháp tổ chức triển khai gói thầu đầy đủ, khả thi phù hợp tiến độ, phạm vi công việc và yêu cầu kỹ thuật nêu tại Chương V của E-HSMT</w:t>
            </w:r>
          </w:p>
        </w:tc>
        <w:tc>
          <w:tcPr>
            <w:tcW w:w="2084" w:type="dxa"/>
            <w:vAlign w:val="center"/>
          </w:tcPr>
          <w:p w:rsidR="00455C45" w:rsidRPr="007C4931" w:rsidRDefault="00455C45" w:rsidP="00455C45">
            <w:pPr>
              <w:pStyle w:val="01"/>
              <w:rPr>
                <w:b w:val="0"/>
              </w:rPr>
            </w:pPr>
            <w:r w:rsidRPr="007C4931">
              <w:rPr>
                <w:b w:val="0"/>
                <w:lang w:val="en-US"/>
              </w:rPr>
              <w:t>Đạt</w:t>
            </w:r>
          </w:p>
        </w:tc>
      </w:tr>
      <w:tr w:rsidR="00455C45" w:rsidRPr="007C4931" w:rsidTr="00B7189F">
        <w:trPr>
          <w:trHeight w:val="1036"/>
          <w:jc w:val="center"/>
        </w:trPr>
        <w:tc>
          <w:tcPr>
            <w:tcW w:w="746" w:type="dxa"/>
            <w:vMerge/>
          </w:tcPr>
          <w:p w:rsidR="00455C45" w:rsidRPr="007C4931" w:rsidRDefault="00455C45" w:rsidP="00455C45">
            <w:pPr>
              <w:pStyle w:val="01"/>
              <w:rPr>
                <w:b w:val="0"/>
                <w:lang w:val="en-US"/>
              </w:rPr>
            </w:pPr>
          </w:p>
        </w:tc>
        <w:tc>
          <w:tcPr>
            <w:tcW w:w="2793" w:type="dxa"/>
            <w:vMerge/>
            <w:vAlign w:val="center"/>
          </w:tcPr>
          <w:p w:rsidR="00455C45" w:rsidRPr="007C4931" w:rsidRDefault="00455C45" w:rsidP="00455C45">
            <w:pPr>
              <w:rPr>
                <w:rStyle w:val="fontstyle01"/>
                <w:rFonts w:ascii="Times New Roman" w:hAnsi="Times New Roman"/>
                <w:color w:val="auto"/>
              </w:rPr>
            </w:pPr>
          </w:p>
        </w:tc>
        <w:tc>
          <w:tcPr>
            <w:tcW w:w="8930" w:type="dxa"/>
            <w:vAlign w:val="center"/>
          </w:tcPr>
          <w:p w:rsidR="00455C45" w:rsidRPr="007C4931" w:rsidRDefault="00455C45" w:rsidP="00455C45">
            <w:pPr>
              <w:rPr>
                <w:sz w:val="28"/>
                <w:szCs w:val="28"/>
              </w:rPr>
            </w:pPr>
            <w:r w:rsidRPr="007C4931">
              <w:rPr>
                <w:rStyle w:val="fontstyle01"/>
                <w:rFonts w:ascii="Times New Roman" w:hAnsi="Times New Roman"/>
                <w:color w:val="auto"/>
              </w:rPr>
              <w:t xml:space="preserve">Không đề xuất nội dung kỹ thuật hoặc có </w:t>
            </w:r>
            <w:r w:rsidRPr="007C4931">
              <w:rPr>
                <w:rStyle w:val="fontstyle01"/>
                <w:rFonts w:ascii="Times New Roman" w:hAnsi="Times New Roman"/>
                <w:color w:val="auto"/>
                <w:lang w:val="en-US"/>
              </w:rPr>
              <w:t xml:space="preserve">đề xuất </w:t>
            </w:r>
            <w:r w:rsidRPr="007C4931">
              <w:rPr>
                <w:rStyle w:val="fontstyle01"/>
                <w:rFonts w:ascii="Times New Roman" w:hAnsi="Times New Roman"/>
                <w:color w:val="auto"/>
              </w:rPr>
              <w:t xml:space="preserve">nhưng các đề xuất nội dung kỹ thuật </w:t>
            </w:r>
            <w:r>
              <w:rPr>
                <w:rStyle w:val="fontstyle01"/>
                <w:rFonts w:ascii="Times New Roman" w:hAnsi="Times New Roman"/>
                <w:color w:val="auto"/>
                <w:lang w:val="en-US"/>
              </w:rPr>
              <w:t xml:space="preserve">không đầy đủ, không khả thi, </w:t>
            </w:r>
            <w:r w:rsidRPr="007C4931">
              <w:rPr>
                <w:rStyle w:val="fontstyle01"/>
                <w:rFonts w:ascii="Times New Roman" w:hAnsi="Times New Roman"/>
                <w:color w:val="auto"/>
              </w:rPr>
              <w:t>không phù hợp</w:t>
            </w:r>
            <w:r w:rsidRPr="007C4931">
              <w:rPr>
                <w:rStyle w:val="fontstyle01"/>
                <w:rFonts w:ascii="Times New Roman" w:hAnsi="Times New Roman"/>
                <w:color w:val="auto"/>
                <w:lang w:val="en-US"/>
              </w:rPr>
              <w:t xml:space="preserve"> </w:t>
            </w:r>
            <w:r w:rsidRPr="007C4931">
              <w:rPr>
                <w:rStyle w:val="fontstyle01"/>
                <w:rFonts w:ascii="Times New Roman" w:hAnsi="Times New Roman"/>
                <w:color w:val="auto"/>
              </w:rPr>
              <w:t>với các yêu cầu kỹ thuật quy định tại Chương V của E-HSMT</w:t>
            </w:r>
          </w:p>
        </w:tc>
        <w:tc>
          <w:tcPr>
            <w:tcW w:w="2084" w:type="dxa"/>
            <w:vAlign w:val="center"/>
          </w:tcPr>
          <w:p w:rsidR="00455C45" w:rsidRPr="007C4931" w:rsidRDefault="00455C45" w:rsidP="00455C45">
            <w:pPr>
              <w:pStyle w:val="01"/>
              <w:rPr>
                <w:b w:val="0"/>
                <w:lang w:val="en-US"/>
              </w:rPr>
            </w:pPr>
            <w:r w:rsidRPr="007C4931">
              <w:rPr>
                <w:b w:val="0"/>
                <w:lang w:val="en-US"/>
              </w:rPr>
              <w:t>Không đạt</w:t>
            </w:r>
          </w:p>
        </w:tc>
      </w:tr>
      <w:bookmarkEnd w:id="0"/>
      <w:tr w:rsidR="007C4931" w:rsidRPr="007C4931" w:rsidTr="00B7189F">
        <w:trPr>
          <w:trHeight w:val="1198"/>
          <w:jc w:val="center"/>
        </w:trPr>
        <w:tc>
          <w:tcPr>
            <w:tcW w:w="746" w:type="dxa"/>
            <w:vMerge w:val="restart"/>
            <w:vAlign w:val="center"/>
          </w:tcPr>
          <w:p w:rsidR="00503194" w:rsidRPr="007C4931" w:rsidRDefault="00D127B2" w:rsidP="00DB5DB4">
            <w:pPr>
              <w:pStyle w:val="01"/>
              <w:rPr>
                <w:b w:val="0"/>
                <w:lang w:val="en-US"/>
              </w:rPr>
            </w:pPr>
            <w:r>
              <w:rPr>
                <w:b w:val="0"/>
                <w:lang w:val="en-US"/>
              </w:rPr>
              <w:t>4</w:t>
            </w:r>
          </w:p>
        </w:tc>
        <w:tc>
          <w:tcPr>
            <w:tcW w:w="2793" w:type="dxa"/>
            <w:vMerge w:val="restart"/>
            <w:vAlign w:val="center"/>
          </w:tcPr>
          <w:p w:rsidR="00503194" w:rsidRPr="007C4931" w:rsidRDefault="00503194" w:rsidP="009C75B3">
            <w:pPr>
              <w:rPr>
                <w:sz w:val="28"/>
                <w:szCs w:val="28"/>
              </w:rPr>
            </w:pPr>
            <w:r w:rsidRPr="007C4931">
              <w:rPr>
                <w:rStyle w:val="fontstyle01"/>
                <w:rFonts w:ascii="Times New Roman" w:hAnsi="Times New Roman"/>
                <w:color w:val="auto"/>
              </w:rPr>
              <w:t xml:space="preserve">Thông tin về kết quả thực hiện hợp đồng của nhà thầu theo quy định tại </w:t>
            </w:r>
            <w:r w:rsidR="00531EA4" w:rsidRPr="007C4931">
              <w:rPr>
                <w:sz w:val="28"/>
                <w:szCs w:val="28"/>
                <w:shd w:val="clear" w:color="auto" w:fill="FFFFFF"/>
              </w:rPr>
              <w:t>Điều 19 và Điều 20 của Nghị định số 214/2025/NĐ-CP</w:t>
            </w:r>
          </w:p>
          <w:p w:rsidR="00503194" w:rsidRPr="007C4931" w:rsidRDefault="00503194" w:rsidP="009C75B3">
            <w:pPr>
              <w:rPr>
                <w:sz w:val="28"/>
                <w:szCs w:val="28"/>
              </w:rPr>
            </w:pPr>
          </w:p>
          <w:p w:rsidR="00503194" w:rsidRPr="007C4931" w:rsidRDefault="00503194" w:rsidP="009C75B3">
            <w:pPr>
              <w:rPr>
                <w:sz w:val="28"/>
                <w:szCs w:val="28"/>
              </w:rPr>
            </w:pPr>
          </w:p>
        </w:tc>
        <w:tc>
          <w:tcPr>
            <w:tcW w:w="8930" w:type="dxa"/>
            <w:vAlign w:val="center"/>
          </w:tcPr>
          <w:p w:rsidR="00503194" w:rsidRPr="007C4931" w:rsidRDefault="00531EA4" w:rsidP="00870921">
            <w:pPr>
              <w:rPr>
                <w:sz w:val="28"/>
                <w:szCs w:val="28"/>
              </w:rPr>
            </w:pPr>
            <w:r w:rsidRPr="007C4931">
              <w:rPr>
                <w:sz w:val="28"/>
                <w:szCs w:val="28"/>
              </w:rPr>
              <w:t xml:space="preserve">Nhà thầu không có vi phạm </w:t>
            </w:r>
            <w:r w:rsidR="00870921">
              <w:rPr>
                <w:sz w:val="28"/>
                <w:szCs w:val="28"/>
                <w:lang w:val="en-US"/>
              </w:rPr>
              <w:t>về</w:t>
            </w:r>
            <w:r w:rsidRPr="007C4931">
              <w:rPr>
                <w:sz w:val="28"/>
                <w:szCs w:val="28"/>
              </w:rPr>
              <w:t xml:space="preserve"> </w:t>
            </w:r>
            <w:r w:rsidR="007B0F18" w:rsidRPr="007B0F18">
              <w:rPr>
                <w:rFonts w:ascii="TimesNewRomanPSMT" w:hAnsi="TimesNewRomanPSMT"/>
                <w:color w:val="000000"/>
                <w:sz w:val="28"/>
                <w:szCs w:val="28"/>
                <w:lang w:val="en-US" w:eastAsia="en-US"/>
              </w:rPr>
              <w:t>kết quả thực hiện hợp đồng của nhà thầu theo quy định tại Điều 19 và Điều 20 của Nghị định số 214/2025/NĐ-CP</w:t>
            </w:r>
            <w:r w:rsidRPr="007C4931">
              <w:rPr>
                <w:sz w:val="28"/>
                <w:szCs w:val="28"/>
              </w:rPr>
              <w:t xml:space="preserve"> </w:t>
            </w:r>
            <w:r w:rsidRPr="007C4931">
              <w:rPr>
                <w:i/>
                <w:sz w:val="28"/>
                <w:szCs w:val="28"/>
              </w:rPr>
              <w:t>(Nhà thầu có văn bản cam kết về các nội dung trên)</w:t>
            </w:r>
          </w:p>
        </w:tc>
        <w:tc>
          <w:tcPr>
            <w:tcW w:w="2084" w:type="dxa"/>
            <w:vAlign w:val="center"/>
          </w:tcPr>
          <w:p w:rsidR="00503194" w:rsidRPr="007C4931" w:rsidRDefault="00503194" w:rsidP="00DB5DB4">
            <w:pPr>
              <w:pStyle w:val="01"/>
              <w:rPr>
                <w:b w:val="0"/>
              </w:rPr>
            </w:pPr>
            <w:r w:rsidRPr="007C4931">
              <w:rPr>
                <w:b w:val="0"/>
                <w:lang w:val="en-US"/>
              </w:rPr>
              <w:t>Đạt</w:t>
            </w:r>
          </w:p>
        </w:tc>
      </w:tr>
      <w:tr w:rsidR="007C4931" w:rsidRPr="007C4931" w:rsidTr="00EB6B32">
        <w:trPr>
          <w:trHeight w:val="689"/>
          <w:jc w:val="center"/>
        </w:trPr>
        <w:tc>
          <w:tcPr>
            <w:tcW w:w="746" w:type="dxa"/>
            <w:vMerge/>
          </w:tcPr>
          <w:p w:rsidR="00503194" w:rsidRPr="007C4931" w:rsidRDefault="00503194" w:rsidP="00DB5DB4">
            <w:pPr>
              <w:pStyle w:val="01"/>
            </w:pPr>
          </w:p>
        </w:tc>
        <w:tc>
          <w:tcPr>
            <w:tcW w:w="2793" w:type="dxa"/>
            <w:vMerge/>
          </w:tcPr>
          <w:p w:rsidR="00503194" w:rsidRPr="007C4931" w:rsidRDefault="00503194" w:rsidP="00DB5DB4">
            <w:pPr>
              <w:pStyle w:val="01"/>
            </w:pPr>
          </w:p>
        </w:tc>
        <w:tc>
          <w:tcPr>
            <w:tcW w:w="8930" w:type="dxa"/>
            <w:vAlign w:val="center"/>
          </w:tcPr>
          <w:p w:rsidR="00503194" w:rsidRPr="007C4931" w:rsidRDefault="00531EA4" w:rsidP="00912E55">
            <w:pPr>
              <w:rPr>
                <w:rStyle w:val="fontstyle01"/>
                <w:rFonts w:ascii="Times New Roman" w:hAnsi="Times New Roman"/>
                <w:color w:val="auto"/>
              </w:rPr>
            </w:pPr>
            <w:r w:rsidRPr="007C4931">
              <w:rPr>
                <w:sz w:val="28"/>
                <w:szCs w:val="28"/>
              </w:rPr>
              <w:t xml:space="preserve">Nhà thầu vi phạm trong </w:t>
            </w:r>
            <w:r w:rsidR="007B0F18" w:rsidRPr="007B0F18">
              <w:rPr>
                <w:rFonts w:ascii="TimesNewRomanPSMT" w:hAnsi="TimesNewRomanPSMT"/>
                <w:color w:val="000000"/>
                <w:sz w:val="28"/>
                <w:szCs w:val="28"/>
                <w:lang w:val="en-US" w:eastAsia="en-US"/>
              </w:rPr>
              <w:t>kết quả thực hiện hợp đồng của nhà thầu theo quy định tại Điều 19 và Điều 20 của Nghị định số 214/2025/NĐ-CP</w:t>
            </w:r>
            <w:r w:rsidRPr="007C4931">
              <w:rPr>
                <w:i/>
                <w:sz w:val="28"/>
                <w:szCs w:val="28"/>
              </w:rPr>
              <w:t xml:space="preserve"> (Chủ đầu tư tự tra cứu các thông tin vi phạm trên Hệ thống mạng đấu thầu quốc gia hoặc sau khi Chủ đầu tư đề nghị làm rõ, Nhà thầu không có văn bản cam kết về các nội dung trên)</w:t>
            </w:r>
          </w:p>
        </w:tc>
        <w:tc>
          <w:tcPr>
            <w:tcW w:w="2084" w:type="dxa"/>
            <w:vAlign w:val="center"/>
          </w:tcPr>
          <w:p w:rsidR="00503194" w:rsidRPr="007C4931" w:rsidRDefault="00503194" w:rsidP="00DB5DB4">
            <w:pPr>
              <w:pStyle w:val="01"/>
              <w:rPr>
                <w:b w:val="0"/>
                <w:lang w:val="en-US"/>
              </w:rPr>
            </w:pPr>
            <w:r w:rsidRPr="007C4931">
              <w:rPr>
                <w:b w:val="0"/>
                <w:lang w:val="en-US"/>
              </w:rPr>
              <w:t>Không đạt</w:t>
            </w:r>
          </w:p>
        </w:tc>
      </w:tr>
      <w:tr w:rsidR="007C4931" w:rsidRPr="007C4931" w:rsidTr="00EB6B32">
        <w:trPr>
          <w:trHeight w:val="112"/>
          <w:jc w:val="center"/>
        </w:trPr>
        <w:tc>
          <w:tcPr>
            <w:tcW w:w="746" w:type="dxa"/>
            <w:vMerge w:val="restart"/>
          </w:tcPr>
          <w:p w:rsidR="00E5399D" w:rsidRPr="007C4931" w:rsidRDefault="00E5399D" w:rsidP="00E5399D">
            <w:pPr>
              <w:pStyle w:val="01"/>
            </w:pPr>
          </w:p>
        </w:tc>
        <w:tc>
          <w:tcPr>
            <w:tcW w:w="2793" w:type="dxa"/>
            <w:vMerge w:val="restart"/>
            <w:vAlign w:val="center"/>
          </w:tcPr>
          <w:p w:rsidR="00E5399D" w:rsidRPr="007C4931" w:rsidRDefault="00E5399D" w:rsidP="00B53116">
            <w:pPr>
              <w:jc w:val="center"/>
              <w:rPr>
                <w:b/>
                <w:sz w:val="28"/>
                <w:szCs w:val="28"/>
              </w:rPr>
            </w:pPr>
            <w:r w:rsidRPr="007C4931">
              <w:rPr>
                <w:rStyle w:val="fontstyle01"/>
                <w:rFonts w:ascii="Times New Roman" w:hAnsi="Times New Roman"/>
                <w:b/>
                <w:color w:val="auto"/>
              </w:rPr>
              <w:t>Kết luận</w:t>
            </w:r>
          </w:p>
        </w:tc>
        <w:tc>
          <w:tcPr>
            <w:tcW w:w="8930" w:type="dxa"/>
            <w:vAlign w:val="center"/>
          </w:tcPr>
          <w:p w:rsidR="00E5399D" w:rsidRPr="007C4931" w:rsidRDefault="00E5399D" w:rsidP="00B53116">
            <w:pPr>
              <w:jc w:val="center"/>
              <w:rPr>
                <w:b/>
                <w:sz w:val="28"/>
                <w:szCs w:val="28"/>
              </w:rPr>
            </w:pPr>
            <w:r w:rsidRPr="007C4931">
              <w:rPr>
                <w:rStyle w:val="fontstyle01"/>
                <w:rFonts w:ascii="Times New Roman" w:hAnsi="Times New Roman"/>
                <w:b/>
                <w:color w:val="auto"/>
              </w:rPr>
              <w:t>“Đạt” tất cả các nội dung nêu trên</w:t>
            </w:r>
          </w:p>
        </w:tc>
        <w:tc>
          <w:tcPr>
            <w:tcW w:w="2084" w:type="dxa"/>
            <w:vAlign w:val="center"/>
          </w:tcPr>
          <w:p w:rsidR="00E5399D" w:rsidRPr="007C4931" w:rsidRDefault="00E5399D" w:rsidP="00B53116">
            <w:pPr>
              <w:jc w:val="center"/>
              <w:rPr>
                <w:b/>
                <w:sz w:val="28"/>
                <w:szCs w:val="28"/>
              </w:rPr>
            </w:pPr>
            <w:r w:rsidRPr="007C4931">
              <w:rPr>
                <w:rStyle w:val="fontstyle01"/>
                <w:rFonts w:ascii="Times New Roman" w:hAnsi="Times New Roman"/>
                <w:b/>
                <w:color w:val="auto"/>
              </w:rPr>
              <w:t>Đạt</w:t>
            </w:r>
          </w:p>
        </w:tc>
      </w:tr>
      <w:tr w:rsidR="007C4931" w:rsidRPr="007C4931" w:rsidTr="00EB6B32">
        <w:trPr>
          <w:trHeight w:val="201"/>
          <w:jc w:val="center"/>
        </w:trPr>
        <w:tc>
          <w:tcPr>
            <w:tcW w:w="746" w:type="dxa"/>
            <w:vMerge/>
          </w:tcPr>
          <w:p w:rsidR="00E5399D" w:rsidRPr="007C4931" w:rsidRDefault="00E5399D" w:rsidP="00E5399D">
            <w:pPr>
              <w:pStyle w:val="01"/>
            </w:pPr>
          </w:p>
        </w:tc>
        <w:tc>
          <w:tcPr>
            <w:tcW w:w="2793" w:type="dxa"/>
            <w:vMerge/>
          </w:tcPr>
          <w:p w:rsidR="00E5399D" w:rsidRPr="007C4931" w:rsidRDefault="00E5399D" w:rsidP="00B53116">
            <w:pPr>
              <w:pStyle w:val="01"/>
            </w:pPr>
          </w:p>
        </w:tc>
        <w:tc>
          <w:tcPr>
            <w:tcW w:w="8930" w:type="dxa"/>
            <w:vAlign w:val="center"/>
          </w:tcPr>
          <w:p w:rsidR="00E5399D" w:rsidRPr="007C4931" w:rsidRDefault="00E5399D" w:rsidP="00B53116">
            <w:pPr>
              <w:jc w:val="center"/>
              <w:rPr>
                <w:b/>
                <w:sz w:val="28"/>
                <w:szCs w:val="28"/>
              </w:rPr>
            </w:pPr>
            <w:r w:rsidRPr="007C4931">
              <w:rPr>
                <w:rStyle w:val="fontstyle01"/>
                <w:rFonts w:ascii="Times New Roman" w:hAnsi="Times New Roman"/>
                <w:b/>
                <w:color w:val="auto"/>
              </w:rPr>
              <w:t>“Không đạt” bất cứ nội dung nào nêu trên</w:t>
            </w:r>
          </w:p>
        </w:tc>
        <w:tc>
          <w:tcPr>
            <w:tcW w:w="2084" w:type="dxa"/>
            <w:vAlign w:val="center"/>
          </w:tcPr>
          <w:p w:rsidR="00E5399D" w:rsidRPr="007C4931" w:rsidRDefault="00E5399D" w:rsidP="00B53116">
            <w:pPr>
              <w:jc w:val="center"/>
              <w:rPr>
                <w:b/>
                <w:sz w:val="28"/>
                <w:szCs w:val="28"/>
                <w:lang w:val="en-US"/>
              </w:rPr>
            </w:pPr>
            <w:r w:rsidRPr="007C4931">
              <w:rPr>
                <w:rStyle w:val="fontstyle01"/>
                <w:rFonts w:ascii="Times New Roman" w:hAnsi="Times New Roman"/>
                <w:b/>
                <w:color w:val="auto"/>
              </w:rPr>
              <w:t>Không đạ</w:t>
            </w:r>
            <w:r w:rsidRPr="007C4931">
              <w:rPr>
                <w:rStyle w:val="fontstyle01"/>
                <w:rFonts w:ascii="Times New Roman" w:hAnsi="Times New Roman"/>
                <w:b/>
                <w:color w:val="auto"/>
                <w:lang w:val="en-US"/>
              </w:rPr>
              <w:t>t</w:t>
            </w:r>
          </w:p>
        </w:tc>
      </w:tr>
    </w:tbl>
    <w:p w:rsidR="00503194" w:rsidRPr="007C4931" w:rsidRDefault="00503194" w:rsidP="00B174AF">
      <w:pPr>
        <w:widowControl w:val="0"/>
        <w:spacing w:before="240" w:after="120" w:line="264" w:lineRule="auto"/>
        <w:ind w:left="425"/>
        <w:jc w:val="left"/>
        <w:rPr>
          <w:i/>
          <w:sz w:val="28"/>
          <w:szCs w:val="28"/>
        </w:rPr>
      </w:pPr>
      <w:r w:rsidRPr="007C4931">
        <w:rPr>
          <w:b/>
          <w:bCs/>
          <w:iCs/>
          <w:sz w:val="28"/>
          <w:szCs w:val="28"/>
          <w:lang w:eastAsia="vi-VN"/>
        </w:rPr>
        <w:t>2</w:t>
      </w:r>
      <w:r w:rsidRPr="007C4931">
        <w:rPr>
          <w:b/>
          <w:bCs/>
          <w:iCs/>
          <w:sz w:val="28"/>
          <w:szCs w:val="28"/>
          <w:lang w:val="vi-VN" w:eastAsia="vi-VN"/>
        </w:rPr>
        <w:t xml:space="preserve">. </w:t>
      </w:r>
      <w:r w:rsidRPr="007C4931">
        <w:rPr>
          <w:b/>
          <w:sz w:val="28"/>
          <w:szCs w:val="28"/>
        </w:rPr>
        <w:t>Một số yêu cầu về tài liệu kỹ thuật</w:t>
      </w:r>
      <w:r w:rsidRPr="007C4931">
        <w:rPr>
          <w:b/>
          <w:bCs/>
          <w:iCs/>
          <w:sz w:val="28"/>
          <w:szCs w:val="28"/>
          <w:lang w:val="vi-VN" w:eastAsia="vi-VN"/>
        </w:rPr>
        <w:t>:</w:t>
      </w:r>
      <w:r w:rsidRPr="007C4931">
        <w:rPr>
          <w:b/>
          <w:bCs/>
          <w:i/>
          <w:iCs/>
          <w:sz w:val="28"/>
          <w:szCs w:val="28"/>
          <w:lang w:val="vi-VN" w:eastAsia="vi-VN"/>
        </w:rPr>
        <w:br/>
      </w:r>
      <w:r w:rsidRPr="007C4931">
        <w:rPr>
          <w:i/>
          <w:sz w:val="28"/>
          <w:szCs w:val="28"/>
        </w:rPr>
        <w:t xml:space="preserve">a. Nhà thầu </w:t>
      </w:r>
      <w:r w:rsidRPr="007C4931">
        <w:rPr>
          <w:i/>
          <w:spacing w:val="-2"/>
          <w:sz w:val="28"/>
          <w:szCs w:val="28"/>
          <w:lang w:val="nl-NL"/>
        </w:rPr>
        <w:t>gửi</w:t>
      </w:r>
      <w:r w:rsidRPr="007C4931">
        <w:rPr>
          <w:i/>
          <w:sz w:val="28"/>
          <w:szCs w:val="28"/>
        </w:rPr>
        <w:t xml:space="preserve"> kèm Bảng dẫn chiếu tài liệu kỹ thuật theo mẫu dưới đây để </w:t>
      </w:r>
      <w:r w:rsidR="007C2581" w:rsidRPr="007C4931">
        <w:rPr>
          <w:i/>
          <w:sz w:val="28"/>
          <w:szCs w:val="28"/>
        </w:rPr>
        <w:t>Tổ chuyên gia đánh giá</w:t>
      </w:r>
      <w:r w:rsidRPr="007C4931">
        <w:rPr>
          <w:i/>
          <w:sz w:val="28"/>
          <w:szCs w:val="28"/>
        </w:rPr>
        <w:t>:</w:t>
      </w:r>
    </w:p>
    <w:tbl>
      <w:tblPr>
        <w:tblStyle w:val="TableGrid"/>
        <w:tblW w:w="5000" w:type="pct"/>
        <w:jc w:val="center"/>
        <w:tblLook w:val="04A0" w:firstRow="1" w:lastRow="0" w:firstColumn="1" w:lastColumn="0" w:noHBand="0" w:noVBand="1"/>
      </w:tblPr>
      <w:tblGrid>
        <w:gridCol w:w="825"/>
        <w:gridCol w:w="7632"/>
        <w:gridCol w:w="6105"/>
      </w:tblGrid>
      <w:tr w:rsidR="007C4931" w:rsidRPr="007C4931" w:rsidTr="002114CB">
        <w:trPr>
          <w:jc w:val="center"/>
        </w:trPr>
        <w:tc>
          <w:tcPr>
            <w:tcW w:w="825"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jc w:val="center"/>
              <w:rPr>
                <w:b/>
                <w:sz w:val="28"/>
                <w:szCs w:val="28"/>
              </w:rPr>
            </w:pPr>
            <w:r w:rsidRPr="007C4931">
              <w:rPr>
                <w:b/>
                <w:sz w:val="28"/>
                <w:szCs w:val="28"/>
              </w:rPr>
              <w:t>STT</w:t>
            </w:r>
          </w:p>
        </w:tc>
        <w:tc>
          <w:tcPr>
            <w:tcW w:w="7632"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jc w:val="center"/>
              <w:rPr>
                <w:b/>
                <w:sz w:val="28"/>
                <w:szCs w:val="28"/>
              </w:rPr>
            </w:pPr>
            <w:r w:rsidRPr="007C4931">
              <w:rPr>
                <w:b/>
                <w:sz w:val="28"/>
                <w:szCs w:val="28"/>
              </w:rPr>
              <w:t xml:space="preserve">Yêu cầu tiêu chuẩn kỹ thuật </w:t>
            </w:r>
          </w:p>
        </w:tc>
        <w:tc>
          <w:tcPr>
            <w:tcW w:w="6105"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jc w:val="center"/>
              <w:rPr>
                <w:b/>
                <w:sz w:val="28"/>
                <w:szCs w:val="28"/>
              </w:rPr>
            </w:pPr>
            <w:r w:rsidRPr="007C4931">
              <w:rPr>
                <w:b/>
                <w:sz w:val="28"/>
                <w:szCs w:val="28"/>
              </w:rPr>
              <w:t>Dẫn chiếu tài liệu E-HSDT</w:t>
            </w:r>
          </w:p>
        </w:tc>
      </w:tr>
      <w:tr w:rsidR="007C4931" w:rsidRPr="007C4931" w:rsidTr="002114CB">
        <w:trPr>
          <w:jc w:val="center"/>
        </w:trPr>
        <w:tc>
          <w:tcPr>
            <w:tcW w:w="825"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jc w:val="center"/>
              <w:rPr>
                <w:sz w:val="28"/>
                <w:szCs w:val="28"/>
              </w:rPr>
            </w:pPr>
            <w:r w:rsidRPr="007C4931">
              <w:rPr>
                <w:sz w:val="28"/>
                <w:szCs w:val="28"/>
              </w:rPr>
              <w:t>1</w:t>
            </w:r>
          </w:p>
        </w:tc>
        <w:tc>
          <w:tcPr>
            <w:tcW w:w="7632"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rPr>
                <w:sz w:val="28"/>
                <w:szCs w:val="28"/>
              </w:rPr>
            </w:pPr>
            <w:r w:rsidRPr="007C4931">
              <w:rPr>
                <w:sz w:val="28"/>
                <w:szCs w:val="28"/>
              </w:rPr>
              <w:t>Nhà thầu trích dẫn tóm tắt nội dung yêu cầu của E-HSMT</w:t>
            </w:r>
          </w:p>
        </w:tc>
        <w:tc>
          <w:tcPr>
            <w:tcW w:w="6105"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rPr>
                <w:sz w:val="28"/>
                <w:szCs w:val="28"/>
              </w:rPr>
            </w:pPr>
            <w:r w:rsidRPr="007C4931">
              <w:rPr>
                <w:sz w:val="28"/>
                <w:szCs w:val="28"/>
              </w:rPr>
              <w:t>Nhà thầu chỉ dẫn tài liệu đính kèm (nêu tên tài liệu hoặc phần, mục, số trang của tài liệu)</w:t>
            </w:r>
          </w:p>
        </w:tc>
      </w:tr>
      <w:tr w:rsidR="007C4931" w:rsidRPr="007C4931" w:rsidTr="002114CB">
        <w:trPr>
          <w:jc w:val="center"/>
        </w:trPr>
        <w:tc>
          <w:tcPr>
            <w:tcW w:w="825"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jc w:val="center"/>
              <w:rPr>
                <w:sz w:val="28"/>
                <w:szCs w:val="28"/>
              </w:rPr>
            </w:pPr>
            <w:r w:rsidRPr="007C4931">
              <w:rPr>
                <w:sz w:val="28"/>
                <w:szCs w:val="28"/>
              </w:rPr>
              <w:t>2</w:t>
            </w:r>
          </w:p>
        </w:tc>
        <w:tc>
          <w:tcPr>
            <w:tcW w:w="7632" w:type="dxa"/>
            <w:tcBorders>
              <w:top w:val="single" w:sz="4" w:space="0" w:color="auto"/>
              <w:left w:val="single" w:sz="4" w:space="0" w:color="auto"/>
              <w:bottom w:val="single" w:sz="4" w:space="0" w:color="auto"/>
              <w:right w:val="single" w:sz="4" w:space="0" w:color="auto"/>
            </w:tcBorders>
            <w:hideMark/>
          </w:tcPr>
          <w:p w:rsidR="00503194" w:rsidRPr="007C4931" w:rsidRDefault="00503194" w:rsidP="00DB5DB4">
            <w:pPr>
              <w:rPr>
                <w:sz w:val="28"/>
                <w:szCs w:val="28"/>
              </w:rPr>
            </w:pPr>
            <w:r w:rsidRPr="007C4931">
              <w:rPr>
                <w:sz w:val="28"/>
                <w:szCs w:val="28"/>
              </w:rPr>
              <w:t>...</w:t>
            </w:r>
          </w:p>
        </w:tc>
        <w:tc>
          <w:tcPr>
            <w:tcW w:w="6105" w:type="dxa"/>
            <w:tcBorders>
              <w:top w:val="single" w:sz="4" w:space="0" w:color="auto"/>
              <w:left w:val="single" w:sz="4" w:space="0" w:color="auto"/>
              <w:bottom w:val="single" w:sz="4" w:space="0" w:color="auto"/>
              <w:right w:val="single" w:sz="4" w:space="0" w:color="auto"/>
            </w:tcBorders>
          </w:tcPr>
          <w:p w:rsidR="00503194" w:rsidRPr="007C4931" w:rsidRDefault="00503194" w:rsidP="00DB5DB4">
            <w:pPr>
              <w:rPr>
                <w:sz w:val="28"/>
                <w:szCs w:val="28"/>
              </w:rPr>
            </w:pPr>
          </w:p>
        </w:tc>
      </w:tr>
      <w:tr w:rsidR="007C4931" w:rsidRPr="007C4931" w:rsidTr="002114CB">
        <w:trPr>
          <w:jc w:val="center"/>
        </w:trPr>
        <w:tc>
          <w:tcPr>
            <w:tcW w:w="825" w:type="dxa"/>
            <w:tcBorders>
              <w:top w:val="single" w:sz="4" w:space="0" w:color="auto"/>
              <w:left w:val="single" w:sz="4" w:space="0" w:color="auto"/>
              <w:bottom w:val="single" w:sz="4" w:space="0" w:color="auto"/>
              <w:right w:val="single" w:sz="4" w:space="0" w:color="auto"/>
            </w:tcBorders>
          </w:tcPr>
          <w:p w:rsidR="002114CB" w:rsidRPr="007C4931" w:rsidRDefault="002114CB" w:rsidP="002114CB">
            <w:pPr>
              <w:jc w:val="center"/>
              <w:rPr>
                <w:sz w:val="28"/>
                <w:szCs w:val="28"/>
                <w:lang w:val="en-US"/>
              </w:rPr>
            </w:pPr>
            <w:r w:rsidRPr="007C4931">
              <w:rPr>
                <w:sz w:val="28"/>
                <w:szCs w:val="28"/>
                <w:lang w:val="en-US"/>
              </w:rPr>
              <w:t>3</w:t>
            </w:r>
          </w:p>
        </w:tc>
        <w:tc>
          <w:tcPr>
            <w:tcW w:w="7632" w:type="dxa"/>
            <w:tcBorders>
              <w:top w:val="single" w:sz="4" w:space="0" w:color="auto"/>
              <w:left w:val="single" w:sz="4" w:space="0" w:color="auto"/>
              <w:bottom w:val="single" w:sz="4" w:space="0" w:color="auto"/>
              <w:right w:val="single" w:sz="4" w:space="0" w:color="auto"/>
            </w:tcBorders>
          </w:tcPr>
          <w:p w:rsidR="002114CB" w:rsidRPr="007C4931" w:rsidRDefault="002114CB" w:rsidP="002114CB">
            <w:pPr>
              <w:rPr>
                <w:sz w:val="28"/>
                <w:szCs w:val="28"/>
              </w:rPr>
            </w:pPr>
            <w:r w:rsidRPr="007C4931">
              <w:rPr>
                <w:sz w:val="28"/>
                <w:szCs w:val="28"/>
              </w:rPr>
              <w:t>...</w:t>
            </w:r>
          </w:p>
        </w:tc>
        <w:tc>
          <w:tcPr>
            <w:tcW w:w="6105" w:type="dxa"/>
            <w:tcBorders>
              <w:top w:val="single" w:sz="4" w:space="0" w:color="auto"/>
              <w:left w:val="single" w:sz="4" w:space="0" w:color="auto"/>
              <w:bottom w:val="single" w:sz="4" w:space="0" w:color="auto"/>
              <w:right w:val="single" w:sz="4" w:space="0" w:color="auto"/>
            </w:tcBorders>
          </w:tcPr>
          <w:p w:rsidR="002114CB" w:rsidRPr="007C4931" w:rsidRDefault="002114CB" w:rsidP="002114CB">
            <w:pPr>
              <w:rPr>
                <w:sz w:val="28"/>
                <w:szCs w:val="28"/>
              </w:rPr>
            </w:pPr>
          </w:p>
        </w:tc>
      </w:tr>
    </w:tbl>
    <w:p w:rsidR="00503194" w:rsidRPr="007C4931" w:rsidRDefault="00503194" w:rsidP="00780D03">
      <w:pPr>
        <w:autoSpaceDE w:val="0"/>
        <w:autoSpaceDN w:val="0"/>
        <w:adjustRightInd w:val="0"/>
        <w:spacing w:before="240" w:line="340" w:lineRule="exact"/>
        <w:ind w:right="96" w:firstLine="425"/>
        <w:rPr>
          <w:bCs/>
          <w:i/>
          <w:sz w:val="28"/>
          <w:szCs w:val="28"/>
          <w:lang w:val="nl-NL"/>
        </w:rPr>
      </w:pPr>
      <w:r w:rsidRPr="007C4931">
        <w:rPr>
          <w:bCs/>
          <w:i/>
          <w:sz w:val="28"/>
          <w:szCs w:val="28"/>
          <w:lang w:val="nl-NL"/>
        </w:rPr>
        <w:t xml:space="preserve">b. Nhà thầu Cung cấp tài liệu kỹ thuật (quy trình bảo trì, hướng dẫn sử dụng...) để chứng minh đáp ứng các yêu cầu, cũng như nêu rõ nguồn gốc của các tài liệu này. </w:t>
      </w:r>
    </w:p>
    <w:p w:rsidR="00503194" w:rsidRPr="007C4931" w:rsidRDefault="00503194" w:rsidP="00B4566F">
      <w:pPr>
        <w:widowControl w:val="0"/>
        <w:spacing w:before="120" w:after="120" w:line="264" w:lineRule="auto"/>
        <w:ind w:firstLine="284"/>
        <w:rPr>
          <w:bCs/>
          <w:i/>
          <w:sz w:val="28"/>
          <w:szCs w:val="28"/>
          <w:lang w:val="nl-NL"/>
        </w:rPr>
      </w:pPr>
      <w:r w:rsidRPr="007C4931">
        <w:rPr>
          <w:i/>
          <w:sz w:val="28"/>
          <w:szCs w:val="28"/>
          <w:lang w:val="nl-NL"/>
        </w:rPr>
        <w:t xml:space="preserve">Trường hợp nhà thầu không cung cấp tài liệu theo yêu cầu tại E-HSMT (kể cả sau khi đã được </w:t>
      </w:r>
      <w:r w:rsidR="00671661" w:rsidRPr="007C4931">
        <w:rPr>
          <w:i/>
          <w:sz w:val="28"/>
          <w:szCs w:val="28"/>
          <w:lang w:val="nl-NL"/>
        </w:rPr>
        <w:t>Chủ đầu tư</w:t>
      </w:r>
      <w:r w:rsidRPr="007C4931">
        <w:rPr>
          <w:i/>
          <w:sz w:val="28"/>
          <w:szCs w:val="28"/>
          <w:lang w:val="nl-NL"/>
        </w:rPr>
        <w:t xml:space="preserve"> yêu cầu bổ sung/làm rõ) hoặc trong E-HSDT </w:t>
      </w:r>
      <w:r w:rsidRPr="007C4931">
        <w:rPr>
          <w:bCs/>
          <w:i/>
          <w:sz w:val="28"/>
          <w:szCs w:val="28"/>
          <w:lang w:val="nl-NL"/>
        </w:rPr>
        <w:t xml:space="preserve">nhà thầu trích dẫn, chỉ dẫn, dẫn chiếu không đúng </w:t>
      </w:r>
      <w:r w:rsidRPr="007C4931">
        <w:rPr>
          <w:i/>
          <w:sz w:val="28"/>
          <w:szCs w:val="28"/>
          <w:lang w:val="nl-NL"/>
        </w:rPr>
        <w:t xml:space="preserve">hoặc không có cơ sở để </w:t>
      </w:r>
      <w:r w:rsidR="00E6589E" w:rsidRPr="007C4931">
        <w:rPr>
          <w:i/>
          <w:sz w:val="28"/>
          <w:szCs w:val="28"/>
          <w:lang w:val="nl-NL"/>
        </w:rPr>
        <w:t xml:space="preserve">Tổ chuyên gia </w:t>
      </w:r>
      <w:r w:rsidRPr="007C4931">
        <w:rPr>
          <w:i/>
          <w:sz w:val="28"/>
          <w:szCs w:val="28"/>
          <w:lang w:val="nl-NL"/>
        </w:rPr>
        <w:t xml:space="preserve">đánh giá đề xuất của nhà thầu thì </w:t>
      </w:r>
      <w:r w:rsidRPr="007C4931">
        <w:rPr>
          <w:bCs/>
          <w:i/>
          <w:sz w:val="28"/>
          <w:szCs w:val="28"/>
          <w:lang w:val="nl-NL"/>
        </w:rPr>
        <w:t>yêu cầu đó được đánh giá là không đạt.</w:t>
      </w:r>
    </w:p>
    <w:p w:rsidR="001F262E" w:rsidRPr="007C4931" w:rsidRDefault="001F262E" w:rsidP="001F262E">
      <w:pPr>
        <w:spacing w:before="120" w:after="120"/>
        <w:ind w:firstLine="284"/>
        <w:rPr>
          <w:i/>
          <w:sz w:val="28"/>
          <w:szCs w:val="28"/>
        </w:rPr>
      </w:pPr>
      <w:r w:rsidRPr="007C4931">
        <w:rPr>
          <w:i/>
          <w:sz w:val="28"/>
          <w:szCs w:val="28"/>
        </w:rPr>
        <w:t>Trong trường hợp cần thiết, nhà thầu phải dịch công chứng tài liệu chứng minh theo yêu cầu của BIDV.</w:t>
      </w:r>
    </w:p>
    <w:p w:rsidR="00B4566F" w:rsidRPr="007C4931" w:rsidRDefault="00B4566F" w:rsidP="00DB5C8D">
      <w:pPr>
        <w:widowControl w:val="0"/>
        <w:spacing w:before="120" w:after="120" w:line="264" w:lineRule="auto"/>
        <w:ind w:firstLine="425"/>
        <w:rPr>
          <w:sz w:val="28"/>
          <w:szCs w:val="28"/>
        </w:rPr>
      </w:pPr>
    </w:p>
    <w:p w:rsidR="00B65B6E" w:rsidRPr="007C4931" w:rsidRDefault="00B65B6E">
      <w:pPr>
        <w:rPr>
          <w:sz w:val="28"/>
          <w:szCs w:val="28"/>
        </w:rPr>
      </w:pPr>
    </w:p>
    <w:sectPr w:rsidR="00B65B6E" w:rsidRPr="007C4931" w:rsidSect="004D14C0">
      <w:pgSz w:w="16840" w:h="11907" w:orient="landscape" w:code="9"/>
      <w:pgMar w:top="709" w:right="1134" w:bottom="851" w:left="1134"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94"/>
    <w:rsid w:val="000F56EA"/>
    <w:rsid w:val="00180709"/>
    <w:rsid w:val="001C4EEB"/>
    <w:rsid w:val="001F262E"/>
    <w:rsid w:val="002114CB"/>
    <w:rsid w:val="002765DF"/>
    <w:rsid w:val="00291C2C"/>
    <w:rsid w:val="00340757"/>
    <w:rsid w:val="003C775C"/>
    <w:rsid w:val="003D79B2"/>
    <w:rsid w:val="00435D19"/>
    <w:rsid w:val="00443246"/>
    <w:rsid w:val="00455C45"/>
    <w:rsid w:val="004D14C0"/>
    <w:rsid w:val="00503194"/>
    <w:rsid w:val="00531EA4"/>
    <w:rsid w:val="00590479"/>
    <w:rsid w:val="005B54CB"/>
    <w:rsid w:val="0067005B"/>
    <w:rsid w:val="00671661"/>
    <w:rsid w:val="0073710D"/>
    <w:rsid w:val="00753FD3"/>
    <w:rsid w:val="0075705A"/>
    <w:rsid w:val="00780D03"/>
    <w:rsid w:val="007B0F18"/>
    <w:rsid w:val="007C2581"/>
    <w:rsid w:val="007C3931"/>
    <w:rsid w:val="007C4931"/>
    <w:rsid w:val="008261B2"/>
    <w:rsid w:val="00870921"/>
    <w:rsid w:val="00884276"/>
    <w:rsid w:val="008D151F"/>
    <w:rsid w:val="00912E55"/>
    <w:rsid w:val="00990B4D"/>
    <w:rsid w:val="009C75B3"/>
    <w:rsid w:val="009E4419"/>
    <w:rsid w:val="00A02B11"/>
    <w:rsid w:val="00A27328"/>
    <w:rsid w:val="00A92418"/>
    <w:rsid w:val="00B03591"/>
    <w:rsid w:val="00B174AF"/>
    <w:rsid w:val="00B4566F"/>
    <w:rsid w:val="00B530EA"/>
    <w:rsid w:val="00B53116"/>
    <w:rsid w:val="00B63988"/>
    <w:rsid w:val="00B65B6E"/>
    <w:rsid w:val="00B7189F"/>
    <w:rsid w:val="00C34FEA"/>
    <w:rsid w:val="00D127B2"/>
    <w:rsid w:val="00DB5093"/>
    <w:rsid w:val="00DB5C8D"/>
    <w:rsid w:val="00E4157D"/>
    <w:rsid w:val="00E43743"/>
    <w:rsid w:val="00E5399D"/>
    <w:rsid w:val="00E6589E"/>
    <w:rsid w:val="00E912F6"/>
    <w:rsid w:val="00EB6B32"/>
    <w:rsid w:val="00F4182A"/>
    <w:rsid w:val="00FA5AD2"/>
    <w:rsid w:val="00FE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54A83-EE69-4F02-A967-1CFA1D65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9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194"/>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Normal"/>
    <w:qFormat/>
    <w:rsid w:val="00503194"/>
    <w:pPr>
      <w:widowControl w:val="0"/>
      <w:spacing w:before="120" w:after="120" w:line="264" w:lineRule="auto"/>
      <w:jc w:val="center"/>
    </w:pPr>
    <w:rPr>
      <w:b/>
      <w:bCs/>
      <w:sz w:val="28"/>
      <w:szCs w:val="28"/>
      <w:lang w:val="vi-VN"/>
    </w:rPr>
  </w:style>
  <w:style w:type="character" w:customStyle="1" w:styleId="fontstyle01">
    <w:name w:val="fontstyle01"/>
    <w:basedOn w:val="DefaultParagraphFont"/>
    <w:rsid w:val="0050319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0319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78794">
      <w:bodyDiv w:val="1"/>
      <w:marLeft w:val="0"/>
      <w:marRight w:val="0"/>
      <w:marTop w:val="0"/>
      <w:marBottom w:val="0"/>
      <w:divBdr>
        <w:top w:val="none" w:sz="0" w:space="0" w:color="auto"/>
        <w:left w:val="none" w:sz="0" w:space="0" w:color="auto"/>
        <w:bottom w:val="none" w:sz="0" w:space="0" w:color="auto"/>
        <w:right w:val="none" w:sz="0" w:space="0" w:color="auto"/>
      </w:divBdr>
    </w:div>
    <w:div w:id="560097097">
      <w:bodyDiv w:val="1"/>
      <w:marLeft w:val="0"/>
      <w:marRight w:val="0"/>
      <w:marTop w:val="0"/>
      <w:marBottom w:val="0"/>
      <w:divBdr>
        <w:top w:val="none" w:sz="0" w:space="0" w:color="auto"/>
        <w:left w:val="none" w:sz="0" w:space="0" w:color="auto"/>
        <w:bottom w:val="none" w:sz="0" w:space="0" w:color="auto"/>
        <w:right w:val="none" w:sz="0" w:space="0" w:color="auto"/>
      </w:divBdr>
    </w:div>
    <w:div w:id="730270961">
      <w:bodyDiv w:val="1"/>
      <w:marLeft w:val="0"/>
      <w:marRight w:val="0"/>
      <w:marTop w:val="0"/>
      <w:marBottom w:val="0"/>
      <w:divBdr>
        <w:top w:val="none" w:sz="0" w:space="0" w:color="auto"/>
        <w:left w:val="none" w:sz="0" w:space="0" w:color="auto"/>
        <w:bottom w:val="none" w:sz="0" w:space="0" w:color="auto"/>
        <w:right w:val="none" w:sz="0" w:space="0" w:color="auto"/>
      </w:divBdr>
    </w:div>
    <w:div w:id="1123693332">
      <w:bodyDiv w:val="1"/>
      <w:marLeft w:val="0"/>
      <w:marRight w:val="0"/>
      <w:marTop w:val="0"/>
      <w:marBottom w:val="0"/>
      <w:divBdr>
        <w:top w:val="none" w:sz="0" w:space="0" w:color="auto"/>
        <w:left w:val="none" w:sz="0" w:space="0" w:color="auto"/>
        <w:bottom w:val="none" w:sz="0" w:space="0" w:color="auto"/>
        <w:right w:val="none" w:sz="0" w:space="0" w:color="auto"/>
      </w:divBdr>
    </w:div>
    <w:div w:id="1399861421">
      <w:bodyDiv w:val="1"/>
      <w:marLeft w:val="0"/>
      <w:marRight w:val="0"/>
      <w:marTop w:val="0"/>
      <w:marBottom w:val="0"/>
      <w:divBdr>
        <w:top w:val="none" w:sz="0" w:space="0" w:color="auto"/>
        <w:left w:val="none" w:sz="0" w:space="0" w:color="auto"/>
        <w:bottom w:val="none" w:sz="0" w:space="0" w:color="auto"/>
        <w:right w:val="none" w:sz="0" w:space="0" w:color="auto"/>
      </w:divBdr>
    </w:div>
    <w:div w:id="1528566873">
      <w:bodyDiv w:val="1"/>
      <w:marLeft w:val="0"/>
      <w:marRight w:val="0"/>
      <w:marTop w:val="0"/>
      <w:marBottom w:val="0"/>
      <w:divBdr>
        <w:top w:val="none" w:sz="0" w:space="0" w:color="auto"/>
        <w:left w:val="none" w:sz="0" w:space="0" w:color="auto"/>
        <w:bottom w:val="none" w:sz="0" w:space="0" w:color="auto"/>
        <w:right w:val="none" w:sz="0" w:space="0" w:color="auto"/>
      </w:divBdr>
    </w:div>
    <w:div w:id="1715887673">
      <w:bodyDiv w:val="1"/>
      <w:marLeft w:val="0"/>
      <w:marRight w:val="0"/>
      <w:marTop w:val="0"/>
      <w:marBottom w:val="0"/>
      <w:divBdr>
        <w:top w:val="none" w:sz="0" w:space="0" w:color="auto"/>
        <w:left w:val="none" w:sz="0" w:space="0" w:color="auto"/>
        <w:bottom w:val="none" w:sz="0" w:space="0" w:color="auto"/>
        <w:right w:val="none" w:sz="0" w:space="0" w:color="auto"/>
      </w:divBdr>
    </w:div>
    <w:div w:id="20334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Manh Long</dc:creator>
  <cp:keywords/>
  <dc:description/>
  <cp:lastModifiedBy>Hoang Manh Long</cp:lastModifiedBy>
  <cp:revision>154</cp:revision>
  <dcterms:created xsi:type="dcterms:W3CDTF">2024-07-18T03:49:00Z</dcterms:created>
  <dcterms:modified xsi:type="dcterms:W3CDTF">2025-09-03T08:19:00Z</dcterms:modified>
</cp:coreProperties>
</file>