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26D04" w14:textId="77777777" w:rsidR="00350F07" w:rsidRPr="00202770" w:rsidRDefault="00350F07" w:rsidP="00350F07">
      <w:pPr>
        <w:pStyle w:val="Mucluc1"/>
        <w:spacing w:line="264" w:lineRule="auto"/>
        <w:rPr>
          <w:sz w:val="26"/>
          <w:szCs w:val="26"/>
        </w:rPr>
      </w:pPr>
      <w:bookmarkStart w:id="0" w:name="_Hlk178713603"/>
      <w:r w:rsidRPr="00202770">
        <w:rPr>
          <w:sz w:val="26"/>
          <w:szCs w:val="26"/>
        </w:rPr>
        <w:t xml:space="preserve">Mục </w:t>
      </w:r>
      <w:r w:rsidRPr="00202770">
        <w:rPr>
          <w:sz w:val="26"/>
          <w:szCs w:val="26"/>
          <w:lang w:val="pl-PL"/>
        </w:rPr>
        <w:t>3</w:t>
      </w:r>
      <w:r w:rsidRPr="00202770">
        <w:rPr>
          <w:sz w:val="26"/>
          <w:szCs w:val="26"/>
        </w:rPr>
        <w:t>. Tiêu chuẩn đánh giá về kỹ thuật</w:t>
      </w:r>
    </w:p>
    <w:p w14:paraId="783D1B46" w14:textId="77777777" w:rsidR="00350F07" w:rsidRPr="00202770" w:rsidRDefault="00350F07" w:rsidP="00350F07">
      <w:pPr>
        <w:spacing w:before="80" w:after="80" w:line="264" w:lineRule="auto"/>
        <w:ind w:firstLine="709"/>
        <w:rPr>
          <w:rFonts w:asciiTheme="majorHAnsi" w:hAnsiTheme="majorHAnsi" w:cstheme="majorHAnsi"/>
          <w:sz w:val="26"/>
          <w:szCs w:val="26"/>
          <w:lang w:val="vi-VN"/>
        </w:rPr>
      </w:pPr>
      <w:r w:rsidRPr="00202770">
        <w:rPr>
          <w:rFonts w:asciiTheme="majorHAnsi" w:hAnsiTheme="majorHAnsi" w:cstheme="majorHAnsi"/>
          <w:sz w:val="26"/>
          <w:szCs w:val="26"/>
          <w:lang w:val="vi-VN"/>
        </w:rPr>
        <w:t>Sử dụng tiêu chí đạt/không đạt hoặc phương pháp chấm điểm để xây dựng tiêu chuẩn đánh giá về kỹ thuật.</w:t>
      </w:r>
    </w:p>
    <w:tbl>
      <w:tblPr>
        <w:tblW w:w="9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97"/>
        <w:gridCol w:w="4546"/>
        <w:gridCol w:w="1137"/>
      </w:tblGrid>
      <w:tr w:rsidR="00350F07" w:rsidRPr="00202770" w14:paraId="1A6E795D" w14:textId="77777777" w:rsidTr="00CE26EE">
        <w:trPr>
          <w:tblHeader/>
        </w:trPr>
        <w:tc>
          <w:tcPr>
            <w:tcW w:w="7943" w:type="dxa"/>
            <w:gridSpan w:val="2"/>
            <w:vAlign w:val="center"/>
          </w:tcPr>
          <w:p w14:paraId="5B4C510D" w14:textId="77777777" w:rsidR="00350F07" w:rsidRPr="00202770" w:rsidRDefault="00350F07" w:rsidP="00CE26EE">
            <w:pPr>
              <w:ind w:right="43"/>
              <w:jc w:val="center"/>
              <w:rPr>
                <w:rFonts w:asciiTheme="majorHAnsi" w:hAnsiTheme="majorHAnsi" w:cstheme="majorHAnsi"/>
                <w:b/>
                <w:sz w:val="26"/>
                <w:szCs w:val="26"/>
              </w:rPr>
            </w:pPr>
            <w:r w:rsidRPr="00202770">
              <w:rPr>
                <w:rFonts w:asciiTheme="majorHAnsi" w:hAnsiTheme="majorHAnsi" w:cstheme="majorHAnsi"/>
                <w:b/>
                <w:sz w:val="26"/>
                <w:szCs w:val="26"/>
              </w:rPr>
              <w:t>Nội dung đánh giá</w:t>
            </w:r>
          </w:p>
        </w:tc>
        <w:tc>
          <w:tcPr>
            <w:tcW w:w="1137" w:type="dxa"/>
            <w:vAlign w:val="center"/>
          </w:tcPr>
          <w:p w14:paraId="19CE4D0C" w14:textId="77777777" w:rsidR="00350F07" w:rsidRPr="00202770" w:rsidRDefault="00350F07" w:rsidP="00CE26EE">
            <w:pPr>
              <w:ind w:right="43"/>
              <w:jc w:val="center"/>
              <w:rPr>
                <w:rFonts w:asciiTheme="majorHAnsi" w:hAnsiTheme="majorHAnsi" w:cstheme="majorHAnsi"/>
                <w:b/>
                <w:sz w:val="26"/>
                <w:szCs w:val="26"/>
              </w:rPr>
            </w:pPr>
            <w:r w:rsidRPr="00202770">
              <w:rPr>
                <w:rFonts w:asciiTheme="majorHAnsi" w:hAnsiTheme="majorHAnsi" w:cstheme="majorHAnsi"/>
                <w:b/>
                <w:sz w:val="26"/>
                <w:szCs w:val="26"/>
              </w:rPr>
              <w:t>Sử dụng tiêu chí đạt, không đạt</w:t>
            </w:r>
          </w:p>
        </w:tc>
      </w:tr>
      <w:tr w:rsidR="00350F07" w:rsidRPr="00202770" w14:paraId="7F5E5021" w14:textId="77777777" w:rsidTr="00CE26EE">
        <w:tc>
          <w:tcPr>
            <w:tcW w:w="9080" w:type="dxa"/>
            <w:gridSpan w:val="3"/>
            <w:vAlign w:val="center"/>
          </w:tcPr>
          <w:p w14:paraId="1B329A83" w14:textId="77777777" w:rsidR="00350F07" w:rsidRPr="00202770" w:rsidRDefault="00350F07" w:rsidP="00350F07">
            <w:pPr>
              <w:numPr>
                <w:ilvl w:val="0"/>
                <w:numId w:val="1"/>
              </w:numPr>
              <w:ind w:left="431" w:right="43" w:hanging="284"/>
              <w:rPr>
                <w:rFonts w:asciiTheme="majorHAnsi" w:hAnsiTheme="majorHAnsi" w:cstheme="majorHAnsi"/>
                <w:b/>
                <w:sz w:val="26"/>
                <w:szCs w:val="26"/>
              </w:rPr>
            </w:pPr>
            <w:r w:rsidRPr="00202770">
              <w:rPr>
                <w:rFonts w:asciiTheme="majorHAnsi" w:hAnsiTheme="majorHAnsi" w:cstheme="majorHAnsi"/>
                <w:b/>
                <w:sz w:val="26"/>
                <w:szCs w:val="26"/>
              </w:rPr>
              <w:t>Đặc tính kỹ thuật của hàng hóa</w:t>
            </w:r>
          </w:p>
        </w:tc>
      </w:tr>
      <w:tr w:rsidR="00350F07" w:rsidRPr="00202770" w14:paraId="3D9746BF" w14:textId="77777777" w:rsidTr="00350F07">
        <w:tc>
          <w:tcPr>
            <w:tcW w:w="3397" w:type="dxa"/>
            <w:vMerge w:val="restart"/>
            <w:vAlign w:val="center"/>
          </w:tcPr>
          <w:p w14:paraId="6034F933" w14:textId="77777777" w:rsidR="00350F07" w:rsidRPr="00202770" w:rsidRDefault="00350F07" w:rsidP="00CE26EE">
            <w:pPr>
              <w:ind w:left="185" w:right="148"/>
              <w:rPr>
                <w:rFonts w:asciiTheme="majorHAnsi" w:hAnsiTheme="majorHAnsi" w:cstheme="majorHAnsi"/>
                <w:sz w:val="26"/>
                <w:szCs w:val="26"/>
              </w:rPr>
            </w:pPr>
            <w:r w:rsidRPr="00202770">
              <w:rPr>
                <w:rFonts w:asciiTheme="majorHAnsi" w:hAnsiTheme="majorHAnsi" w:cstheme="majorHAnsi"/>
                <w:sz w:val="26"/>
                <w:szCs w:val="26"/>
              </w:rPr>
              <w:t>Đặc tính, thông số kỹ thuật của hàng hóa, tiêu chuẩn sản xuất, tiêu chuẩn chế tạo và công nghệ.</w:t>
            </w:r>
          </w:p>
          <w:p w14:paraId="6B48F310" w14:textId="77777777" w:rsidR="00350F07" w:rsidRPr="00202770" w:rsidRDefault="00350F07" w:rsidP="00CE26EE">
            <w:pPr>
              <w:ind w:left="185" w:right="148"/>
              <w:rPr>
                <w:rFonts w:asciiTheme="majorHAnsi" w:hAnsiTheme="majorHAnsi" w:cstheme="majorHAnsi"/>
                <w:i/>
                <w:sz w:val="26"/>
                <w:szCs w:val="26"/>
              </w:rPr>
            </w:pPr>
            <w:r w:rsidRPr="00202770">
              <w:rPr>
                <w:rFonts w:asciiTheme="majorHAnsi" w:hAnsiTheme="majorHAnsi" w:cstheme="majorHAnsi"/>
                <w:i/>
                <w:sz w:val="26"/>
                <w:szCs w:val="26"/>
              </w:rPr>
              <w:t>Tài liệu chứng minh:</w:t>
            </w:r>
          </w:p>
          <w:p w14:paraId="68A1AF56" w14:textId="77777777" w:rsidR="00350F07" w:rsidRPr="00202770" w:rsidRDefault="00350F07" w:rsidP="00CE26EE">
            <w:pPr>
              <w:ind w:left="185" w:right="148"/>
              <w:rPr>
                <w:rFonts w:asciiTheme="majorHAnsi" w:hAnsiTheme="majorHAnsi" w:cstheme="majorHAnsi"/>
                <w:sz w:val="26"/>
                <w:szCs w:val="26"/>
              </w:rPr>
            </w:pPr>
            <w:r w:rsidRPr="00202770">
              <w:rPr>
                <w:rFonts w:asciiTheme="majorHAnsi" w:hAnsiTheme="majorHAnsi" w:cstheme="majorHAnsi"/>
                <w:i/>
                <w:sz w:val="26"/>
                <w:szCs w:val="26"/>
              </w:rPr>
              <w:t>Nhà thầu cung cấp tài liệu chứng minh thông số kỹ thuật hàng hóa của nhà sản xuất và các tài liệu đi kèm (nếu có).</w:t>
            </w:r>
          </w:p>
        </w:tc>
        <w:tc>
          <w:tcPr>
            <w:tcW w:w="4546" w:type="dxa"/>
            <w:vAlign w:val="center"/>
          </w:tcPr>
          <w:p w14:paraId="1DD06045" w14:textId="1FF8D70B" w:rsidR="00350F07" w:rsidRPr="00202770" w:rsidRDefault="00350F07" w:rsidP="00CE26EE">
            <w:pPr>
              <w:ind w:left="122" w:right="43"/>
              <w:rPr>
                <w:rFonts w:asciiTheme="majorHAnsi" w:hAnsiTheme="majorHAnsi" w:cstheme="majorHAnsi"/>
                <w:bCs/>
                <w:sz w:val="26"/>
                <w:szCs w:val="26"/>
                <w:lang w:val="nl-NL"/>
              </w:rPr>
            </w:pPr>
            <w:r w:rsidRPr="00202770">
              <w:rPr>
                <w:rFonts w:asciiTheme="majorHAnsi" w:hAnsiTheme="majorHAnsi" w:cstheme="majorHAnsi"/>
                <w:sz w:val="26"/>
                <w:szCs w:val="26"/>
                <w:lang w:val="nl-NL"/>
              </w:rPr>
              <w:t xml:space="preserve">Có đặc tính, thông số kỹ thuật của hàng </w:t>
            </w:r>
            <w:r>
              <w:rPr>
                <w:rFonts w:asciiTheme="majorHAnsi" w:hAnsiTheme="majorHAnsi" w:cstheme="majorHAnsi"/>
                <w:sz w:val="26"/>
                <w:szCs w:val="26"/>
                <w:lang w:val="nl-NL"/>
              </w:rPr>
              <w:t>hóa</w:t>
            </w:r>
            <w:r>
              <w:rPr>
                <w:rFonts w:asciiTheme="majorHAnsi" w:hAnsiTheme="majorHAnsi" w:cstheme="majorHAnsi"/>
                <w:sz w:val="26"/>
                <w:szCs w:val="26"/>
                <w:lang w:val="vi-VN"/>
              </w:rPr>
              <w:t>,</w:t>
            </w:r>
            <w:r w:rsidRPr="00202770">
              <w:rPr>
                <w:rFonts w:asciiTheme="majorHAnsi" w:hAnsiTheme="majorHAnsi" w:cstheme="majorHAnsi"/>
                <w:sz w:val="26"/>
                <w:szCs w:val="26"/>
                <w:lang w:val="nl-NL"/>
              </w:rPr>
              <w:t xml:space="preserve"> tiêu chuẩn sản </w:t>
            </w:r>
            <w:r>
              <w:rPr>
                <w:rFonts w:asciiTheme="majorHAnsi" w:hAnsiTheme="majorHAnsi" w:cstheme="majorHAnsi"/>
                <w:sz w:val="26"/>
                <w:szCs w:val="26"/>
                <w:lang w:val="nl-NL"/>
              </w:rPr>
              <w:t>xuất</w:t>
            </w:r>
            <w:r>
              <w:rPr>
                <w:rFonts w:asciiTheme="majorHAnsi" w:hAnsiTheme="majorHAnsi" w:cstheme="majorHAnsi"/>
                <w:sz w:val="26"/>
                <w:szCs w:val="26"/>
                <w:lang w:val="vi-VN"/>
              </w:rPr>
              <w:t>,</w:t>
            </w:r>
            <w:r w:rsidRPr="00202770">
              <w:rPr>
                <w:rFonts w:asciiTheme="majorHAnsi" w:hAnsiTheme="majorHAnsi" w:cstheme="majorHAnsi"/>
                <w:sz w:val="26"/>
                <w:szCs w:val="26"/>
                <w:lang w:val="nl-NL"/>
              </w:rPr>
              <w:t xml:space="preserve"> tiêu chuẩn chế tạo và công nghệ hoàn toàn phù hợp đáp ứng yêu cầu về kỹ thuật quy định tại Mục 1 Chương V Phần 2 của E-HSMT. </w:t>
            </w:r>
          </w:p>
        </w:tc>
        <w:tc>
          <w:tcPr>
            <w:tcW w:w="1137" w:type="dxa"/>
            <w:vAlign w:val="center"/>
          </w:tcPr>
          <w:p w14:paraId="5E09EB5D" w14:textId="77777777" w:rsidR="00350F07" w:rsidRPr="00202770" w:rsidRDefault="00350F07" w:rsidP="00CE26EE">
            <w:pPr>
              <w:ind w:right="43"/>
              <w:jc w:val="center"/>
              <w:rPr>
                <w:rFonts w:asciiTheme="majorHAnsi" w:hAnsiTheme="majorHAnsi" w:cstheme="majorHAnsi"/>
                <w:b/>
                <w:sz w:val="26"/>
                <w:szCs w:val="26"/>
              </w:rPr>
            </w:pPr>
            <w:r w:rsidRPr="00202770">
              <w:rPr>
                <w:rFonts w:asciiTheme="majorHAnsi" w:hAnsiTheme="majorHAnsi" w:cstheme="majorHAnsi"/>
                <w:b/>
                <w:sz w:val="26"/>
                <w:szCs w:val="26"/>
              </w:rPr>
              <w:t>Đạt</w:t>
            </w:r>
          </w:p>
        </w:tc>
      </w:tr>
      <w:tr w:rsidR="00350F07" w:rsidRPr="00202770" w14:paraId="06A9EB89" w14:textId="77777777" w:rsidTr="00350F07">
        <w:tc>
          <w:tcPr>
            <w:tcW w:w="3397" w:type="dxa"/>
            <w:vMerge/>
          </w:tcPr>
          <w:p w14:paraId="6F81DFCE" w14:textId="77777777" w:rsidR="00350F07" w:rsidRPr="00202770" w:rsidRDefault="00350F07" w:rsidP="00CE26EE">
            <w:pPr>
              <w:ind w:right="43"/>
              <w:rPr>
                <w:rFonts w:asciiTheme="majorHAnsi" w:hAnsiTheme="majorHAnsi" w:cstheme="majorHAnsi"/>
                <w:sz w:val="26"/>
                <w:szCs w:val="26"/>
              </w:rPr>
            </w:pPr>
          </w:p>
        </w:tc>
        <w:tc>
          <w:tcPr>
            <w:tcW w:w="4546" w:type="dxa"/>
            <w:vAlign w:val="center"/>
          </w:tcPr>
          <w:p w14:paraId="6473DA8B" w14:textId="77777777" w:rsidR="00350F07" w:rsidRPr="00202770" w:rsidRDefault="00350F07" w:rsidP="00CE26EE">
            <w:pPr>
              <w:ind w:left="122" w:right="43"/>
              <w:rPr>
                <w:rFonts w:asciiTheme="majorHAnsi" w:hAnsiTheme="majorHAnsi" w:cstheme="majorHAnsi"/>
                <w:sz w:val="26"/>
                <w:szCs w:val="26"/>
              </w:rPr>
            </w:pPr>
            <w:r w:rsidRPr="00202770">
              <w:rPr>
                <w:rFonts w:asciiTheme="majorHAnsi" w:hAnsiTheme="majorHAnsi" w:cstheme="majorHAnsi"/>
                <w:sz w:val="26"/>
                <w:szCs w:val="26"/>
              </w:rPr>
              <w:t>Không có đặc tính, thông số kỹ thuật của hàng hóa, tiêu chuẩn sản xuất, tiêu chuẩn chế tạo và công nghệ phù hợp, đáp ứng yêu cầu nêu trên.</w:t>
            </w:r>
          </w:p>
        </w:tc>
        <w:tc>
          <w:tcPr>
            <w:tcW w:w="1137" w:type="dxa"/>
            <w:vAlign w:val="center"/>
          </w:tcPr>
          <w:p w14:paraId="4B93F850" w14:textId="77777777" w:rsidR="00350F07" w:rsidRPr="00202770" w:rsidRDefault="00350F07" w:rsidP="00CE26EE">
            <w:pPr>
              <w:ind w:right="43"/>
              <w:jc w:val="center"/>
              <w:rPr>
                <w:rFonts w:asciiTheme="majorHAnsi" w:hAnsiTheme="majorHAnsi" w:cstheme="majorHAnsi"/>
                <w:b/>
                <w:sz w:val="26"/>
                <w:szCs w:val="26"/>
              </w:rPr>
            </w:pPr>
            <w:r w:rsidRPr="00202770">
              <w:rPr>
                <w:rFonts w:asciiTheme="majorHAnsi" w:hAnsiTheme="majorHAnsi" w:cstheme="majorHAnsi"/>
                <w:b/>
                <w:sz w:val="26"/>
                <w:szCs w:val="26"/>
              </w:rPr>
              <w:t>Không đạt</w:t>
            </w:r>
          </w:p>
        </w:tc>
      </w:tr>
      <w:tr w:rsidR="00350F07" w:rsidRPr="00202770" w14:paraId="659A0E2A" w14:textId="77777777" w:rsidTr="00CE26EE">
        <w:tc>
          <w:tcPr>
            <w:tcW w:w="9080" w:type="dxa"/>
            <w:gridSpan w:val="3"/>
          </w:tcPr>
          <w:p w14:paraId="3FBD8B69" w14:textId="77777777" w:rsidR="00350F07" w:rsidRPr="00202770" w:rsidRDefault="00350F07" w:rsidP="00350F07">
            <w:pPr>
              <w:numPr>
                <w:ilvl w:val="0"/>
                <w:numId w:val="1"/>
              </w:numPr>
              <w:ind w:left="431" w:right="43" w:hanging="284"/>
              <w:rPr>
                <w:rFonts w:asciiTheme="majorHAnsi" w:hAnsiTheme="majorHAnsi" w:cstheme="majorHAnsi"/>
                <w:b/>
                <w:sz w:val="26"/>
                <w:szCs w:val="26"/>
              </w:rPr>
            </w:pPr>
            <w:r w:rsidRPr="00202770">
              <w:rPr>
                <w:rFonts w:asciiTheme="majorHAnsi" w:hAnsiTheme="majorHAnsi" w:cstheme="majorHAnsi"/>
                <w:b/>
                <w:sz w:val="26"/>
                <w:szCs w:val="26"/>
              </w:rPr>
              <w:t>Tiêu chuẩn chất lượng của hàng hóa</w:t>
            </w:r>
          </w:p>
        </w:tc>
      </w:tr>
      <w:tr w:rsidR="00350F07" w:rsidRPr="00202770" w14:paraId="3F7786E0" w14:textId="77777777" w:rsidTr="00350F07">
        <w:trPr>
          <w:trHeight w:val="575"/>
        </w:trPr>
        <w:tc>
          <w:tcPr>
            <w:tcW w:w="3397" w:type="dxa"/>
            <w:vMerge w:val="restart"/>
          </w:tcPr>
          <w:p w14:paraId="621E44FC" w14:textId="4F5F042D" w:rsidR="00350F07" w:rsidRPr="00202770" w:rsidRDefault="00350F07" w:rsidP="00350F07">
            <w:pPr>
              <w:pStyle w:val="oancuaDanhsach"/>
              <w:widowControl w:val="0"/>
              <w:numPr>
                <w:ilvl w:val="0"/>
                <w:numId w:val="2"/>
              </w:numPr>
              <w:tabs>
                <w:tab w:val="left" w:pos="300"/>
              </w:tabs>
              <w:spacing w:before="120" w:after="120"/>
              <w:ind w:left="142" w:right="142" w:firstLine="0"/>
              <w:rPr>
                <w:rFonts w:asciiTheme="majorHAnsi" w:hAnsiTheme="majorHAnsi" w:cstheme="majorHAnsi"/>
                <w:sz w:val="26"/>
                <w:szCs w:val="26"/>
                <w:lang w:val="es-ES"/>
              </w:rPr>
            </w:pPr>
            <w:r w:rsidRPr="00202770">
              <w:rPr>
                <w:rFonts w:asciiTheme="majorHAnsi" w:hAnsiTheme="majorHAnsi" w:cstheme="majorHAnsi"/>
                <w:spacing w:val="-2"/>
                <w:sz w:val="26"/>
                <w:szCs w:val="26"/>
                <w:lang w:val="nl-NL"/>
              </w:rPr>
              <w:t xml:space="preserve">Hàng hóa mới 100%, được sản xuất từ năm </w:t>
            </w:r>
            <w:r w:rsidR="006B478E">
              <w:rPr>
                <w:rFonts w:asciiTheme="majorHAnsi" w:hAnsiTheme="majorHAnsi" w:cstheme="majorHAnsi"/>
                <w:spacing w:val="-2"/>
                <w:sz w:val="26"/>
                <w:szCs w:val="26"/>
                <w:lang w:val="nl-NL"/>
              </w:rPr>
              <w:t>2025</w:t>
            </w:r>
            <w:r>
              <w:rPr>
                <w:rFonts w:asciiTheme="majorHAnsi" w:hAnsiTheme="majorHAnsi" w:cstheme="majorHAnsi"/>
                <w:spacing w:val="-2"/>
                <w:sz w:val="26"/>
                <w:szCs w:val="26"/>
                <w:lang w:val="nl-NL"/>
              </w:rPr>
              <w:t xml:space="preserve"> trở lại đây</w:t>
            </w:r>
            <w:r w:rsidRPr="00202770">
              <w:rPr>
                <w:rFonts w:asciiTheme="majorHAnsi" w:hAnsiTheme="majorHAnsi" w:cstheme="majorHAnsi"/>
                <w:sz w:val="26"/>
                <w:szCs w:val="26"/>
                <w:lang w:val="nl-NL"/>
              </w:rPr>
              <w:t>.</w:t>
            </w:r>
            <w:r w:rsidRPr="00202770">
              <w:rPr>
                <w:rFonts w:asciiTheme="majorHAnsi" w:hAnsiTheme="majorHAnsi" w:cstheme="majorHAnsi"/>
                <w:sz w:val="26"/>
                <w:szCs w:val="26"/>
                <w:lang w:val="es-ES"/>
              </w:rPr>
              <w:t xml:space="preserve"> </w:t>
            </w:r>
          </w:p>
          <w:p w14:paraId="3E496EAF" w14:textId="77777777" w:rsidR="00350F07" w:rsidRPr="00202770" w:rsidRDefault="00350F07" w:rsidP="00350F07">
            <w:pPr>
              <w:pStyle w:val="oancuaDanhsach"/>
              <w:widowControl w:val="0"/>
              <w:numPr>
                <w:ilvl w:val="0"/>
                <w:numId w:val="2"/>
              </w:numPr>
              <w:tabs>
                <w:tab w:val="left" w:pos="300"/>
              </w:tabs>
              <w:spacing w:before="120" w:after="120"/>
              <w:ind w:left="142" w:right="142" w:firstLine="0"/>
              <w:rPr>
                <w:rFonts w:asciiTheme="majorHAnsi" w:hAnsiTheme="majorHAnsi" w:cstheme="majorHAnsi"/>
                <w:spacing w:val="-2"/>
                <w:sz w:val="26"/>
                <w:szCs w:val="26"/>
                <w:lang w:val="nl-NL"/>
              </w:rPr>
            </w:pPr>
            <w:r w:rsidRPr="00202770">
              <w:rPr>
                <w:rFonts w:asciiTheme="majorHAnsi" w:hAnsiTheme="majorHAnsi" w:cstheme="majorHAnsi"/>
                <w:sz w:val="26"/>
                <w:szCs w:val="26"/>
                <w:lang w:val="es-ES"/>
              </w:rPr>
              <w:t xml:space="preserve">Cam </w:t>
            </w:r>
            <w:r w:rsidRPr="00202770">
              <w:rPr>
                <w:rFonts w:asciiTheme="majorHAnsi" w:hAnsiTheme="majorHAnsi" w:cstheme="majorHAnsi"/>
                <w:spacing w:val="-2"/>
                <w:sz w:val="26"/>
                <w:szCs w:val="26"/>
                <w:lang w:val="nl-NL"/>
              </w:rPr>
              <w:t>kết hỗ trợ Chủ đầu tư thực hiện các dịch vụ liên quan như: Đóng thuế trước bạ, đăng kiểm, giấy chứng nhận đăng ký xe, đăng ký biển số và khác dịch vụ khác … (Chi phí cụ thể do 2 bên hoàn thiện trong quá trình thực hiện hợp đồng).</w:t>
            </w:r>
          </w:p>
          <w:p w14:paraId="22280213" w14:textId="77777777" w:rsidR="00350F07" w:rsidRPr="00202770" w:rsidRDefault="00350F07" w:rsidP="00350F07">
            <w:pPr>
              <w:pStyle w:val="oancuaDanhsach"/>
              <w:widowControl w:val="0"/>
              <w:numPr>
                <w:ilvl w:val="0"/>
                <w:numId w:val="2"/>
              </w:numPr>
              <w:tabs>
                <w:tab w:val="left" w:pos="300"/>
              </w:tabs>
              <w:spacing w:before="120" w:after="120"/>
              <w:ind w:left="142" w:right="142" w:firstLine="0"/>
              <w:rPr>
                <w:rFonts w:asciiTheme="majorHAnsi" w:hAnsiTheme="majorHAnsi" w:cstheme="majorHAnsi"/>
                <w:sz w:val="26"/>
                <w:szCs w:val="26"/>
                <w:lang w:val="es-ES"/>
              </w:rPr>
            </w:pPr>
            <w:r w:rsidRPr="00202770">
              <w:rPr>
                <w:rFonts w:asciiTheme="majorHAnsi" w:hAnsiTheme="majorHAnsi" w:cstheme="majorHAnsi"/>
                <w:spacing w:val="-2"/>
                <w:sz w:val="26"/>
                <w:szCs w:val="26"/>
                <w:lang w:val="nl-NL"/>
              </w:rPr>
              <w:t xml:space="preserve"> Cam kết điều khoản tạm ứng và thanh toán theo quy định</w:t>
            </w:r>
            <w:r w:rsidRPr="00202770">
              <w:rPr>
                <w:rFonts w:asciiTheme="majorHAnsi" w:hAnsiTheme="majorHAnsi" w:cstheme="majorHAnsi"/>
                <w:sz w:val="26"/>
                <w:szCs w:val="26"/>
                <w:lang w:val="nl-NL"/>
              </w:rPr>
              <w:t xml:space="preserve"> tại mục E.</w:t>
            </w:r>
            <w:r w:rsidRPr="00202770">
              <w:rPr>
                <w:rFonts w:asciiTheme="majorHAnsi" w:hAnsiTheme="majorHAnsi" w:cstheme="majorHAnsi"/>
                <w:spacing w:val="-2"/>
                <w:sz w:val="26"/>
                <w:szCs w:val="26"/>
                <w:lang w:val="nl-NL"/>
              </w:rPr>
              <w:t>ĐKC</w:t>
            </w:r>
            <w:r w:rsidRPr="00202770">
              <w:rPr>
                <w:rFonts w:asciiTheme="majorHAnsi" w:hAnsiTheme="majorHAnsi" w:cstheme="majorHAnsi"/>
                <w:sz w:val="26"/>
                <w:szCs w:val="26"/>
                <w:lang w:val="nl-NL"/>
              </w:rPr>
              <w:t xml:space="preserve"> 13.1, 14.2 Chương VII của E-HSMT.</w:t>
            </w:r>
          </w:p>
        </w:tc>
        <w:tc>
          <w:tcPr>
            <w:tcW w:w="4546" w:type="dxa"/>
            <w:vAlign w:val="center"/>
          </w:tcPr>
          <w:p w14:paraId="73E445DA" w14:textId="77777777" w:rsidR="00350F07" w:rsidRPr="00202770" w:rsidRDefault="00350F07" w:rsidP="00CE26EE">
            <w:pPr>
              <w:ind w:left="122" w:right="43"/>
              <w:rPr>
                <w:rFonts w:asciiTheme="majorHAnsi" w:hAnsiTheme="majorHAnsi" w:cstheme="majorHAnsi"/>
                <w:sz w:val="26"/>
                <w:szCs w:val="26"/>
                <w:lang w:val="es-ES"/>
              </w:rPr>
            </w:pPr>
            <w:r w:rsidRPr="00202770">
              <w:rPr>
                <w:rFonts w:asciiTheme="majorHAnsi" w:hAnsiTheme="majorHAnsi" w:cstheme="majorHAnsi"/>
                <w:sz w:val="26"/>
                <w:szCs w:val="26"/>
                <w:lang w:val="es-ES"/>
              </w:rPr>
              <w:t>Đáp ứng đầy đủ yêu cầu.</w:t>
            </w:r>
          </w:p>
        </w:tc>
        <w:tc>
          <w:tcPr>
            <w:tcW w:w="1137" w:type="dxa"/>
            <w:vAlign w:val="center"/>
          </w:tcPr>
          <w:p w14:paraId="1758A9D1" w14:textId="77777777" w:rsidR="00350F07" w:rsidRPr="00202770" w:rsidRDefault="00350F07" w:rsidP="00CE26EE">
            <w:pPr>
              <w:ind w:right="43"/>
              <w:jc w:val="center"/>
              <w:rPr>
                <w:rFonts w:asciiTheme="majorHAnsi" w:hAnsiTheme="majorHAnsi" w:cstheme="majorHAnsi"/>
                <w:b/>
                <w:sz w:val="26"/>
                <w:szCs w:val="26"/>
              </w:rPr>
            </w:pPr>
            <w:r w:rsidRPr="00202770">
              <w:rPr>
                <w:rFonts w:asciiTheme="majorHAnsi" w:hAnsiTheme="majorHAnsi" w:cstheme="majorHAnsi"/>
                <w:b/>
                <w:sz w:val="26"/>
                <w:szCs w:val="26"/>
              </w:rPr>
              <w:t>Đạt</w:t>
            </w:r>
          </w:p>
        </w:tc>
      </w:tr>
      <w:tr w:rsidR="00350F07" w:rsidRPr="00202770" w14:paraId="7BC14E01" w14:textId="77777777" w:rsidTr="00350F07">
        <w:tc>
          <w:tcPr>
            <w:tcW w:w="3397" w:type="dxa"/>
            <w:vMerge/>
          </w:tcPr>
          <w:p w14:paraId="677E11F2" w14:textId="77777777" w:rsidR="00350F07" w:rsidRPr="00202770" w:rsidRDefault="00350F07" w:rsidP="00CE26EE">
            <w:pPr>
              <w:ind w:right="43"/>
              <w:rPr>
                <w:rFonts w:asciiTheme="majorHAnsi" w:hAnsiTheme="majorHAnsi" w:cstheme="majorHAnsi"/>
                <w:sz w:val="26"/>
                <w:szCs w:val="26"/>
              </w:rPr>
            </w:pPr>
          </w:p>
        </w:tc>
        <w:tc>
          <w:tcPr>
            <w:tcW w:w="4546" w:type="dxa"/>
            <w:vAlign w:val="center"/>
          </w:tcPr>
          <w:p w14:paraId="6A835132" w14:textId="77777777" w:rsidR="00350F07" w:rsidRPr="00202770" w:rsidRDefault="00350F07" w:rsidP="00CE26EE">
            <w:pPr>
              <w:ind w:left="122" w:right="43"/>
              <w:rPr>
                <w:rFonts w:asciiTheme="majorHAnsi" w:hAnsiTheme="majorHAnsi" w:cstheme="majorHAnsi"/>
                <w:sz w:val="26"/>
                <w:szCs w:val="26"/>
              </w:rPr>
            </w:pPr>
            <w:r w:rsidRPr="00202770">
              <w:rPr>
                <w:rFonts w:asciiTheme="majorHAnsi" w:hAnsiTheme="majorHAnsi" w:cstheme="majorHAnsi"/>
                <w:sz w:val="26"/>
                <w:szCs w:val="26"/>
              </w:rPr>
              <w:t>Không đáp ứng hoặc đáp ứng không đầy đủ</w:t>
            </w:r>
          </w:p>
        </w:tc>
        <w:tc>
          <w:tcPr>
            <w:tcW w:w="1137" w:type="dxa"/>
            <w:vAlign w:val="center"/>
          </w:tcPr>
          <w:p w14:paraId="4ACED4AA" w14:textId="77777777" w:rsidR="00350F07" w:rsidRPr="00202770" w:rsidRDefault="00350F07" w:rsidP="00CE26EE">
            <w:pPr>
              <w:ind w:right="43"/>
              <w:jc w:val="center"/>
              <w:rPr>
                <w:rFonts w:asciiTheme="majorHAnsi" w:hAnsiTheme="majorHAnsi" w:cstheme="majorHAnsi"/>
                <w:b/>
                <w:sz w:val="26"/>
                <w:szCs w:val="26"/>
              </w:rPr>
            </w:pPr>
            <w:r w:rsidRPr="00202770">
              <w:rPr>
                <w:rFonts w:asciiTheme="majorHAnsi" w:hAnsiTheme="majorHAnsi" w:cstheme="majorHAnsi"/>
                <w:b/>
                <w:sz w:val="26"/>
                <w:szCs w:val="26"/>
              </w:rPr>
              <w:t>Không đạt</w:t>
            </w:r>
          </w:p>
        </w:tc>
      </w:tr>
      <w:tr w:rsidR="00350F07" w:rsidRPr="00202770" w14:paraId="73405725" w14:textId="77777777" w:rsidTr="00CE26EE">
        <w:tc>
          <w:tcPr>
            <w:tcW w:w="9080" w:type="dxa"/>
            <w:gridSpan w:val="3"/>
            <w:vAlign w:val="center"/>
          </w:tcPr>
          <w:p w14:paraId="41DA6ACF" w14:textId="77777777" w:rsidR="00350F07" w:rsidRPr="00202770" w:rsidRDefault="00350F07" w:rsidP="00350F07">
            <w:pPr>
              <w:numPr>
                <w:ilvl w:val="0"/>
                <w:numId w:val="1"/>
              </w:numPr>
              <w:ind w:left="431" w:right="43" w:hanging="284"/>
              <w:rPr>
                <w:rFonts w:asciiTheme="majorHAnsi" w:hAnsiTheme="majorHAnsi" w:cstheme="majorHAnsi"/>
                <w:b/>
                <w:sz w:val="26"/>
                <w:szCs w:val="26"/>
              </w:rPr>
            </w:pPr>
            <w:r w:rsidRPr="00202770">
              <w:rPr>
                <w:rFonts w:asciiTheme="majorHAnsi" w:hAnsiTheme="majorHAnsi" w:cstheme="majorHAnsi"/>
                <w:b/>
                <w:sz w:val="26"/>
                <w:szCs w:val="26"/>
              </w:rPr>
              <w:t>Tiến độ cung cấp hàng hóa</w:t>
            </w:r>
          </w:p>
        </w:tc>
      </w:tr>
      <w:tr w:rsidR="00350F07" w:rsidRPr="00202770" w14:paraId="26CC54F0" w14:textId="77777777" w:rsidTr="00350F07">
        <w:tc>
          <w:tcPr>
            <w:tcW w:w="3397" w:type="dxa"/>
            <w:vMerge w:val="restart"/>
            <w:vAlign w:val="center"/>
          </w:tcPr>
          <w:p w14:paraId="065C1F61" w14:textId="21D4602D" w:rsidR="00350F07" w:rsidRPr="00202770" w:rsidRDefault="00350F07" w:rsidP="00CE26EE">
            <w:pPr>
              <w:ind w:left="185" w:right="43"/>
              <w:rPr>
                <w:rFonts w:asciiTheme="majorHAnsi" w:hAnsiTheme="majorHAnsi" w:cstheme="majorHAnsi"/>
                <w:sz w:val="26"/>
                <w:szCs w:val="26"/>
              </w:rPr>
            </w:pPr>
            <w:r w:rsidRPr="00202770">
              <w:rPr>
                <w:rFonts w:asciiTheme="majorHAnsi" w:hAnsiTheme="majorHAnsi" w:cstheme="majorHAnsi"/>
                <w:sz w:val="26"/>
                <w:szCs w:val="26"/>
              </w:rPr>
              <w:t xml:space="preserve">Thời cung cấp hàng hóa không quá </w:t>
            </w:r>
            <w:r w:rsidR="00710C97">
              <w:rPr>
                <w:rFonts w:asciiTheme="majorHAnsi" w:hAnsiTheme="majorHAnsi" w:cstheme="majorHAnsi"/>
                <w:sz w:val="26"/>
                <w:szCs w:val="26"/>
              </w:rPr>
              <w:t>2</w:t>
            </w:r>
            <w:r w:rsidRPr="00202770">
              <w:rPr>
                <w:rFonts w:asciiTheme="majorHAnsi" w:hAnsiTheme="majorHAnsi" w:cstheme="majorHAnsi"/>
                <w:sz w:val="26"/>
                <w:szCs w:val="26"/>
              </w:rPr>
              <w:t>0 ngày (kể cả ngày nghỉ, lễ)</w:t>
            </w:r>
          </w:p>
        </w:tc>
        <w:tc>
          <w:tcPr>
            <w:tcW w:w="4546" w:type="dxa"/>
          </w:tcPr>
          <w:p w14:paraId="172C864F" w14:textId="5CB79C0E" w:rsidR="00350F07" w:rsidRPr="00202770" w:rsidRDefault="00350F07" w:rsidP="00CE26EE">
            <w:pPr>
              <w:ind w:left="122" w:right="43"/>
              <w:rPr>
                <w:rFonts w:asciiTheme="majorHAnsi" w:hAnsiTheme="majorHAnsi" w:cstheme="majorHAnsi"/>
                <w:sz w:val="26"/>
                <w:szCs w:val="26"/>
              </w:rPr>
            </w:pPr>
            <w:r w:rsidRPr="00202770">
              <w:rPr>
                <w:rFonts w:asciiTheme="majorHAnsi" w:hAnsiTheme="majorHAnsi" w:cstheme="majorHAnsi"/>
                <w:sz w:val="26"/>
                <w:szCs w:val="26"/>
              </w:rPr>
              <w:t xml:space="preserve">Đề xuất thời gian không vượt quá </w:t>
            </w:r>
            <w:r w:rsidR="00710C97">
              <w:rPr>
                <w:rFonts w:asciiTheme="majorHAnsi" w:hAnsiTheme="majorHAnsi" w:cstheme="majorHAnsi"/>
                <w:sz w:val="26"/>
                <w:szCs w:val="26"/>
              </w:rPr>
              <w:t>2</w:t>
            </w:r>
            <w:r w:rsidRPr="00202770">
              <w:rPr>
                <w:rFonts w:asciiTheme="majorHAnsi" w:hAnsiTheme="majorHAnsi" w:cstheme="majorHAnsi"/>
                <w:sz w:val="26"/>
                <w:szCs w:val="26"/>
              </w:rPr>
              <w:t>0 ngày (kể cả ngày nghỉ, lễ) và phù hợp với đề xuất kỹ thuật và đáp ứng yêu cầu của E-HSMT.</w:t>
            </w:r>
          </w:p>
        </w:tc>
        <w:tc>
          <w:tcPr>
            <w:tcW w:w="1137" w:type="dxa"/>
            <w:vAlign w:val="center"/>
          </w:tcPr>
          <w:p w14:paraId="222955C6" w14:textId="77777777" w:rsidR="00350F07" w:rsidRPr="00202770" w:rsidRDefault="00350F07" w:rsidP="00CE26EE">
            <w:pPr>
              <w:ind w:right="43"/>
              <w:jc w:val="center"/>
              <w:rPr>
                <w:rFonts w:asciiTheme="majorHAnsi" w:hAnsiTheme="majorHAnsi" w:cstheme="majorHAnsi"/>
                <w:b/>
                <w:sz w:val="26"/>
                <w:szCs w:val="26"/>
              </w:rPr>
            </w:pPr>
            <w:r w:rsidRPr="00202770">
              <w:rPr>
                <w:rFonts w:asciiTheme="majorHAnsi" w:hAnsiTheme="majorHAnsi" w:cstheme="majorHAnsi"/>
                <w:b/>
                <w:sz w:val="26"/>
                <w:szCs w:val="26"/>
              </w:rPr>
              <w:t>Đạt</w:t>
            </w:r>
          </w:p>
        </w:tc>
      </w:tr>
      <w:tr w:rsidR="00350F07" w:rsidRPr="00202770" w14:paraId="14253EB6" w14:textId="77777777" w:rsidTr="00350F07">
        <w:tc>
          <w:tcPr>
            <w:tcW w:w="3397" w:type="dxa"/>
            <w:vMerge/>
          </w:tcPr>
          <w:p w14:paraId="07E34406" w14:textId="77777777" w:rsidR="00350F07" w:rsidRPr="00202770" w:rsidRDefault="00350F07" w:rsidP="00CE26EE">
            <w:pPr>
              <w:ind w:right="43"/>
              <w:rPr>
                <w:rFonts w:asciiTheme="majorHAnsi" w:hAnsiTheme="majorHAnsi" w:cstheme="majorHAnsi"/>
                <w:sz w:val="26"/>
                <w:szCs w:val="26"/>
              </w:rPr>
            </w:pPr>
          </w:p>
        </w:tc>
        <w:tc>
          <w:tcPr>
            <w:tcW w:w="4546" w:type="dxa"/>
          </w:tcPr>
          <w:p w14:paraId="34B53C93" w14:textId="77777777" w:rsidR="00350F07" w:rsidRPr="00202770" w:rsidRDefault="00350F07" w:rsidP="00CE26EE">
            <w:pPr>
              <w:ind w:left="122" w:right="43"/>
              <w:rPr>
                <w:rFonts w:asciiTheme="majorHAnsi" w:hAnsiTheme="majorHAnsi" w:cstheme="majorHAnsi"/>
                <w:sz w:val="26"/>
                <w:szCs w:val="26"/>
              </w:rPr>
            </w:pPr>
            <w:r w:rsidRPr="00202770">
              <w:rPr>
                <w:rFonts w:asciiTheme="majorHAnsi" w:hAnsiTheme="majorHAnsi" w:cstheme="majorHAnsi"/>
                <w:sz w:val="26"/>
                <w:szCs w:val="26"/>
              </w:rPr>
              <w:t>Không đáp ứng yêu cầu nêu trên</w:t>
            </w:r>
          </w:p>
        </w:tc>
        <w:tc>
          <w:tcPr>
            <w:tcW w:w="1137" w:type="dxa"/>
            <w:vAlign w:val="center"/>
          </w:tcPr>
          <w:p w14:paraId="27E19531" w14:textId="77777777" w:rsidR="00350F07" w:rsidRPr="00202770" w:rsidRDefault="00350F07" w:rsidP="00CE26EE">
            <w:pPr>
              <w:ind w:right="43"/>
              <w:jc w:val="center"/>
              <w:rPr>
                <w:rFonts w:asciiTheme="majorHAnsi" w:hAnsiTheme="majorHAnsi" w:cstheme="majorHAnsi"/>
                <w:b/>
                <w:sz w:val="26"/>
                <w:szCs w:val="26"/>
              </w:rPr>
            </w:pPr>
            <w:r w:rsidRPr="00202770">
              <w:rPr>
                <w:rFonts w:asciiTheme="majorHAnsi" w:hAnsiTheme="majorHAnsi" w:cstheme="majorHAnsi"/>
                <w:b/>
                <w:sz w:val="26"/>
                <w:szCs w:val="26"/>
              </w:rPr>
              <w:t>Không đạt</w:t>
            </w:r>
          </w:p>
        </w:tc>
      </w:tr>
      <w:tr w:rsidR="00350F07" w:rsidRPr="00202770" w14:paraId="7C577CB8" w14:textId="77777777" w:rsidTr="00CE26EE">
        <w:tc>
          <w:tcPr>
            <w:tcW w:w="9080" w:type="dxa"/>
            <w:gridSpan w:val="3"/>
          </w:tcPr>
          <w:p w14:paraId="73E391A6" w14:textId="77777777" w:rsidR="00350F07" w:rsidRPr="00202770" w:rsidRDefault="00350F07" w:rsidP="00350F07">
            <w:pPr>
              <w:numPr>
                <w:ilvl w:val="0"/>
                <w:numId w:val="1"/>
              </w:numPr>
              <w:ind w:left="431" w:right="43" w:hanging="284"/>
              <w:rPr>
                <w:rFonts w:asciiTheme="majorHAnsi" w:hAnsiTheme="majorHAnsi" w:cstheme="majorHAnsi"/>
                <w:b/>
                <w:sz w:val="26"/>
                <w:szCs w:val="26"/>
              </w:rPr>
            </w:pPr>
            <w:r w:rsidRPr="00202770">
              <w:rPr>
                <w:rFonts w:asciiTheme="majorHAnsi" w:hAnsiTheme="majorHAnsi" w:cstheme="majorHAnsi"/>
                <w:b/>
                <w:sz w:val="26"/>
                <w:szCs w:val="26"/>
              </w:rPr>
              <w:t>Bảo hành</w:t>
            </w:r>
          </w:p>
        </w:tc>
      </w:tr>
      <w:tr w:rsidR="00350F07" w:rsidRPr="00202770" w14:paraId="27240AF6" w14:textId="77777777" w:rsidTr="00350F07">
        <w:tc>
          <w:tcPr>
            <w:tcW w:w="3397" w:type="dxa"/>
            <w:vMerge w:val="restart"/>
            <w:vAlign w:val="center"/>
          </w:tcPr>
          <w:p w14:paraId="4358A2F1" w14:textId="0EDA2157" w:rsidR="00350F07" w:rsidRPr="00202770" w:rsidRDefault="00350F07" w:rsidP="00CE26EE">
            <w:pPr>
              <w:tabs>
                <w:tab w:val="left" w:pos="343"/>
                <w:tab w:val="left" w:pos="569"/>
              </w:tabs>
              <w:ind w:left="185" w:right="43"/>
              <w:rPr>
                <w:rFonts w:asciiTheme="majorHAnsi" w:hAnsiTheme="majorHAnsi" w:cstheme="majorHAnsi"/>
                <w:sz w:val="26"/>
                <w:szCs w:val="26"/>
              </w:rPr>
            </w:pPr>
            <w:r w:rsidRPr="00202770">
              <w:rPr>
                <w:rFonts w:asciiTheme="majorHAnsi" w:hAnsiTheme="majorHAnsi" w:cstheme="majorHAnsi"/>
                <w:sz w:val="26"/>
                <w:szCs w:val="26"/>
              </w:rPr>
              <w:t xml:space="preserve">Thời gian bảo hành tối thiểu </w:t>
            </w:r>
            <w:r w:rsidR="00865483">
              <w:rPr>
                <w:rFonts w:asciiTheme="majorHAnsi" w:hAnsiTheme="majorHAnsi" w:cstheme="majorHAnsi"/>
                <w:sz w:val="26"/>
                <w:szCs w:val="26"/>
              </w:rPr>
              <w:t>05</w:t>
            </w:r>
            <w:r w:rsidR="00865483">
              <w:rPr>
                <w:rFonts w:asciiTheme="majorHAnsi" w:hAnsiTheme="majorHAnsi" w:cstheme="majorHAnsi"/>
                <w:sz w:val="26"/>
                <w:szCs w:val="26"/>
                <w:lang w:val="vi-VN"/>
              </w:rPr>
              <w:t xml:space="preserve"> năm </w:t>
            </w:r>
            <w:r w:rsidRPr="00202770">
              <w:rPr>
                <w:rFonts w:asciiTheme="majorHAnsi" w:hAnsiTheme="majorHAnsi" w:cstheme="majorHAnsi"/>
                <w:sz w:val="26"/>
                <w:szCs w:val="26"/>
              </w:rPr>
              <w:t xml:space="preserve">hoặc tối thiểu </w:t>
            </w:r>
            <w:r w:rsidR="00865483">
              <w:rPr>
                <w:rFonts w:asciiTheme="majorHAnsi" w:hAnsiTheme="majorHAnsi" w:cstheme="majorHAnsi"/>
                <w:sz w:val="26"/>
                <w:szCs w:val="26"/>
              </w:rPr>
              <w:t>15</w:t>
            </w:r>
            <w:r w:rsidRPr="00202770">
              <w:rPr>
                <w:rFonts w:asciiTheme="majorHAnsi" w:hAnsiTheme="majorHAnsi" w:cstheme="majorHAnsi"/>
                <w:sz w:val="26"/>
                <w:szCs w:val="26"/>
              </w:rPr>
              <w:t xml:space="preserve">0.000 km đầu </w:t>
            </w:r>
            <w:r>
              <w:rPr>
                <w:rFonts w:asciiTheme="majorHAnsi" w:hAnsiTheme="majorHAnsi" w:cstheme="majorHAnsi"/>
                <w:sz w:val="26"/>
                <w:szCs w:val="26"/>
              </w:rPr>
              <w:t>tiên</w:t>
            </w:r>
            <w:r>
              <w:rPr>
                <w:rFonts w:asciiTheme="majorHAnsi" w:hAnsiTheme="majorHAnsi" w:cstheme="majorHAnsi"/>
                <w:sz w:val="26"/>
                <w:szCs w:val="26"/>
                <w:lang w:val="vi-VN"/>
              </w:rPr>
              <w:t>,</w:t>
            </w:r>
            <w:r w:rsidRPr="00202770">
              <w:rPr>
                <w:rFonts w:asciiTheme="majorHAnsi" w:hAnsiTheme="majorHAnsi" w:cstheme="majorHAnsi"/>
                <w:sz w:val="26"/>
                <w:szCs w:val="26"/>
              </w:rPr>
              <w:t xml:space="preserve"> tùy trường hợp nào đến trước</w:t>
            </w:r>
          </w:p>
        </w:tc>
        <w:tc>
          <w:tcPr>
            <w:tcW w:w="4546" w:type="dxa"/>
          </w:tcPr>
          <w:p w14:paraId="3A6FDA62" w14:textId="332D951F" w:rsidR="00350F07" w:rsidRDefault="00350F07" w:rsidP="00CE26EE">
            <w:pPr>
              <w:ind w:left="203" w:right="43"/>
              <w:rPr>
                <w:rFonts w:asciiTheme="majorHAnsi" w:hAnsiTheme="majorHAnsi" w:cstheme="majorHAnsi"/>
                <w:sz w:val="26"/>
                <w:szCs w:val="26"/>
                <w:lang w:val="vi-VN"/>
              </w:rPr>
            </w:pPr>
            <w:r w:rsidRPr="00202770">
              <w:rPr>
                <w:rFonts w:asciiTheme="majorHAnsi" w:hAnsiTheme="majorHAnsi" w:cstheme="majorHAnsi"/>
                <w:sz w:val="26"/>
                <w:szCs w:val="26"/>
              </w:rPr>
              <w:t xml:space="preserve">Thời gian bảo hành ≥ </w:t>
            </w:r>
            <w:r w:rsidR="00865483">
              <w:rPr>
                <w:rFonts w:asciiTheme="majorHAnsi" w:hAnsiTheme="majorHAnsi" w:cstheme="majorHAnsi"/>
                <w:sz w:val="26"/>
                <w:szCs w:val="26"/>
              </w:rPr>
              <w:t>05</w:t>
            </w:r>
            <w:r w:rsidR="00865483">
              <w:rPr>
                <w:rFonts w:asciiTheme="majorHAnsi" w:hAnsiTheme="majorHAnsi" w:cstheme="majorHAnsi"/>
                <w:sz w:val="26"/>
                <w:szCs w:val="26"/>
                <w:lang w:val="vi-VN"/>
              </w:rPr>
              <w:t xml:space="preserve"> năm </w:t>
            </w:r>
            <w:r w:rsidRPr="00202770">
              <w:rPr>
                <w:rFonts w:asciiTheme="majorHAnsi" w:hAnsiTheme="majorHAnsi" w:cstheme="majorHAnsi"/>
                <w:sz w:val="26"/>
                <w:szCs w:val="26"/>
              </w:rPr>
              <w:t>hoặc ≥</w:t>
            </w:r>
            <w:r>
              <w:rPr>
                <w:rFonts w:asciiTheme="majorHAnsi" w:hAnsiTheme="majorHAnsi" w:cstheme="majorHAnsi"/>
                <w:sz w:val="26"/>
                <w:szCs w:val="26"/>
                <w:lang w:val="vi-VN"/>
              </w:rPr>
              <w:t xml:space="preserve"> </w:t>
            </w:r>
            <w:r w:rsidR="00865483">
              <w:rPr>
                <w:rFonts w:asciiTheme="majorHAnsi" w:hAnsiTheme="majorHAnsi" w:cstheme="majorHAnsi"/>
                <w:sz w:val="26"/>
                <w:szCs w:val="26"/>
              </w:rPr>
              <w:t>15</w:t>
            </w:r>
            <w:r w:rsidRPr="00202770">
              <w:rPr>
                <w:rFonts w:asciiTheme="majorHAnsi" w:hAnsiTheme="majorHAnsi" w:cstheme="majorHAnsi"/>
                <w:sz w:val="26"/>
                <w:szCs w:val="26"/>
              </w:rPr>
              <w:t xml:space="preserve">0.000 km đầu </w:t>
            </w:r>
            <w:r>
              <w:rPr>
                <w:rFonts w:asciiTheme="majorHAnsi" w:hAnsiTheme="majorHAnsi" w:cstheme="majorHAnsi"/>
                <w:sz w:val="26"/>
                <w:szCs w:val="26"/>
              </w:rPr>
              <w:t>tiên</w:t>
            </w:r>
            <w:r>
              <w:rPr>
                <w:rFonts w:asciiTheme="majorHAnsi" w:hAnsiTheme="majorHAnsi" w:cstheme="majorHAnsi"/>
                <w:sz w:val="26"/>
                <w:szCs w:val="26"/>
                <w:lang w:val="vi-VN"/>
              </w:rPr>
              <w:t>,</w:t>
            </w:r>
            <w:r w:rsidRPr="00202770">
              <w:rPr>
                <w:rFonts w:asciiTheme="majorHAnsi" w:hAnsiTheme="majorHAnsi" w:cstheme="majorHAnsi"/>
                <w:sz w:val="26"/>
                <w:szCs w:val="26"/>
              </w:rPr>
              <w:t xml:space="preserve"> tùy trường hợp nào đến trước và có kế hoạch, quy trình bảo hành phù hợp với tính chất của gói thầu.</w:t>
            </w:r>
          </w:p>
          <w:p w14:paraId="7019AB7A" w14:textId="27E0A530" w:rsidR="00350F07" w:rsidRPr="00CA2765" w:rsidRDefault="00350F07" w:rsidP="00350F07">
            <w:pPr>
              <w:ind w:left="203" w:right="43"/>
              <w:rPr>
                <w:rFonts w:asciiTheme="majorHAnsi" w:hAnsiTheme="majorHAnsi" w:cstheme="majorHAnsi"/>
                <w:sz w:val="26"/>
                <w:szCs w:val="26"/>
                <w:lang w:val="vi-VN"/>
              </w:rPr>
            </w:pPr>
            <w:r w:rsidRPr="00491261">
              <w:rPr>
                <w:rFonts w:asciiTheme="majorHAnsi" w:hAnsiTheme="majorHAnsi" w:cstheme="majorHAnsi"/>
                <w:sz w:val="26"/>
                <w:szCs w:val="26"/>
                <w:lang w:val="vi-VN"/>
              </w:rPr>
              <w:lastRenderedPageBreak/>
              <w:t xml:space="preserve">Địa điểm để áp dụng bảo hành: Hàng hóa được bảo hành tại </w:t>
            </w:r>
            <w:r>
              <w:rPr>
                <w:rFonts w:asciiTheme="majorHAnsi" w:hAnsiTheme="majorHAnsi" w:cstheme="majorHAnsi"/>
                <w:sz w:val="26"/>
                <w:szCs w:val="26"/>
                <w:lang w:val="vi-VN"/>
              </w:rPr>
              <w:t xml:space="preserve">bất cứ </w:t>
            </w:r>
            <w:r w:rsidRPr="00491261">
              <w:rPr>
                <w:rFonts w:asciiTheme="majorHAnsi" w:hAnsiTheme="majorHAnsi" w:cstheme="majorHAnsi"/>
                <w:sz w:val="26"/>
                <w:szCs w:val="26"/>
                <w:lang w:val="vi-VN"/>
              </w:rPr>
              <w:t>Trạm bảo hành ủy quyền của hãng sản xuất trên toàn quốc.</w:t>
            </w:r>
          </w:p>
        </w:tc>
        <w:tc>
          <w:tcPr>
            <w:tcW w:w="1137" w:type="dxa"/>
            <w:vAlign w:val="center"/>
          </w:tcPr>
          <w:p w14:paraId="23D46B45" w14:textId="77777777" w:rsidR="00350F07" w:rsidRPr="00202770" w:rsidRDefault="00350F07" w:rsidP="00CE26EE">
            <w:pPr>
              <w:ind w:right="43"/>
              <w:jc w:val="center"/>
              <w:rPr>
                <w:rFonts w:asciiTheme="majorHAnsi" w:hAnsiTheme="majorHAnsi" w:cstheme="majorHAnsi"/>
                <w:b/>
                <w:sz w:val="26"/>
                <w:szCs w:val="26"/>
              </w:rPr>
            </w:pPr>
            <w:r w:rsidRPr="00202770">
              <w:rPr>
                <w:rFonts w:asciiTheme="majorHAnsi" w:hAnsiTheme="majorHAnsi" w:cstheme="majorHAnsi"/>
                <w:b/>
                <w:sz w:val="26"/>
                <w:szCs w:val="26"/>
              </w:rPr>
              <w:lastRenderedPageBreak/>
              <w:t>Đạt</w:t>
            </w:r>
          </w:p>
        </w:tc>
      </w:tr>
      <w:tr w:rsidR="00350F07" w:rsidRPr="00202770" w14:paraId="12B41CC1" w14:textId="77777777" w:rsidTr="00350F07">
        <w:tc>
          <w:tcPr>
            <w:tcW w:w="3397" w:type="dxa"/>
            <w:vMerge/>
          </w:tcPr>
          <w:p w14:paraId="2CC5517D" w14:textId="77777777" w:rsidR="00350F07" w:rsidRPr="00202770" w:rsidRDefault="00350F07" w:rsidP="00CE26EE">
            <w:pPr>
              <w:ind w:right="43"/>
              <w:rPr>
                <w:rFonts w:asciiTheme="majorHAnsi" w:hAnsiTheme="majorHAnsi" w:cstheme="majorHAnsi"/>
                <w:sz w:val="26"/>
                <w:szCs w:val="26"/>
              </w:rPr>
            </w:pPr>
          </w:p>
        </w:tc>
        <w:tc>
          <w:tcPr>
            <w:tcW w:w="4546" w:type="dxa"/>
          </w:tcPr>
          <w:p w14:paraId="192F2C6F" w14:textId="50047A18" w:rsidR="00350F07" w:rsidRDefault="00350F07" w:rsidP="00CE26EE">
            <w:pPr>
              <w:ind w:left="203" w:right="43"/>
              <w:rPr>
                <w:rFonts w:asciiTheme="majorHAnsi" w:hAnsiTheme="majorHAnsi" w:cstheme="majorHAnsi"/>
                <w:sz w:val="26"/>
                <w:szCs w:val="26"/>
                <w:lang w:val="vi-VN"/>
              </w:rPr>
            </w:pPr>
            <w:r w:rsidRPr="00202770">
              <w:rPr>
                <w:rFonts w:asciiTheme="majorHAnsi" w:hAnsiTheme="majorHAnsi" w:cstheme="majorHAnsi"/>
                <w:sz w:val="26"/>
                <w:szCs w:val="26"/>
              </w:rPr>
              <w:t xml:space="preserve">Thời gian bảo hành &lt; </w:t>
            </w:r>
            <w:r w:rsidR="00865483">
              <w:rPr>
                <w:rFonts w:asciiTheme="majorHAnsi" w:hAnsiTheme="majorHAnsi" w:cstheme="majorHAnsi"/>
                <w:sz w:val="26"/>
                <w:szCs w:val="26"/>
              </w:rPr>
              <w:t>05</w:t>
            </w:r>
            <w:r w:rsidR="00865483">
              <w:rPr>
                <w:rFonts w:asciiTheme="majorHAnsi" w:hAnsiTheme="majorHAnsi" w:cstheme="majorHAnsi"/>
                <w:sz w:val="26"/>
                <w:szCs w:val="26"/>
                <w:lang w:val="vi-VN"/>
              </w:rPr>
              <w:t xml:space="preserve"> năm </w:t>
            </w:r>
            <w:r w:rsidRPr="00202770">
              <w:rPr>
                <w:rFonts w:asciiTheme="majorHAnsi" w:hAnsiTheme="majorHAnsi" w:cstheme="majorHAnsi"/>
                <w:sz w:val="26"/>
                <w:szCs w:val="26"/>
              </w:rPr>
              <w:t xml:space="preserve">hoặc &lt; </w:t>
            </w:r>
            <w:r w:rsidR="00865483">
              <w:rPr>
                <w:rFonts w:asciiTheme="majorHAnsi" w:hAnsiTheme="majorHAnsi" w:cstheme="majorHAnsi"/>
                <w:sz w:val="26"/>
                <w:szCs w:val="26"/>
              </w:rPr>
              <w:t>15</w:t>
            </w:r>
            <w:r w:rsidRPr="00202770">
              <w:rPr>
                <w:rFonts w:asciiTheme="majorHAnsi" w:hAnsiTheme="majorHAnsi" w:cstheme="majorHAnsi"/>
                <w:sz w:val="26"/>
                <w:szCs w:val="26"/>
              </w:rPr>
              <w:t>0.000 km và không có kế hoạch, quy trình bảo hành phù hợp với tính chất của gói thầu.</w:t>
            </w:r>
          </w:p>
          <w:p w14:paraId="28D40540" w14:textId="702DDBF6" w:rsidR="00350F07" w:rsidRPr="00350F07" w:rsidRDefault="00350F07" w:rsidP="00CE26EE">
            <w:pPr>
              <w:ind w:left="203" w:right="43"/>
              <w:rPr>
                <w:rFonts w:asciiTheme="majorHAnsi" w:hAnsiTheme="majorHAnsi" w:cstheme="majorHAnsi"/>
                <w:sz w:val="26"/>
                <w:szCs w:val="26"/>
                <w:lang w:val="vi-VN"/>
              </w:rPr>
            </w:pPr>
            <w:r w:rsidRPr="00491261">
              <w:rPr>
                <w:rFonts w:asciiTheme="majorHAnsi" w:hAnsiTheme="majorHAnsi" w:cstheme="majorHAnsi"/>
                <w:sz w:val="26"/>
                <w:szCs w:val="26"/>
                <w:lang w:val="vi-VN"/>
              </w:rPr>
              <w:t xml:space="preserve">Hàng hóa </w:t>
            </w:r>
            <w:r>
              <w:rPr>
                <w:rFonts w:asciiTheme="majorHAnsi" w:hAnsiTheme="majorHAnsi" w:cstheme="majorHAnsi"/>
                <w:sz w:val="26"/>
                <w:szCs w:val="26"/>
                <w:lang w:val="vi-VN"/>
              </w:rPr>
              <w:t xml:space="preserve">không </w:t>
            </w:r>
            <w:r w:rsidRPr="00491261">
              <w:rPr>
                <w:rFonts w:asciiTheme="majorHAnsi" w:hAnsiTheme="majorHAnsi" w:cstheme="majorHAnsi"/>
                <w:sz w:val="26"/>
                <w:szCs w:val="26"/>
                <w:lang w:val="vi-VN"/>
              </w:rPr>
              <w:t xml:space="preserve">được bảo hành tại </w:t>
            </w:r>
            <w:r>
              <w:rPr>
                <w:rFonts w:asciiTheme="majorHAnsi" w:hAnsiTheme="majorHAnsi" w:cstheme="majorHAnsi"/>
                <w:sz w:val="26"/>
                <w:szCs w:val="26"/>
                <w:lang w:val="vi-VN"/>
              </w:rPr>
              <w:t xml:space="preserve">bất cứ </w:t>
            </w:r>
            <w:r w:rsidRPr="00491261">
              <w:rPr>
                <w:rFonts w:asciiTheme="majorHAnsi" w:hAnsiTheme="majorHAnsi" w:cstheme="majorHAnsi"/>
                <w:sz w:val="26"/>
                <w:szCs w:val="26"/>
                <w:lang w:val="vi-VN"/>
              </w:rPr>
              <w:t>Trạm bảo hành ủy quyền của hãng sản xuất trên toàn quốc.</w:t>
            </w:r>
          </w:p>
        </w:tc>
        <w:tc>
          <w:tcPr>
            <w:tcW w:w="1137" w:type="dxa"/>
            <w:vAlign w:val="center"/>
          </w:tcPr>
          <w:p w14:paraId="68DA1DBF" w14:textId="77777777" w:rsidR="00350F07" w:rsidRPr="00202770" w:rsidRDefault="00350F07" w:rsidP="00CE26EE">
            <w:pPr>
              <w:ind w:right="43"/>
              <w:jc w:val="center"/>
              <w:rPr>
                <w:rFonts w:asciiTheme="majorHAnsi" w:hAnsiTheme="majorHAnsi" w:cstheme="majorHAnsi"/>
                <w:b/>
                <w:sz w:val="26"/>
                <w:szCs w:val="26"/>
              </w:rPr>
            </w:pPr>
            <w:r w:rsidRPr="00202770">
              <w:rPr>
                <w:rFonts w:asciiTheme="majorHAnsi" w:hAnsiTheme="majorHAnsi" w:cstheme="majorHAnsi"/>
                <w:b/>
                <w:sz w:val="26"/>
                <w:szCs w:val="26"/>
              </w:rPr>
              <w:t>Không đạt</w:t>
            </w:r>
          </w:p>
        </w:tc>
      </w:tr>
      <w:tr w:rsidR="00350F07" w:rsidRPr="00202770" w14:paraId="33738BB5" w14:textId="77777777" w:rsidTr="00CE26EE">
        <w:trPr>
          <w:trHeight w:val="679"/>
        </w:trPr>
        <w:tc>
          <w:tcPr>
            <w:tcW w:w="9080" w:type="dxa"/>
            <w:gridSpan w:val="3"/>
            <w:tcBorders>
              <w:bottom w:val="single" w:sz="4" w:space="0" w:color="auto"/>
            </w:tcBorders>
          </w:tcPr>
          <w:p w14:paraId="22BFCEF7" w14:textId="77777777" w:rsidR="00350F07" w:rsidRPr="00202770" w:rsidRDefault="00350F07" w:rsidP="00350F07">
            <w:pPr>
              <w:numPr>
                <w:ilvl w:val="0"/>
                <w:numId w:val="1"/>
              </w:numPr>
              <w:tabs>
                <w:tab w:val="left" w:pos="419"/>
              </w:tabs>
              <w:ind w:left="135" w:right="43" w:firstLine="12"/>
              <w:rPr>
                <w:rFonts w:asciiTheme="majorHAnsi" w:hAnsiTheme="majorHAnsi" w:cstheme="majorHAnsi"/>
                <w:b/>
                <w:sz w:val="26"/>
                <w:szCs w:val="26"/>
              </w:rPr>
            </w:pPr>
            <w:r w:rsidRPr="00CA2765">
              <w:rPr>
                <w:rFonts w:asciiTheme="majorHAnsi" w:hAnsiTheme="majorHAnsi" w:cstheme="majorHAnsi"/>
                <w:b/>
                <w:sz w:val="26"/>
                <w:szCs w:val="26"/>
              </w:rPr>
              <w:t>Kết quả thực hiện hợp đồng của nhà thầu đối với gói thầu cung cấp hàng hóa theo quy định tại Điều 19 và Điều 20 của Nghị định số 214/2025/NĐ-CP, chất lượng hàng hóa tương tự được công khai theo quy định tại Điều 20 của Nghị định số 214/2025/NĐ-CP</w:t>
            </w:r>
          </w:p>
        </w:tc>
      </w:tr>
      <w:tr w:rsidR="00350F07" w:rsidRPr="00202770" w14:paraId="2C6C99B5" w14:textId="77777777" w:rsidTr="00350F07">
        <w:trPr>
          <w:trHeight w:val="631"/>
        </w:trPr>
        <w:tc>
          <w:tcPr>
            <w:tcW w:w="3397" w:type="dxa"/>
            <w:vMerge w:val="restart"/>
            <w:tcBorders>
              <w:top w:val="single" w:sz="4" w:space="0" w:color="auto"/>
              <w:left w:val="single" w:sz="4" w:space="0" w:color="auto"/>
              <w:bottom w:val="single" w:sz="4" w:space="0" w:color="auto"/>
              <w:right w:val="single" w:sz="4" w:space="0" w:color="auto"/>
            </w:tcBorders>
          </w:tcPr>
          <w:p w14:paraId="72C37E82" w14:textId="77777777" w:rsidR="00350F07" w:rsidRDefault="00350F07" w:rsidP="00CE26EE">
            <w:pPr>
              <w:tabs>
                <w:tab w:val="left" w:pos="343"/>
                <w:tab w:val="left" w:pos="569"/>
              </w:tabs>
              <w:ind w:left="185" w:right="43"/>
              <w:rPr>
                <w:rFonts w:asciiTheme="majorHAnsi" w:hAnsiTheme="majorHAnsi" w:cstheme="majorHAnsi"/>
                <w:sz w:val="26"/>
                <w:szCs w:val="26"/>
                <w:lang w:val="vi-VN"/>
              </w:rPr>
            </w:pPr>
            <w:r w:rsidRPr="00A31570">
              <w:rPr>
                <w:rFonts w:asciiTheme="majorHAnsi" w:hAnsiTheme="majorHAnsi" w:cstheme="majorHAnsi"/>
                <w:sz w:val="26"/>
                <w:szCs w:val="26"/>
              </w:rPr>
              <w:t>Kết quả thực hiện hợp đồng của nhà thầu đối với gói thầu cung cấp hàng hóa theo quy định tại Điều 19 và Điều 20 của Nghị định số 214/2025/NĐ-CP, chất lượng hàng hóa tương tự được công khai theo quy định tại Điều 20 của Nghị định số 214/2025/NĐ-CP</w:t>
            </w:r>
          </w:p>
          <w:p w14:paraId="50D946AC" w14:textId="77777777" w:rsidR="00350F07" w:rsidRPr="00CA2765" w:rsidRDefault="00350F07" w:rsidP="00CE26EE">
            <w:pPr>
              <w:tabs>
                <w:tab w:val="left" w:pos="343"/>
                <w:tab w:val="left" w:pos="569"/>
              </w:tabs>
              <w:ind w:left="185" w:right="43"/>
              <w:rPr>
                <w:rFonts w:asciiTheme="majorHAnsi" w:hAnsiTheme="majorHAnsi" w:cstheme="majorHAnsi"/>
                <w:sz w:val="26"/>
                <w:szCs w:val="26"/>
                <w:lang w:val="vi-VN"/>
              </w:rPr>
            </w:pPr>
            <w:r w:rsidRPr="00A31570">
              <w:rPr>
                <w:rFonts w:asciiTheme="majorHAnsi" w:hAnsiTheme="majorHAnsi" w:cstheme="majorHAnsi"/>
                <w:sz w:val="26"/>
                <w:szCs w:val="26"/>
                <w:lang w:val="vi-VN"/>
              </w:rPr>
              <w:t xml:space="preserve">Trường hợp </w:t>
            </w:r>
            <w:r>
              <w:rPr>
                <w:rFonts w:asciiTheme="majorHAnsi" w:hAnsiTheme="majorHAnsi" w:cstheme="majorHAnsi"/>
                <w:sz w:val="26"/>
                <w:szCs w:val="26"/>
                <w:lang w:val="vi-VN"/>
              </w:rPr>
              <w:t xml:space="preserve">Tổ chuyên gia </w:t>
            </w:r>
            <w:r w:rsidRPr="00A31570">
              <w:rPr>
                <w:rFonts w:asciiTheme="majorHAnsi" w:hAnsiTheme="majorHAnsi" w:cstheme="majorHAnsi"/>
                <w:sz w:val="26"/>
                <w:szCs w:val="26"/>
                <w:lang w:val="vi-VN"/>
              </w:rPr>
              <w:t>phát hiện từ ngày 01/01/2022 trở lại đây: Nhà thầu vi phạm về đấu thầu theo quy định của pháp luật thì được đánh giá là không đạt ở mục này.</w:t>
            </w:r>
          </w:p>
        </w:tc>
        <w:tc>
          <w:tcPr>
            <w:tcW w:w="4546" w:type="dxa"/>
            <w:tcBorders>
              <w:top w:val="single" w:sz="4" w:space="0" w:color="auto"/>
              <w:left w:val="single" w:sz="4" w:space="0" w:color="auto"/>
              <w:bottom w:val="single" w:sz="4" w:space="0" w:color="auto"/>
              <w:right w:val="single" w:sz="4" w:space="0" w:color="auto"/>
            </w:tcBorders>
          </w:tcPr>
          <w:p w14:paraId="3A7921A8" w14:textId="77777777" w:rsidR="00350F07" w:rsidRPr="00A31570" w:rsidRDefault="00350F07" w:rsidP="00CE26EE">
            <w:pPr>
              <w:pStyle w:val="oancuaDanhsach"/>
              <w:tabs>
                <w:tab w:val="left" w:pos="363"/>
              </w:tabs>
              <w:spacing w:before="120"/>
              <w:ind w:left="143" w:right="43"/>
              <w:rPr>
                <w:rFonts w:asciiTheme="majorHAnsi" w:hAnsiTheme="majorHAnsi" w:cstheme="majorHAnsi"/>
                <w:sz w:val="26"/>
                <w:szCs w:val="26"/>
                <w:lang w:val="vi-VN"/>
              </w:rPr>
            </w:pPr>
            <w:r w:rsidRPr="00A31570">
              <w:rPr>
                <w:rFonts w:asciiTheme="majorHAnsi" w:hAnsiTheme="majorHAnsi" w:cstheme="majorHAnsi"/>
                <w:sz w:val="26"/>
                <w:szCs w:val="26"/>
                <w:lang w:val="vi-VN"/>
              </w:rPr>
              <w:t>Nhà thầu có bản cam kết đáp</w:t>
            </w:r>
            <w:r>
              <w:rPr>
                <w:rFonts w:asciiTheme="majorHAnsi" w:hAnsiTheme="majorHAnsi" w:cstheme="majorHAnsi"/>
                <w:sz w:val="26"/>
                <w:szCs w:val="26"/>
                <w:lang w:val="vi-VN"/>
              </w:rPr>
              <w:t xml:space="preserve"> ứng yêu cầu </w:t>
            </w:r>
            <w:r w:rsidRPr="00A31570">
              <w:rPr>
                <w:rFonts w:asciiTheme="majorHAnsi" w:hAnsiTheme="majorHAnsi" w:cstheme="majorHAnsi"/>
                <w:sz w:val="26"/>
                <w:szCs w:val="26"/>
                <w:lang w:val="vi-VN"/>
              </w:rPr>
              <w:t>theo quy định tại Điều 19 và Điều 20 của Nghị định số 214/2025/NĐ-CP, chất lượng hàng hóa tương tự được công khai theo quy định tại Điều 20 của Nghị định số 214/2025/NĐ-</w:t>
            </w:r>
            <w:r>
              <w:rPr>
                <w:rFonts w:asciiTheme="majorHAnsi" w:hAnsiTheme="majorHAnsi" w:cstheme="majorHAnsi"/>
                <w:sz w:val="26"/>
                <w:szCs w:val="26"/>
                <w:lang w:val="vi-VN"/>
              </w:rPr>
              <w:t>CP.</w:t>
            </w:r>
          </w:p>
          <w:p w14:paraId="540CF675" w14:textId="77777777" w:rsidR="00350F07" w:rsidRPr="00CA2765" w:rsidRDefault="00350F07" w:rsidP="00CE26EE">
            <w:pPr>
              <w:pStyle w:val="oancuaDanhsach"/>
              <w:tabs>
                <w:tab w:val="left" w:pos="363"/>
              </w:tabs>
              <w:spacing w:before="120"/>
              <w:ind w:left="143" w:right="43"/>
              <w:rPr>
                <w:rFonts w:asciiTheme="majorHAnsi" w:hAnsiTheme="majorHAnsi" w:cstheme="majorHAnsi"/>
                <w:sz w:val="26"/>
                <w:szCs w:val="26"/>
                <w:lang w:val="vi-VN"/>
              </w:rPr>
            </w:pPr>
          </w:p>
        </w:tc>
        <w:tc>
          <w:tcPr>
            <w:tcW w:w="1137" w:type="dxa"/>
            <w:tcBorders>
              <w:top w:val="single" w:sz="4" w:space="0" w:color="auto"/>
              <w:left w:val="single" w:sz="4" w:space="0" w:color="auto"/>
              <w:bottom w:val="single" w:sz="4" w:space="0" w:color="auto"/>
              <w:right w:val="single" w:sz="4" w:space="0" w:color="auto"/>
            </w:tcBorders>
          </w:tcPr>
          <w:p w14:paraId="1057CAD6" w14:textId="77777777" w:rsidR="00350F07" w:rsidRPr="00202770" w:rsidRDefault="00350F07" w:rsidP="00CE26EE">
            <w:pPr>
              <w:pStyle w:val="TableParagraph"/>
              <w:widowControl/>
              <w:ind w:left="0"/>
              <w:rPr>
                <w:rFonts w:asciiTheme="majorHAnsi" w:hAnsiTheme="majorHAnsi" w:cstheme="majorHAnsi"/>
                <w:b/>
                <w:sz w:val="26"/>
                <w:szCs w:val="26"/>
              </w:rPr>
            </w:pPr>
          </w:p>
          <w:p w14:paraId="130D2F8A" w14:textId="77777777" w:rsidR="00350F07" w:rsidRPr="00202770" w:rsidRDefault="00350F07" w:rsidP="00CE26EE">
            <w:pPr>
              <w:pStyle w:val="TableParagraph"/>
              <w:widowControl/>
              <w:rPr>
                <w:rFonts w:asciiTheme="majorHAnsi" w:hAnsiTheme="majorHAnsi" w:cstheme="majorHAnsi"/>
                <w:b/>
                <w:sz w:val="26"/>
                <w:szCs w:val="26"/>
              </w:rPr>
            </w:pPr>
          </w:p>
          <w:p w14:paraId="7BE572A8" w14:textId="77777777" w:rsidR="00350F07" w:rsidRPr="00202770" w:rsidRDefault="00350F07" w:rsidP="00CE26EE">
            <w:pPr>
              <w:ind w:right="43"/>
              <w:jc w:val="center"/>
              <w:rPr>
                <w:rFonts w:asciiTheme="majorHAnsi" w:hAnsiTheme="majorHAnsi" w:cstheme="majorHAnsi"/>
                <w:b/>
                <w:sz w:val="26"/>
                <w:szCs w:val="26"/>
              </w:rPr>
            </w:pPr>
            <w:r w:rsidRPr="00202770">
              <w:rPr>
                <w:rFonts w:asciiTheme="majorHAnsi" w:hAnsiTheme="majorHAnsi" w:cstheme="majorHAnsi"/>
                <w:b/>
                <w:sz w:val="26"/>
                <w:szCs w:val="26"/>
              </w:rPr>
              <w:t>Đạt</w:t>
            </w:r>
          </w:p>
        </w:tc>
      </w:tr>
      <w:tr w:rsidR="00350F07" w:rsidRPr="00202770" w14:paraId="1610ADDD" w14:textId="77777777" w:rsidTr="00350F07">
        <w:tc>
          <w:tcPr>
            <w:tcW w:w="3397" w:type="dxa"/>
            <w:vMerge/>
            <w:tcBorders>
              <w:top w:val="single" w:sz="4" w:space="0" w:color="auto"/>
            </w:tcBorders>
          </w:tcPr>
          <w:p w14:paraId="5D518633" w14:textId="77777777" w:rsidR="00350F07" w:rsidRPr="00202770" w:rsidRDefault="00350F07" w:rsidP="00CE26EE">
            <w:pPr>
              <w:ind w:right="43"/>
              <w:rPr>
                <w:rFonts w:asciiTheme="majorHAnsi" w:hAnsiTheme="majorHAnsi" w:cstheme="majorHAnsi"/>
                <w:sz w:val="26"/>
                <w:szCs w:val="26"/>
              </w:rPr>
            </w:pPr>
          </w:p>
        </w:tc>
        <w:tc>
          <w:tcPr>
            <w:tcW w:w="4546" w:type="dxa"/>
            <w:tcBorders>
              <w:top w:val="single" w:sz="4" w:space="0" w:color="auto"/>
            </w:tcBorders>
            <w:vAlign w:val="center"/>
          </w:tcPr>
          <w:p w14:paraId="1B963D61" w14:textId="77777777" w:rsidR="00350F07" w:rsidRPr="00202770" w:rsidRDefault="00350F07" w:rsidP="00CE26EE">
            <w:pPr>
              <w:pStyle w:val="oancuaDanhsach"/>
              <w:tabs>
                <w:tab w:val="left" w:pos="363"/>
              </w:tabs>
              <w:spacing w:before="120"/>
              <w:ind w:left="143" w:right="43"/>
              <w:rPr>
                <w:rFonts w:asciiTheme="majorHAnsi" w:hAnsiTheme="majorHAnsi" w:cstheme="majorHAnsi"/>
                <w:sz w:val="26"/>
                <w:szCs w:val="26"/>
              </w:rPr>
            </w:pPr>
            <w:r w:rsidRPr="00202770">
              <w:rPr>
                <w:rFonts w:asciiTheme="majorHAnsi" w:hAnsiTheme="majorHAnsi" w:cstheme="majorHAnsi"/>
                <w:sz w:val="26"/>
                <w:szCs w:val="26"/>
              </w:rPr>
              <w:t xml:space="preserve">Không đáp ứng nội dung </w:t>
            </w:r>
            <w:r>
              <w:rPr>
                <w:rFonts w:asciiTheme="majorHAnsi" w:hAnsiTheme="majorHAnsi" w:cstheme="majorHAnsi"/>
                <w:sz w:val="26"/>
                <w:szCs w:val="26"/>
              </w:rPr>
              <w:t>trên</w:t>
            </w:r>
            <w:r>
              <w:rPr>
                <w:rFonts w:asciiTheme="majorHAnsi" w:hAnsiTheme="majorHAnsi" w:cstheme="majorHAnsi"/>
                <w:sz w:val="26"/>
                <w:szCs w:val="26"/>
                <w:lang w:val="vi-VN"/>
              </w:rPr>
              <w:t>.</w:t>
            </w:r>
          </w:p>
        </w:tc>
        <w:tc>
          <w:tcPr>
            <w:tcW w:w="1137" w:type="dxa"/>
            <w:tcBorders>
              <w:top w:val="single" w:sz="4" w:space="0" w:color="auto"/>
            </w:tcBorders>
            <w:vAlign w:val="center"/>
          </w:tcPr>
          <w:p w14:paraId="6DBD6676" w14:textId="77777777" w:rsidR="00350F07" w:rsidRPr="00202770" w:rsidRDefault="00350F07" w:rsidP="00CE26EE">
            <w:pPr>
              <w:ind w:right="43"/>
              <w:jc w:val="center"/>
              <w:rPr>
                <w:rFonts w:asciiTheme="majorHAnsi" w:hAnsiTheme="majorHAnsi" w:cstheme="majorHAnsi"/>
                <w:b/>
                <w:sz w:val="26"/>
                <w:szCs w:val="26"/>
              </w:rPr>
            </w:pPr>
            <w:r w:rsidRPr="00202770">
              <w:rPr>
                <w:rFonts w:asciiTheme="majorHAnsi" w:hAnsiTheme="majorHAnsi" w:cstheme="majorHAnsi"/>
                <w:b/>
                <w:sz w:val="26"/>
                <w:szCs w:val="26"/>
              </w:rPr>
              <w:t>Không đạt</w:t>
            </w:r>
          </w:p>
        </w:tc>
      </w:tr>
      <w:tr w:rsidR="00350F07" w:rsidRPr="00202770" w14:paraId="79C6208F" w14:textId="77777777" w:rsidTr="00350F07">
        <w:tc>
          <w:tcPr>
            <w:tcW w:w="3397" w:type="dxa"/>
            <w:vMerge w:val="restart"/>
            <w:vAlign w:val="center"/>
          </w:tcPr>
          <w:p w14:paraId="18EAA777" w14:textId="77777777" w:rsidR="00350F07" w:rsidRPr="00202770" w:rsidRDefault="00350F07" w:rsidP="00CE26EE">
            <w:pPr>
              <w:ind w:right="43"/>
              <w:jc w:val="center"/>
              <w:rPr>
                <w:rFonts w:asciiTheme="majorHAnsi" w:hAnsiTheme="majorHAnsi" w:cstheme="majorHAnsi"/>
                <w:sz w:val="26"/>
                <w:szCs w:val="26"/>
              </w:rPr>
            </w:pPr>
            <w:r w:rsidRPr="00202770">
              <w:rPr>
                <w:rFonts w:asciiTheme="majorHAnsi" w:hAnsiTheme="majorHAnsi" w:cstheme="majorHAnsi"/>
                <w:b/>
                <w:sz w:val="26"/>
                <w:szCs w:val="26"/>
              </w:rPr>
              <w:t>Kết luận</w:t>
            </w:r>
          </w:p>
        </w:tc>
        <w:tc>
          <w:tcPr>
            <w:tcW w:w="4546" w:type="dxa"/>
            <w:vAlign w:val="center"/>
          </w:tcPr>
          <w:p w14:paraId="7D275233" w14:textId="77777777" w:rsidR="00350F07" w:rsidRPr="00202770" w:rsidRDefault="00350F07" w:rsidP="00CE26EE">
            <w:pPr>
              <w:ind w:left="122" w:right="43"/>
              <w:jc w:val="center"/>
              <w:rPr>
                <w:rFonts w:asciiTheme="majorHAnsi" w:hAnsiTheme="majorHAnsi" w:cstheme="majorHAnsi"/>
                <w:sz w:val="26"/>
                <w:szCs w:val="26"/>
              </w:rPr>
            </w:pPr>
            <w:r w:rsidRPr="00202770">
              <w:rPr>
                <w:rFonts w:asciiTheme="majorHAnsi" w:hAnsiTheme="majorHAnsi" w:cstheme="majorHAnsi"/>
                <w:b/>
                <w:bCs/>
                <w:iCs/>
                <w:sz w:val="26"/>
                <w:szCs w:val="26"/>
                <w:lang w:val="nl-NL"/>
              </w:rPr>
              <w:t>Đạt tất cả các nội dung trên</w:t>
            </w:r>
          </w:p>
        </w:tc>
        <w:tc>
          <w:tcPr>
            <w:tcW w:w="1137" w:type="dxa"/>
            <w:vAlign w:val="center"/>
          </w:tcPr>
          <w:p w14:paraId="688963CA" w14:textId="77777777" w:rsidR="00350F07" w:rsidRPr="00202770" w:rsidRDefault="00350F07" w:rsidP="00CE26EE">
            <w:pPr>
              <w:ind w:right="43"/>
              <w:jc w:val="center"/>
              <w:rPr>
                <w:rFonts w:asciiTheme="majorHAnsi" w:hAnsiTheme="majorHAnsi" w:cstheme="majorHAnsi"/>
                <w:b/>
                <w:sz w:val="26"/>
                <w:szCs w:val="26"/>
              </w:rPr>
            </w:pPr>
            <w:r w:rsidRPr="00202770">
              <w:rPr>
                <w:rFonts w:asciiTheme="majorHAnsi" w:hAnsiTheme="majorHAnsi" w:cstheme="majorHAnsi"/>
                <w:b/>
                <w:sz w:val="26"/>
                <w:szCs w:val="26"/>
              </w:rPr>
              <w:t>Đạt</w:t>
            </w:r>
          </w:p>
        </w:tc>
      </w:tr>
      <w:tr w:rsidR="00350F07" w:rsidRPr="00202770" w14:paraId="0C517B28" w14:textId="77777777" w:rsidTr="00350F07">
        <w:tc>
          <w:tcPr>
            <w:tcW w:w="3397" w:type="dxa"/>
            <w:vMerge/>
          </w:tcPr>
          <w:p w14:paraId="40DC0888" w14:textId="77777777" w:rsidR="00350F07" w:rsidRPr="00202770" w:rsidRDefault="00350F07" w:rsidP="00CE26EE">
            <w:pPr>
              <w:ind w:right="43"/>
              <w:rPr>
                <w:rFonts w:asciiTheme="majorHAnsi" w:hAnsiTheme="majorHAnsi" w:cstheme="majorHAnsi"/>
                <w:sz w:val="26"/>
                <w:szCs w:val="26"/>
              </w:rPr>
            </w:pPr>
          </w:p>
        </w:tc>
        <w:tc>
          <w:tcPr>
            <w:tcW w:w="4546" w:type="dxa"/>
            <w:vAlign w:val="center"/>
          </w:tcPr>
          <w:p w14:paraId="5440298A" w14:textId="77777777" w:rsidR="00350F07" w:rsidRPr="00202770" w:rsidRDefault="00350F07" w:rsidP="00CE26EE">
            <w:pPr>
              <w:ind w:left="122" w:right="43"/>
              <w:jc w:val="center"/>
              <w:rPr>
                <w:rFonts w:asciiTheme="majorHAnsi" w:hAnsiTheme="majorHAnsi" w:cstheme="majorHAnsi"/>
                <w:sz w:val="26"/>
                <w:szCs w:val="26"/>
              </w:rPr>
            </w:pPr>
            <w:r w:rsidRPr="00202770">
              <w:rPr>
                <w:rFonts w:asciiTheme="majorHAnsi" w:hAnsiTheme="majorHAnsi" w:cstheme="majorHAnsi"/>
                <w:b/>
                <w:bCs/>
                <w:iCs/>
                <w:sz w:val="26"/>
                <w:szCs w:val="26"/>
                <w:lang w:val="nl-NL"/>
              </w:rPr>
              <w:t>Không đạt bất kỳ nội dung nào nêu trên</w:t>
            </w:r>
          </w:p>
        </w:tc>
        <w:tc>
          <w:tcPr>
            <w:tcW w:w="1137" w:type="dxa"/>
            <w:vAlign w:val="center"/>
          </w:tcPr>
          <w:p w14:paraId="3C866EB2" w14:textId="77777777" w:rsidR="00350F07" w:rsidRPr="00202770" w:rsidRDefault="00350F07" w:rsidP="00CE26EE">
            <w:pPr>
              <w:ind w:right="43"/>
              <w:jc w:val="center"/>
              <w:rPr>
                <w:rFonts w:asciiTheme="majorHAnsi" w:hAnsiTheme="majorHAnsi" w:cstheme="majorHAnsi"/>
                <w:b/>
                <w:sz w:val="26"/>
                <w:szCs w:val="26"/>
              </w:rPr>
            </w:pPr>
            <w:r w:rsidRPr="00202770">
              <w:rPr>
                <w:rFonts w:asciiTheme="majorHAnsi" w:hAnsiTheme="majorHAnsi" w:cstheme="majorHAnsi"/>
                <w:b/>
                <w:sz w:val="26"/>
                <w:szCs w:val="26"/>
              </w:rPr>
              <w:t>Không đạt</w:t>
            </w:r>
          </w:p>
        </w:tc>
      </w:tr>
    </w:tbl>
    <w:p w14:paraId="2CEE74DD" w14:textId="77777777" w:rsidR="00350F07" w:rsidRPr="00202770" w:rsidRDefault="00350F07" w:rsidP="00350F07">
      <w:pPr>
        <w:spacing w:before="80" w:after="80"/>
        <w:ind w:firstLine="709"/>
        <w:rPr>
          <w:rFonts w:asciiTheme="majorHAnsi" w:hAnsiTheme="majorHAnsi" w:cstheme="majorHAnsi"/>
          <w:sz w:val="26"/>
          <w:szCs w:val="26"/>
          <w:lang w:val="es-ES"/>
        </w:rPr>
      </w:pPr>
      <w:r w:rsidRPr="00202770">
        <w:rPr>
          <w:rFonts w:asciiTheme="majorHAnsi" w:hAnsiTheme="majorHAnsi" w:cstheme="majorHAnsi"/>
          <w:sz w:val="26"/>
          <w:szCs w:val="26"/>
          <w:lang w:val="es-ES"/>
        </w:rPr>
        <w:t xml:space="preserve">E-HSDT được đánh giá là đáp ứng yêu cầu về kỹ thuật khi có tất cả các tiêu chí tổng quát đều được đánh giá là đạt. </w:t>
      </w:r>
    </w:p>
    <w:bookmarkEnd w:id="0"/>
    <w:p w14:paraId="440CBF21" w14:textId="77777777" w:rsidR="00350F07" w:rsidRPr="00350F07" w:rsidRDefault="00350F07">
      <w:pPr>
        <w:rPr>
          <w:lang w:val="es-ES"/>
        </w:rPr>
      </w:pPr>
    </w:p>
    <w:sectPr w:rsidR="00350F07" w:rsidRPr="00350F07" w:rsidSect="00350F07">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lfaen">
    <w:panose1 w:val="010A0502050306030303"/>
    <w:charset w:val="00"/>
    <w:family w:val="roman"/>
    <w:pitch w:val="variable"/>
    <w:sig w:usb0="04000687" w:usb1="00000000" w:usb2="00000000" w:usb3="00000000" w:csb0="0000009F"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A3"/>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81821"/>
    <w:multiLevelType w:val="hybridMultilevel"/>
    <w:tmpl w:val="D9123E9E"/>
    <w:lvl w:ilvl="0" w:tplc="B53E8C8A">
      <w:start w:val="1"/>
      <w:numFmt w:val="bullet"/>
      <w:lvlText w:val="-"/>
      <w:lvlJc w:val="left"/>
      <w:pPr>
        <w:ind w:left="4897" w:hanging="360"/>
      </w:pPr>
      <w:rPr>
        <w:rFonts w:ascii="Sylfaen" w:hAnsi="Sylfaen" w:hint="default"/>
      </w:rPr>
    </w:lvl>
    <w:lvl w:ilvl="1" w:tplc="04090003" w:tentative="1">
      <w:start w:val="1"/>
      <w:numFmt w:val="bullet"/>
      <w:lvlText w:val="o"/>
      <w:lvlJc w:val="left"/>
      <w:pPr>
        <w:ind w:left="5617" w:hanging="360"/>
      </w:pPr>
      <w:rPr>
        <w:rFonts w:ascii="Courier New" w:hAnsi="Courier New" w:cs="Courier New" w:hint="default"/>
      </w:rPr>
    </w:lvl>
    <w:lvl w:ilvl="2" w:tplc="04090005" w:tentative="1">
      <w:start w:val="1"/>
      <w:numFmt w:val="bullet"/>
      <w:lvlText w:val=""/>
      <w:lvlJc w:val="left"/>
      <w:pPr>
        <w:ind w:left="6337" w:hanging="360"/>
      </w:pPr>
      <w:rPr>
        <w:rFonts w:ascii="Wingdings" w:hAnsi="Wingdings" w:hint="default"/>
      </w:rPr>
    </w:lvl>
    <w:lvl w:ilvl="3" w:tplc="04090001" w:tentative="1">
      <w:start w:val="1"/>
      <w:numFmt w:val="bullet"/>
      <w:lvlText w:val=""/>
      <w:lvlJc w:val="left"/>
      <w:pPr>
        <w:ind w:left="7057" w:hanging="360"/>
      </w:pPr>
      <w:rPr>
        <w:rFonts w:ascii="Symbol" w:hAnsi="Symbol" w:hint="default"/>
      </w:rPr>
    </w:lvl>
    <w:lvl w:ilvl="4" w:tplc="04090003" w:tentative="1">
      <w:start w:val="1"/>
      <w:numFmt w:val="bullet"/>
      <w:lvlText w:val="o"/>
      <w:lvlJc w:val="left"/>
      <w:pPr>
        <w:ind w:left="7777" w:hanging="360"/>
      </w:pPr>
      <w:rPr>
        <w:rFonts w:ascii="Courier New" w:hAnsi="Courier New" w:cs="Courier New" w:hint="default"/>
      </w:rPr>
    </w:lvl>
    <w:lvl w:ilvl="5" w:tplc="04090005" w:tentative="1">
      <w:start w:val="1"/>
      <w:numFmt w:val="bullet"/>
      <w:lvlText w:val=""/>
      <w:lvlJc w:val="left"/>
      <w:pPr>
        <w:ind w:left="8497" w:hanging="360"/>
      </w:pPr>
      <w:rPr>
        <w:rFonts w:ascii="Wingdings" w:hAnsi="Wingdings" w:hint="default"/>
      </w:rPr>
    </w:lvl>
    <w:lvl w:ilvl="6" w:tplc="04090001" w:tentative="1">
      <w:start w:val="1"/>
      <w:numFmt w:val="bullet"/>
      <w:lvlText w:val=""/>
      <w:lvlJc w:val="left"/>
      <w:pPr>
        <w:ind w:left="9217" w:hanging="360"/>
      </w:pPr>
      <w:rPr>
        <w:rFonts w:ascii="Symbol" w:hAnsi="Symbol" w:hint="default"/>
      </w:rPr>
    </w:lvl>
    <w:lvl w:ilvl="7" w:tplc="04090003" w:tentative="1">
      <w:start w:val="1"/>
      <w:numFmt w:val="bullet"/>
      <w:lvlText w:val="o"/>
      <w:lvlJc w:val="left"/>
      <w:pPr>
        <w:ind w:left="9937" w:hanging="360"/>
      </w:pPr>
      <w:rPr>
        <w:rFonts w:ascii="Courier New" w:hAnsi="Courier New" w:cs="Courier New" w:hint="default"/>
      </w:rPr>
    </w:lvl>
    <w:lvl w:ilvl="8" w:tplc="04090005" w:tentative="1">
      <w:start w:val="1"/>
      <w:numFmt w:val="bullet"/>
      <w:lvlText w:val=""/>
      <w:lvlJc w:val="left"/>
      <w:pPr>
        <w:ind w:left="10657" w:hanging="360"/>
      </w:pPr>
      <w:rPr>
        <w:rFonts w:ascii="Wingdings" w:hAnsi="Wingdings" w:hint="default"/>
      </w:rPr>
    </w:lvl>
  </w:abstractNum>
  <w:abstractNum w:abstractNumId="1" w15:restartNumberingAfterBreak="0">
    <w:nsid w:val="33DE152B"/>
    <w:multiLevelType w:val="multilevel"/>
    <w:tmpl w:val="0BD8CFB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332366203">
    <w:abstractNumId w:val="1"/>
  </w:num>
  <w:num w:numId="2" w16cid:durableId="10647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F07"/>
    <w:rsid w:val="00350F07"/>
    <w:rsid w:val="00421740"/>
    <w:rsid w:val="006B478E"/>
    <w:rsid w:val="00710C97"/>
    <w:rsid w:val="0073188C"/>
    <w:rsid w:val="00865483"/>
    <w:rsid w:val="009453F5"/>
    <w:rsid w:val="00C7245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D28A7"/>
  <w15:chartTrackingRefBased/>
  <w15:docId w15:val="{F47F7668-1DC1-4D1B-9422-1954BF7DF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350F07"/>
    <w:pPr>
      <w:spacing w:after="0" w:line="240" w:lineRule="auto"/>
      <w:jc w:val="both"/>
    </w:pPr>
    <w:rPr>
      <w:rFonts w:ascii="Times New Roman" w:eastAsia="Times New Roman" w:hAnsi="Times New Roman" w:cs="Times New Roman"/>
      <w:kern w:val="0"/>
      <w:szCs w:val="20"/>
      <w:lang w:val="en-US"/>
      <w14:ligatures w14:val="none"/>
    </w:rPr>
  </w:style>
  <w:style w:type="paragraph" w:styleId="u1">
    <w:name w:val="heading 1"/>
    <w:basedOn w:val="Binhthng"/>
    <w:next w:val="Binhthng"/>
    <w:link w:val="u1Char"/>
    <w:uiPriority w:val="9"/>
    <w:qFormat/>
    <w:rsid w:val="00350F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350F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350F07"/>
    <w:pPr>
      <w:keepNext/>
      <w:keepLines/>
      <w:spacing w:before="160" w:after="80"/>
      <w:outlineLvl w:val="2"/>
    </w:pPr>
    <w:rPr>
      <w:rFonts w:eastAsiaTheme="majorEastAsia" w:cstheme="majorBidi"/>
      <w:color w:val="0F4761" w:themeColor="accent1" w:themeShade="BF"/>
      <w:sz w:val="28"/>
      <w:szCs w:val="28"/>
    </w:rPr>
  </w:style>
  <w:style w:type="paragraph" w:styleId="u4">
    <w:name w:val="heading 4"/>
    <w:basedOn w:val="Binhthng"/>
    <w:next w:val="Binhthng"/>
    <w:link w:val="u4Char"/>
    <w:uiPriority w:val="9"/>
    <w:semiHidden/>
    <w:unhideWhenUsed/>
    <w:qFormat/>
    <w:rsid w:val="00350F07"/>
    <w:pPr>
      <w:keepNext/>
      <w:keepLines/>
      <w:spacing w:before="80" w:after="40"/>
      <w:outlineLvl w:val="3"/>
    </w:pPr>
    <w:rPr>
      <w:rFonts w:eastAsiaTheme="majorEastAsia" w:cstheme="majorBidi"/>
      <w:i/>
      <w:iCs/>
      <w:color w:val="0F4761" w:themeColor="accent1" w:themeShade="BF"/>
    </w:rPr>
  </w:style>
  <w:style w:type="paragraph" w:styleId="u5">
    <w:name w:val="heading 5"/>
    <w:basedOn w:val="Binhthng"/>
    <w:next w:val="Binhthng"/>
    <w:link w:val="u5Char"/>
    <w:uiPriority w:val="9"/>
    <w:semiHidden/>
    <w:unhideWhenUsed/>
    <w:qFormat/>
    <w:rsid w:val="00350F07"/>
    <w:pPr>
      <w:keepNext/>
      <w:keepLines/>
      <w:spacing w:before="80" w:after="40"/>
      <w:outlineLvl w:val="4"/>
    </w:pPr>
    <w:rPr>
      <w:rFonts w:eastAsiaTheme="majorEastAsia" w:cstheme="majorBidi"/>
      <w:color w:val="0F4761" w:themeColor="accent1" w:themeShade="BF"/>
    </w:rPr>
  </w:style>
  <w:style w:type="paragraph" w:styleId="u6">
    <w:name w:val="heading 6"/>
    <w:basedOn w:val="Binhthng"/>
    <w:next w:val="Binhthng"/>
    <w:link w:val="u6Char"/>
    <w:uiPriority w:val="9"/>
    <w:semiHidden/>
    <w:unhideWhenUsed/>
    <w:qFormat/>
    <w:rsid w:val="00350F07"/>
    <w:pPr>
      <w:keepNext/>
      <w:keepLines/>
      <w:spacing w:before="4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350F07"/>
    <w:pPr>
      <w:keepNext/>
      <w:keepLines/>
      <w:spacing w:before="4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350F07"/>
    <w:pPr>
      <w:keepNext/>
      <w:keepLines/>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350F07"/>
    <w:pPr>
      <w:keepNext/>
      <w:keepLines/>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350F07"/>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350F07"/>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350F07"/>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350F07"/>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350F07"/>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350F07"/>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350F07"/>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350F07"/>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350F07"/>
    <w:rPr>
      <w:rFonts w:eastAsiaTheme="majorEastAsia" w:cstheme="majorBidi"/>
      <w:color w:val="272727" w:themeColor="text1" w:themeTint="D8"/>
    </w:rPr>
  </w:style>
  <w:style w:type="paragraph" w:styleId="Tiu">
    <w:name w:val="Title"/>
    <w:basedOn w:val="Binhthng"/>
    <w:next w:val="Binhthng"/>
    <w:link w:val="TiuChar"/>
    <w:uiPriority w:val="10"/>
    <w:qFormat/>
    <w:rsid w:val="00350F07"/>
    <w:pPr>
      <w:spacing w:after="80"/>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350F07"/>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350F07"/>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350F07"/>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350F07"/>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350F07"/>
    <w:rPr>
      <w:i/>
      <w:iCs/>
      <w:color w:val="404040" w:themeColor="text1" w:themeTint="BF"/>
    </w:rPr>
  </w:style>
  <w:style w:type="paragraph" w:styleId="oancuaDanhsach">
    <w:name w:val="List Paragraph"/>
    <w:aliases w:val="Citation List,본문(내용),List Paragraph (numbered (a)),Colorful List - Accent 11,Gạch đầu dòng,List Paragraph 1,ko,ADB paragraph numbering,Numbered List Paragraph,numbered para,bullet,List Paragraph11,tieu de phu 1,Bullet paras,lp1,1."/>
    <w:basedOn w:val="Binhthng"/>
    <w:link w:val="oancuaDanhsachChar"/>
    <w:uiPriority w:val="34"/>
    <w:qFormat/>
    <w:rsid w:val="00350F07"/>
    <w:pPr>
      <w:ind w:left="720"/>
      <w:contextualSpacing/>
    </w:pPr>
  </w:style>
  <w:style w:type="character" w:styleId="NhnmnhThm">
    <w:name w:val="Intense Emphasis"/>
    <w:basedOn w:val="Phngmcinhcuaoanvn"/>
    <w:uiPriority w:val="21"/>
    <w:qFormat/>
    <w:rsid w:val="00350F07"/>
    <w:rPr>
      <w:i/>
      <w:iCs/>
      <w:color w:val="0F4761" w:themeColor="accent1" w:themeShade="BF"/>
    </w:rPr>
  </w:style>
  <w:style w:type="paragraph" w:styleId="Nhaykepm">
    <w:name w:val="Intense Quote"/>
    <w:basedOn w:val="Binhthng"/>
    <w:next w:val="Binhthng"/>
    <w:link w:val="NhaykepmChar"/>
    <w:uiPriority w:val="30"/>
    <w:qFormat/>
    <w:rsid w:val="00350F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350F07"/>
    <w:rPr>
      <w:i/>
      <w:iCs/>
      <w:color w:val="0F4761" w:themeColor="accent1" w:themeShade="BF"/>
    </w:rPr>
  </w:style>
  <w:style w:type="character" w:styleId="ThamchiuNhnmnh">
    <w:name w:val="Intense Reference"/>
    <w:basedOn w:val="Phngmcinhcuaoanvn"/>
    <w:uiPriority w:val="32"/>
    <w:qFormat/>
    <w:rsid w:val="00350F07"/>
    <w:rPr>
      <w:b/>
      <w:bCs/>
      <w:smallCaps/>
      <w:color w:val="0F4761" w:themeColor="accent1" w:themeShade="BF"/>
      <w:spacing w:val="5"/>
    </w:rPr>
  </w:style>
  <w:style w:type="paragraph" w:styleId="Mucluc1">
    <w:name w:val="toc 1"/>
    <w:basedOn w:val="Binhthng"/>
    <w:next w:val="Binhthng"/>
    <w:autoRedefine/>
    <w:uiPriority w:val="39"/>
    <w:qFormat/>
    <w:rsid w:val="00350F07"/>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oancuaDanhsachChar">
    <w:name w:val="Đoạn của Danh sách Char"/>
    <w:aliases w:val="Citation List Char,본문(내용) Char,List Paragraph (numbered (a)) Char,Colorful List - Accent 11 Char,Gạch đầu dòng Char,List Paragraph 1 Char,ko Char,ADB paragraph numbering Char,Numbered List Paragraph Char,numbered para Char"/>
    <w:link w:val="oancuaDanhsach"/>
    <w:uiPriority w:val="34"/>
    <w:qFormat/>
    <w:rsid w:val="00350F07"/>
  </w:style>
  <w:style w:type="paragraph" w:customStyle="1" w:styleId="TableParagraph">
    <w:name w:val="Table Paragraph"/>
    <w:basedOn w:val="Binhthng"/>
    <w:uiPriority w:val="1"/>
    <w:qFormat/>
    <w:rsid w:val="00350F07"/>
    <w:pPr>
      <w:widowControl w:val="0"/>
      <w:autoSpaceDE w:val="0"/>
      <w:autoSpaceDN w:val="0"/>
      <w:spacing w:line="87" w:lineRule="exact"/>
      <w:ind w:left="318"/>
      <w:jc w:val="left"/>
    </w:pPr>
    <w:rPr>
      <w:rFonts w:ascii="Tahoma" w:eastAsia="Tahoma" w:hAnsi="Tahoma" w:cs="Tahoma"/>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2853</Characters>
  <Application>Microsoft Office Word</Application>
  <DocSecurity>0</DocSecurity>
  <Lines>23</Lines>
  <Paragraphs>6</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CHAU</dc:creator>
  <cp:keywords/>
  <dc:description/>
  <cp:lastModifiedBy>MR CHAU</cp:lastModifiedBy>
  <cp:revision>2</cp:revision>
  <cp:lastPrinted>2025-08-28T13:14:00Z</cp:lastPrinted>
  <dcterms:created xsi:type="dcterms:W3CDTF">2025-09-08T17:36:00Z</dcterms:created>
  <dcterms:modified xsi:type="dcterms:W3CDTF">2025-09-08T17:36:00Z</dcterms:modified>
</cp:coreProperties>
</file>