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5729"/>
        <w:gridCol w:w="1653"/>
      </w:tblGrid>
      <w:tr w:rsidR="005F249F" w:rsidRPr="005F249F" w:rsidTr="00CE2E30">
        <w:trPr>
          <w:trHeight w:val="20"/>
          <w:tblHeader/>
        </w:trPr>
        <w:tc>
          <w:tcPr>
            <w:tcW w:w="4160" w:type="pct"/>
            <w:gridSpan w:val="2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Nội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dung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đánh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giá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Tiêu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chí</w:t>
            </w:r>
            <w:proofErr w:type="spellEnd"/>
          </w:p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đánh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giá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1. </w:t>
            </w: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Đặc tính</w:t>
            </w: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kỹ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thuật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của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hàng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355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spacing w:before="80" w:after="80"/>
              <w:ind w:left="142" w:right="142"/>
              <w:rPr>
                <w:sz w:val="28"/>
                <w:szCs w:val="28"/>
              </w:rPr>
            </w:pPr>
            <w:r w:rsidRPr="005F249F">
              <w:rPr>
                <w:sz w:val="28"/>
                <w:szCs w:val="28"/>
              </w:rPr>
              <w:t xml:space="preserve">1.1. </w:t>
            </w:r>
            <w:proofErr w:type="spellStart"/>
            <w:r w:rsidRPr="005F249F">
              <w:rPr>
                <w:sz w:val="28"/>
                <w:szCs w:val="28"/>
              </w:rPr>
              <w:t>Đặc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tính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thông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số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kỹ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thuật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của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hàng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hóa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tiêu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chuẩn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sản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xuất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tiêu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chuẩn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chế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tạo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và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nghệ</w:t>
            </w:r>
            <w:proofErr w:type="spellEnd"/>
            <w:r w:rsidRPr="005F249F">
              <w:rPr>
                <w:sz w:val="28"/>
                <w:szCs w:val="28"/>
              </w:rPr>
              <w:t>.</w:t>
            </w: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</w:rPr>
            </w:pPr>
            <w:r w:rsidRPr="005F249F">
              <w:rPr>
                <w:sz w:val="28"/>
                <w:szCs w:val="28"/>
              </w:rPr>
              <w:t xml:space="preserve">- </w:t>
            </w:r>
            <w:proofErr w:type="spellStart"/>
            <w:r w:rsidRPr="005F249F">
              <w:rPr>
                <w:sz w:val="28"/>
                <w:szCs w:val="28"/>
              </w:rPr>
              <w:t>Phải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có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đặc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tính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thông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số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kỹ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thuật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của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hàng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hóa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tiêu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chuẩn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sản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xuất</w:t>
            </w:r>
            <w:proofErr w:type="spellEnd"/>
            <w:r w:rsidRPr="005F249F">
              <w:rPr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</w:rPr>
              <w:t>tiêu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chuẩn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chế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tạo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và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nghệ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đáp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ứng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yêu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cầu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trong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điểm</w:t>
            </w:r>
            <w:proofErr w:type="spellEnd"/>
            <w:r w:rsidRPr="005F249F">
              <w:rPr>
                <w:sz w:val="28"/>
                <w:szCs w:val="28"/>
              </w:rPr>
              <w:t xml:space="preserve"> 1.2 </w:t>
            </w:r>
            <w:proofErr w:type="spellStart"/>
            <w:r w:rsidRPr="005F249F">
              <w:rPr>
                <w:sz w:val="28"/>
                <w:szCs w:val="28"/>
              </w:rPr>
              <w:t>Mục</w:t>
            </w:r>
            <w:proofErr w:type="spellEnd"/>
            <w:r w:rsidRPr="005F249F">
              <w:rPr>
                <w:sz w:val="28"/>
                <w:szCs w:val="28"/>
              </w:rPr>
              <w:t xml:space="preserve"> I </w:t>
            </w:r>
            <w:proofErr w:type="spellStart"/>
            <w:r w:rsidRPr="005F249F">
              <w:rPr>
                <w:sz w:val="28"/>
                <w:szCs w:val="28"/>
              </w:rPr>
              <w:t>Chương</w:t>
            </w:r>
            <w:proofErr w:type="spellEnd"/>
            <w:r w:rsidRPr="005F249F">
              <w:rPr>
                <w:sz w:val="28"/>
                <w:szCs w:val="28"/>
              </w:rPr>
              <w:t xml:space="preserve"> V (</w:t>
            </w:r>
            <w:proofErr w:type="spellStart"/>
            <w:r w:rsidRPr="005F249F">
              <w:rPr>
                <w:sz w:val="28"/>
                <w:szCs w:val="28"/>
              </w:rPr>
              <w:t>có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tài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liệu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chứng</w:t>
            </w:r>
            <w:proofErr w:type="spellEnd"/>
            <w:r w:rsidRPr="005F249F">
              <w:rPr>
                <w:sz w:val="28"/>
                <w:szCs w:val="28"/>
              </w:rPr>
              <w:t xml:space="preserve"> minh</w:t>
            </w:r>
            <w:bookmarkStart w:id="0" w:name="_GoBack"/>
            <w:bookmarkEnd w:id="0"/>
            <w:r w:rsidRPr="005F249F">
              <w:rPr>
                <w:sz w:val="28"/>
                <w:szCs w:val="28"/>
              </w:rPr>
              <w:t>).</w:t>
            </w:r>
          </w:p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  <w:shd w:val="clear" w:color="auto" w:fill="FFFFFF"/>
              </w:rPr>
            </w:pPr>
            <w:r w:rsidRPr="005F249F">
              <w:rPr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catalog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hình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ảnh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cụ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mẫu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thực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chi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tiết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kỹ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thuật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E-HSMT. 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354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sz w:val="28"/>
                <w:szCs w:val="28"/>
              </w:rPr>
              <w:t>Không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đáp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ứng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một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trong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các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tiêu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chí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trên</w:t>
            </w:r>
            <w:proofErr w:type="spellEnd"/>
            <w:r w:rsidRPr="005F249F">
              <w:rPr>
                <w:sz w:val="28"/>
                <w:szCs w:val="28"/>
              </w:rPr>
              <w:t xml:space="preserve">. </w:t>
            </w:r>
            <w:proofErr w:type="spellStart"/>
            <w:r w:rsidRPr="005F249F">
              <w:rPr>
                <w:sz w:val="28"/>
                <w:szCs w:val="28"/>
              </w:rPr>
              <w:t>Hoặc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có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nhưng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không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phù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hợp</w:t>
            </w:r>
            <w:proofErr w:type="spellEnd"/>
            <w:r w:rsidRPr="005F249F">
              <w:rPr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  <w:r w:rsidRPr="005F249F">
              <w:rPr>
                <w:sz w:val="28"/>
                <w:szCs w:val="28"/>
              </w:rPr>
              <w:t xml:space="preserve">1.2. </w:t>
            </w:r>
            <w:proofErr w:type="spellStart"/>
            <w:r w:rsidRPr="005F249F">
              <w:rPr>
                <w:sz w:val="28"/>
                <w:szCs w:val="28"/>
              </w:rPr>
              <w:t>Mức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độ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đáp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ứng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yêu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cầu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kỹ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thuật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của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các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nguyên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vật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liệu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chính</w:t>
            </w:r>
            <w:proofErr w:type="spellEnd"/>
            <w:r w:rsidRPr="005F249F">
              <w:rPr>
                <w:sz w:val="28"/>
                <w:szCs w:val="28"/>
              </w:rPr>
              <w:t>:</w:t>
            </w: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 xml:space="preserve">- Nhà thầu phải có các tài liệu chứng minh nguồn gốc xuất xứ hợp pháp của hàng hóa cung cấp cho gói thầu </w:t>
            </w:r>
          </w:p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 xml:space="preserve">- Có tài liệu chứng minh chất lượng hàng hóa của nguyên vật liệu chính (vải) phù hợp với các tiêu chuẩn hiện hành sử dụng cho gói thầu. </w:t>
            </w:r>
          </w:p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>- Có các tài liệu chứng minh phù hợp với yêu cầu Chương V: Yêu cầu về kỹ thuật.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Không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đáp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một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chí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5F249F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spacing w:before="80" w:after="80"/>
              <w:ind w:left="142" w:right="142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>1.3. Tiêu chuẩn chất lượng của hàng hóa.</w:t>
            </w: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>- Hàng hóa do nhà thầu cung cấp được sản xuất tại đơn vị có chứng nhận hệ thống quản lý chất lượng đạt tiêu chuẩn ISO 9001:2015 đối với hàng hoá gói thầu này</w:t>
            </w:r>
          </w:p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>- Hàng hóa có tiêu chuẩn sản xuất hoàn toàn phù hợp hoặc đáp ứng cao hơn yêu cầu của HSMT.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color w:val="000000"/>
                <w:spacing w:val="-4"/>
                <w:sz w:val="28"/>
                <w:szCs w:val="28"/>
                <w:lang w:val="vi-VN"/>
              </w:rPr>
            </w:pPr>
            <w:r w:rsidRPr="005F249F">
              <w:rPr>
                <w:b/>
                <w:color w:val="000000"/>
                <w:spacing w:val="-4"/>
                <w:sz w:val="28"/>
                <w:szCs w:val="28"/>
                <w:lang w:val="vi-VN"/>
              </w:rPr>
              <w:t>Đạt</w:t>
            </w: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  <w:lang w:val="vi-VN"/>
              </w:rPr>
            </w:pP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  <w:lang w:val="nl-NL"/>
              </w:rPr>
            </w:pPr>
            <w:r w:rsidRPr="005F249F">
              <w:rPr>
                <w:sz w:val="28"/>
                <w:szCs w:val="28"/>
                <w:lang w:val="nl-NL"/>
              </w:rPr>
              <w:t>- Hàng hóa do nhà thầu cung cấp được sản xuất tại đơn vị không có chứng nhận hệ thống quản lý chất lượng đạt tiêu chuẩn ISO 9001:2015 đối với hàng hoá gói thầu này</w:t>
            </w:r>
          </w:p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  <w:lang w:val="vi-VN"/>
              </w:rPr>
            </w:pPr>
            <w:r w:rsidRPr="005F249F">
              <w:rPr>
                <w:sz w:val="28"/>
                <w:szCs w:val="28"/>
                <w:lang w:val="nl-NL"/>
              </w:rPr>
              <w:t>- Hàng hóa không có tiêu chuẩn sản xuất hoàn toàn phù hợp hoặc không đáp ứng yêu cầu của HSMT.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color w:val="000000"/>
                <w:spacing w:val="-4"/>
                <w:sz w:val="28"/>
                <w:szCs w:val="28"/>
                <w:lang w:val="vi-VN"/>
              </w:rPr>
            </w:pPr>
            <w:r w:rsidRPr="005F249F">
              <w:rPr>
                <w:b/>
                <w:color w:val="000000"/>
                <w:spacing w:val="-4"/>
                <w:sz w:val="28"/>
                <w:szCs w:val="28"/>
                <w:lang w:val="vi-VN"/>
              </w:rPr>
              <w:t>Không đạt</w:t>
            </w:r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  <w:vAlign w:val="center"/>
          </w:tcPr>
          <w:p w:rsidR="005F249F" w:rsidRPr="005F249F" w:rsidRDefault="005F249F" w:rsidP="00CE2E30">
            <w:pPr>
              <w:spacing w:before="80" w:after="80"/>
              <w:ind w:left="57" w:right="57"/>
              <w:rPr>
                <w:b/>
                <w:sz w:val="28"/>
                <w:szCs w:val="28"/>
              </w:rPr>
            </w:pPr>
            <w:r w:rsidRPr="005F249F">
              <w:rPr>
                <w:b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Tính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lý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hiệu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quả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kinh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tế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của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sz w:val="28"/>
                <w:szCs w:val="28"/>
                <w:lang w:val="nl-NL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thuyết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sản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vận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chuyển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mặt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1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thuyết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minh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,</w:t>
            </w:r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soát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hoặc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đầy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đủ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nhưng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  <w:r w:rsidRPr="005F249F">
              <w:rPr>
                <w:sz w:val="28"/>
                <w:szCs w:val="28"/>
                <w:lang w:val="nl-NL"/>
              </w:rPr>
              <w:t>Không có quy trình vận chuyển, kiểm soát chất lượng, bàn giao nghiệm thu cụ thể cho mặt hàng cung cấp.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  <w:vAlign w:val="center"/>
          </w:tcPr>
          <w:p w:rsidR="005F249F" w:rsidRPr="005F249F" w:rsidRDefault="005F249F" w:rsidP="00CE2E30">
            <w:pPr>
              <w:spacing w:before="80" w:after="80"/>
              <w:ind w:right="142"/>
              <w:rPr>
                <w:color w:val="000000"/>
                <w:sz w:val="28"/>
                <w:szCs w:val="28"/>
              </w:rPr>
            </w:pPr>
            <w:r w:rsidRPr="005F249F">
              <w:rPr>
                <w:b/>
                <w:sz w:val="28"/>
                <w:szCs w:val="28"/>
                <w:lang w:val="vi-VN"/>
              </w:rPr>
              <w:t xml:space="preserve">3. </w:t>
            </w:r>
            <w:proofErr w:type="spellStart"/>
            <w:r w:rsidRPr="005F249F">
              <w:rPr>
                <w:b/>
                <w:sz w:val="28"/>
                <w:szCs w:val="28"/>
              </w:rPr>
              <w:t>Tiến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độ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cung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cấp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hàng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spacing w:before="80" w:after="80"/>
              <w:ind w:left="113" w:right="113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</w:p>
          <w:p w:rsidR="005F249F" w:rsidRPr="005F249F" w:rsidRDefault="005F249F" w:rsidP="00CE2E30">
            <w:pPr>
              <w:spacing w:before="80" w:after="80"/>
              <w:ind w:right="113"/>
              <w:rPr>
                <w:sz w:val="28"/>
                <w:szCs w:val="28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r w:rsidRPr="005F249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vòng</w:t>
            </w:r>
            <w:proofErr w:type="spellEnd"/>
            <w:r w:rsidRPr="005F249F">
              <w:rPr>
                <w:sz w:val="28"/>
                <w:szCs w:val="28"/>
              </w:rPr>
              <w:t xml:space="preserve"> 60 </w:t>
            </w:r>
            <w:proofErr w:type="spellStart"/>
            <w:r w:rsidRPr="005F249F">
              <w:rPr>
                <w:sz w:val="28"/>
                <w:szCs w:val="28"/>
              </w:rPr>
              <w:t>ngày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kí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. </w:t>
            </w:r>
          </w:p>
          <w:p w:rsidR="005F249F" w:rsidRPr="005F249F" w:rsidRDefault="005F249F" w:rsidP="00CE2E30">
            <w:pPr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r w:rsidRPr="005F249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bảng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bố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trí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lực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khả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HSMT.</w:t>
            </w:r>
          </w:p>
          <w:p w:rsidR="005F249F" w:rsidRPr="005F249F" w:rsidRDefault="005F249F" w:rsidP="00CE2E30">
            <w:pPr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r w:rsidRPr="005F249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thuật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thiết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  <w:p w:rsidR="005F249F" w:rsidRPr="005F249F" w:rsidRDefault="005F249F" w:rsidP="00CE2E30">
            <w:pPr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r w:rsidRPr="005F249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kế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hoạch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gói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cụ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tiến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tiêu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chí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4</w:t>
            </w: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Tác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động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đối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với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môi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840" w:type="pct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spacing w:before="80" w:after="80" w:line="320" w:lineRule="atLeast"/>
              <w:ind w:left="142" w:right="142"/>
              <w:rPr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lastRenderedPageBreak/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hưởng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911" w:type="pct"/>
          </w:tcPr>
          <w:p w:rsidR="005F249F" w:rsidRPr="005F249F" w:rsidRDefault="005F249F" w:rsidP="00CE2E30">
            <w:pPr>
              <w:spacing w:before="80" w:after="80" w:line="320" w:lineRule="atLeast"/>
              <w:ind w:right="142"/>
              <w:rPr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hưởng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lý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spacing w:before="80" w:after="80"/>
              <w:ind w:right="43"/>
              <w:jc w:val="center"/>
              <w:rPr>
                <w:b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cung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ảnh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hưởng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môi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trường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xuất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pháp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  <w:lang w:val="vi-VN"/>
              </w:rPr>
              <w:t>5</w:t>
            </w:r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.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Bảo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hành</w:t>
            </w:r>
            <w:proofErr w:type="spellEnd"/>
          </w:p>
        </w:tc>
        <w:tc>
          <w:tcPr>
            <w:tcW w:w="840" w:type="pct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pacing w:val="-4"/>
                <w:sz w:val="28"/>
                <w:szCs w:val="28"/>
                <w:u w:val="single"/>
              </w:rPr>
            </w:pP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Thời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gian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bảo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hành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tháng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spacing w:before="80" w:after="80"/>
              <w:rPr>
                <w:color w:val="000000"/>
                <w:spacing w:val="-4"/>
                <w:sz w:val="28"/>
                <w:szCs w:val="28"/>
                <w:u w:val="single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bảo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vòng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12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tháng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kể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nghiệm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5F249F">
              <w:rPr>
                <w:b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yếu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tố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về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điều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kiện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thương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mại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đào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tạo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chuyển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giao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công</w:t>
            </w:r>
            <w:proofErr w:type="spellEnd"/>
            <w:r w:rsidRPr="005F249F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color w:val="000000"/>
                <w:sz w:val="28"/>
                <w:szCs w:val="28"/>
              </w:rPr>
              <w:t>nghệ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  <w:proofErr w:type="spellStart"/>
            <w:r w:rsidRPr="005F249F">
              <w:rPr>
                <w:sz w:val="28"/>
                <w:szCs w:val="28"/>
              </w:rPr>
              <w:t>Điều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kiện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nộp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phiếu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báo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kết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quả</w:t>
            </w:r>
            <w:proofErr w:type="spellEnd"/>
            <w:r w:rsidRPr="005F249F">
              <w:rPr>
                <w:sz w:val="28"/>
                <w:szCs w:val="28"/>
              </w:rPr>
              <w:t>/</w:t>
            </w:r>
            <w:proofErr w:type="spellStart"/>
            <w:r w:rsidRPr="005F249F">
              <w:rPr>
                <w:sz w:val="28"/>
                <w:szCs w:val="28"/>
              </w:rPr>
              <w:t>mẫu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hàng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hóa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và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giao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nhận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hàng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hóa</w:t>
            </w:r>
            <w:proofErr w:type="spellEnd"/>
            <w:r w:rsidRPr="005F249F">
              <w:rPr>
                <w:sz w:val="28"/>
                <w:szCs w:val="28"/>
              </w:rPr>
              <w:t>.</w:t>
            </w: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sz w:val="28"/>
                <w:szCs w:val="28"/>
              </w:rPr>
              <w:t>Có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gửi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pacing w:val="-4"/>
                <w:sz w:val="28"/>
                <w:szCs w:val="28"/>
              </w:rPr>
              <w:t>mẫu</w:t>
            </w:r>
            <w:proofErr w:type="spellEnd"/>
            <w:r w:rsidRPr="005F24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pacing w:val="-4"/>
                <w:sz w:val="28"/>
                <w:szCs w:val="28"/>
              </w:rPr>
              <w:t>vải</w:t>
            </w:r>
            <w:proofErr w:type="spellEnd"/>
            <w:r w:rsidRPr="005F24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pacing w:val="-4"/>
                <w:sz w:val="28"/>
                <w:szCs w:val="28"/>
              </w:rPr>
              <w:t>chính</w:t>
            </w:r>
            <w:proofErr w:type="spellEnd"/>
            <w:r w:rsidRPr="005F249F">
              <w:rPr>
                <w:spacing w:val="-4"/>
                <w:sz w:val="28"/>
                <w:szCs w:val="28"/>
                <w:lang w:val="vi-VN"/>
              </w:rPr>
              <w:t>,</w:t>
            </w:r>
            <w:r w:rsidRPr="005F24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pacing w:val="-4"/>
                <w:sz w:val="28"/>
                <w:szCs w:val="28"/>
              </w:rPr>
              <w:t>kèm</w:t>
            </w:r>
            <w:proofErr w:type="spellEnd"/>
            <w:r w:rsidRPr="005F249F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theo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E-HSDT,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địa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chỉ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của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Bên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mời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nêu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E-HSMT.</w:t>
            </w:r>
          </w:p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sửa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kích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gửi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mẫu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vải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đến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địa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chỉ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của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Bên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mời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nêu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pacing w:val="-4"/>
                <w:sz w:val="28"/>
                <w:szCs w:val="28"/>
              </w:rPr>
              <w:t>trong</w:t>
            </w:r>
            <w:proofErr w:type="spellEnd"/>
            <w:r w:rsidRPr="005F249F">
              <w:rPr>
                <w:color w:val="000000"/>
                <w:spacing w:val="-4"/>
                <w:sz w:val="28"/>
                <w:szCs w:val="28"/>
              </w:rPr>
              <w:t xml:space="preserve"> E-HSMT.</w:t>
            </w:r>
          </w:p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cam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chỉnh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sửa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thay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kích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thước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hóa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đo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bộ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4160" w:type="pct"/>
            <w:gridSpan w:val="2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b/>
                <w:color w:val="000000"/>
                <w:sz w:val="28"/>
                <w:szCs w:val="28"/>
              </w:rPr>
            </w:pPr>
            <w:r w:rsidRPr="005F249F">
              <w:rPr>
                <w:b/>
                <w:sz w:val="28"/>
                <w:szCs w:val="28"/>
              </w:rPr>
              <w:t xml:space="preserve">7. </w:t>
            </w:r>
            <w:proofErr w:type="spellStart"/>
            <w:r w:rsidRPr="005F249F">
              <w:rPr>
                <w:b/>
                <w:sz w:val="28"/>
                <w:szCs w:val="28"/>
              </w:rPr>
              <w:t>Uy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tín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của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nhà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thầu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thông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qua </w:t>
            </w:r>
            <w:proofErr w:type="spellStart"/>
            <w:r w:rsidRPr="005F249F">
              <w:rPr>
                <w:b/>
                <w:sz w:val="28"/>
                <w:szCs w:val="28"/>
              </w:rPr>
              <w:t>việc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tham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dự</w:t>
            </w:r>
            <w:proofErr w:type="spellEnd"/>
            <w:r w:rsidRPr="005F249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sz w:val="28"/>
                <w:szCs w:val="28"/>
              </w:rPr>
              <w:t>thầu</w:t>
            </w:r>
            <w:proofErr w:type="spellEnd"/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 w:val="restart"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sz w:val="28"/>
                <w:szCs w:val="28"/>
              </w:rPr>
            </w:pPr>
            <w:proofErr w:type="spellStart"/>
            <w:r w:rsidRPr="005F249F">
              <w:rPr>
                <w:sz w:val="28"/>
                <w:szCs w:val="28"/>
              </w:rPr>
              <w:t>Đối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với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các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hợp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đồng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tương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tự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mà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nhà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thầu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thực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hiện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trước</w:t>
            </w:r>
            <w:proofErr w:type="spellEnd"/>
            <w:r w:rsidRPr="005F249F">
              <w:rPr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sz w:val="28"/>
                <w:szCs w:val="28"/>
              </w:rPr>
              <w:t>đây</w:t>
            </w:r>
            <w:proofErr w:type="spellEnd"/>
            <w:r w:rsidRPr="005F249F">
              <w:rPr>
                <w:sz w:val="28"/>
                <w:szCs w:val="28"/>
              </w:rPr>
              <w:t>.</w:t>
            </w: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spacing w:before="80" w:after="80"/>
              <w:ind w:right="113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  <w:tr w:rsidR="005F249F" w:rsidRPr="005F249F" w:rsidTr="00CE2E30">
        <w:trPr>
          <w:trHeight w:val="20"/>
        </w:trPr>
        <w:tc>
          <w:tcPr>
            <w:tcW w:w="1249" w:type="pct"/>
            <w:vMerge/>
            <w:vAlign w:val="center"/>
          </w:tcPr>
          <w:p w:rsidR="005F249F" w:rsidRPr="005F249F" w:rsidRDefault="005F249F" w:rsidP="00CE2E30">
            <w:pPr>
              <w:widowControl w:val="0"/>
              <w:spacing w:before="80" w:after="8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911" w:type="pct"/>
          </w:tcPr>
          <w:p w:rsidR="005F249F" w:rsidRPr="005F249F" w:rsidRDefault="005F249F" w:rsidP="00CE2E30">
            <w:pPr>
              <w:widowControl w:val="0"/>
              <w:spacing w:before="80" w:after="80"/>
              <w:ind w:right="113" w:firstLine="3"/>
              <w:rPr>
                <w:color w:val="000000"/>
                <w:sz w:val="28"/>
                <w:szCs w:val="28"/>
              </w:rPr>
            </w:pPr>
            <w:proofErr w:type="spellStart"/>
            <w:r w:rsidRPr="005F249F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thầu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quy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định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đối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5F249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840" w:type="pct"/>
            <w:vAlign w:val="center"/>
          </w:tcPr>
          <w:p w:rsidR="005F249F" w:rsidRPr="005F249F" w:rsidRDefault="005F249F" w:rsidP="00CE2E30">
            <w:pPr>
              <w:widowControl w:val="0"/>
              <w:tabs>
                <w:tab w:val="left" w:pos="851"/>
              </w:tabs>
              <w:spacing w:before="80" w:after="80"/>
              <w:jc w:val="center"/>
              <w:rPr>
                <w:b/>
                <w:bCs/>
                <w:color w:val="000000"/>
                <w:spacing w:val="-4"/>
                <w:sz w:val="28"/>
                <w:szCs w:val="28"/>
              </w:rPr>
            </w:pP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Không</w:t>
            </w:r>
            <w:proofErr w:type="spellEnd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5F249F">
              <w:rPr>
                <w:b/>
                <w:bCs/>
                <w:color w:val="000000"/>
                <w:spacing w:val="-4"/>
                <w:sz w:val="28"/>
                <w:szCs w:val="28"/>
              </w:rPr>
              <w:t>đạt</w:t>
            </w:r>
            <w:proofErr w:type="spellEnd"/>
          </w:p>
        </w:tc>
      </w:tr>
    </w:tbl>
    <w:p w:rsidR="00B3222F" w:rsidRPr="005F249F" w:rsidRDefault="00B3222F">
      <w:pPr>
        <w:rPr>
          <w:sz w:val="28"/>
          <w:szCs w:val="28"/>
        </w:rPr>
      </w:pPr>
    </w:p>
    <w:sectPr w:rsidR="00B3222F" w:rsidRPr="005F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9F"/>
    <w:rsid w:val="005F249F"/>
    <w:rsid w:val="00B3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2DDCC-C2EE-4FFE-981D-CD3134563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2025-09-12T08:11:00Z</dcterms:created>
  <dcterms:modified xsi:type="dcterms:W3CDTF">2025-09-12T08:12:00Z</dcterms:modified>
</cp:coreProperties>
</file>