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8584" w14:textId="77777777" w:rsidR="009D4B4A" w:rsidRPr="009D4B4A" w:rsidRDefault="009D4B4A" w:rsidP="009D4B4A">
      <w:pPr>
        <w:pStyle w:val="Heading1"/>
        <w:spacing w:before="120" w:after="120" w:line="240" w:lineRule="auto"/>
        <w:ind w:firstLine="680"/>
        <w:jc w:val="center"/>
        <w:rPr>
          <w:rFonts w:ascii="Times New Roman" w:hAnsi="Times New Roman" w:cs="Times New Roman"/>
          <w:b/>
          <w:bCs/>
          <w:color w:val="auto"/>
          <w:sz w:val="28"/>
          <w:szCs w:val="28"/>
          <w:lang w:val="es-ES"/>
        </w:rPr>
      </w:pPr>
      <w:bookmarkStart w:id="0" w:name="_Toc154510933"/>
      <w:r w:rsidRPr="009D4B4A">
        <w:rPr>
          <w:rFonts w:ascii="Times New Roman" w:hAnsi="Times New Roman" w:cs="Times New Roman"/>
          <w:b/>
          <w:bCs/>
          <w:color w:val="auto"/>
          <w:sz w:val="28"/>
          <w:szCs w:val="28"/>
          <w:lang w:val="es-ES"/>
        </w:rPr>
        <w:t>CHƯƠNG V. ĐIỀU KHOẢN THAM CHIẾU</w:t>
      </w:r>
      <w:bookmarkEnd w:id="0"/>
    </w:p>
    <w:p w14:paraId="61B3CD2F" w14:textId="77777777" w:rsidR="009D4B4A" w:rsidRDefault="009D4B4A" w:rsidP="009D4B4A">
      <w:pPr>
        <w:widowControl w:val="0"/>
        <w:spacing w:before="120" w:after="120" w:line="240" w:lineRule="auto"/>
        <w:ind w:firstLine="680"/>
        <w:jc w:val="both"/>
        <w:rPr>
          <w:rFonts w:ascii="Times New Roman" w:hAnsi="Times New Roman" w:cs="Times New Roman"/>
          <w:b/>
          <w:sz w:val="28"/>
          <w:szCs w:val="28"/>
          <w:lang w:val="it-IT"/>
        </w:rPr>
      </w:pPr>
    </w:p>
    <w:p w14:paraId="0AED4F91" w14:textId="4A420482" w:rsidR="009D4B4A" w:rsidRPr="009D4B4A" w:rsidRDefault="009D4B4A" w:rsidP="009D4B4A">
      <w:pPr>
        <w:widowControl w:val="0"/>
        <w:spacing w:before="120" w:after="120" w:line="240" w:lineRule="auto"/>
        <w:ind w:firstLine="680"/>
        <w:jc w:val="both"/>
        <w:rPr>
          <w:rFonts w:ascii="Times New Roman" w:hAnsi="Times New Roman" w:cs="Times New Roman"/>
          <w:b/>
          <w:bCs/>
          <w:sz w:val="28"/>
          <w:szCs w:val="28"/>
          <w:lang w:val="it-IT"/>
        </w:rPr>
      </w:pPr>
      <w:r w:rsidRPr="009D4B4A">
        <w:rPr>
          <w:rFonts w:ascii="Times New Roman" w:hAnsi="Times New Roman" w:cs="Times New Roman"/>
          <w:b/>
          <w:sz w:val="28"/>
          <w:szCs w:val="28"/>
          <w:lang w:val="it-IT"/>
        </w:rPr>
        <w:t>I. Giới thiệu:</w:t>
      </w:r>
    </w:p>
    <w:p w14:paraId="4D121743" w14:textId="77777777" w:rsidR="009D4B4A" w:rsidRPr="009D4B4A" w:rsidRDefault="009D4B4A" w:rsidP="009D4B4A">
      <w:pPr>
        <w:widowControl w:val="0"/>
        <w:spacing w:before="120" w:after="120" w:line="240" w:lineRule="auto"/>
        <w:ind w:firstLine="680"/>
        <w:jc w:val="both"/>
        <w:rPr>
          <w:rFonts w:ascii="Times New Roman" w:hAnsi="Times New Roman" w:cs="Times New Roman"/>
          <w:b/>
          <w:iCs/>
          <w:sz w:val="28"/>
          <w:szCs w:val="28"/>
          <w:lang w:val="it-IT"/>
        </w:rPr>
      </w:pPr>
      <w:r w:rsidRPr="009D4B4A">
        <w:rPr>
          <w:rFonts w:ascii="Times New Roman" w:hAnsi="Times New Roman" w:cs="Times New Roman"/>
          <w:b/>
          <w:iCs/>
          <w:sz w:val="28"/>
          <w:szCs w:val="28"/>
          <w:lang w:val="it-IT"/>
        </w:rPr>
        <w:t>1. Giới thiệu về dự án:</w:t>
      </w:r>
    </w:p>
    <w:p w14:paraId="4A1337E9"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af-ZA"/>
        </w:rPr>
      </w:pPr>
      <w:r w:rsidRPr="009D4B4A">
        <w:rPr>
          <w:rFonts w:ascii="Times New Roman" w:hAnsi="Times New Roman" w:cs="Times New Roman"/>
          <w:bCs/>
          <w:iCs/>
          <w:sz w:val="28"/>
          <w:szCs w:val="28"/>
          <w:lang w:val="af-ZA"/>
        </w:rPr>
        <w:t>1.1. Tên dự án: Dự án Sửa chữa, khắc phục nhà thi đấu thể thao dưới nước thuộc Trung tâm huấn luyện và Thi đấu thể thao tỉnh Quảng Ninh.</w:t>
      </w:r>
    </w:p>
    <w:p w14:paraId="5E54C5ED"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pacing w:val="-8"/>
          <w:sz w:val="28"/>
          <w:szCs w:val="28"/>
          <w:lang w:val="af-ZA"/>
        </w:rPr>
      </w:pPr>
      <w:r w:rsidRPr="009D4B4A">
        <w:rPr>
          <w:rFonts w:ascii="Times New Roman" w:hAnsi="Times New Roman" w:cs="Times New Roman"/>
          <w:bCs/>
          <w:iCs/>
          <w:spacing w:val="-8"/>
          <w:sz w:val="28"/>
          <w:szCs w:val="28"/>
          <w:lang w:val="af-ZA"/>
        </w:rPr>
        <w:t>1.2. Chủ đầu tư: Ban Quản lý dự án đầu tư xây dựng khu vực I tỉnh Quảng Ninh.</w:t>
      </w:r>
    </w:p>
    <w:p w14:paraId="7539FE98"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af-ZA"/>
        </w:rPr>
      </w:pPr>
      <w:r w:rsidRPr="009D4B4A">
        <w:rPr>
          <w:rFonts w:ascii="Times New Roman" w:hAnsi="Times New Roman" w:cs="Times New Roman"/>
          <w:bCs/>
          <w:iCs/>
          <w:sz w:val="28"/>
          <w:szCs w:val="28"/>
          <w:lang w:val="af-ZA"/>
        </w:rPr>
        <w:t xml:space="preserve">1.3. Địa điểm xây dựng: Trung tâm huấn luyện và thi đấu thể thao tỉnh Quảng Ninh, phường Tuần Châu, tỉnh Quảng Ninh. </w:t>
      </w:r>
    </w:p>
    <w:p w14:paraId="4CE903D4"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af-ZA"/>
        </w:rPr>
      </w:pPr>
      <w:r w:rsidRPr="009D4B4A">
        <w:rPr>
          <w:rFonts w:ascii="Times New Roman" w:hAnsi="Times New Roman" w:cs="Times New Roman"/>
          <w:bCs/>
          <w:iCs/>
          <w:sz w:val="28"/>
          <w:szCs w:val="28"/>
          <w:lang w:val="af-ZA"/>
        </w:rPr>
        <w:t>1.4. Nguồn vốn thực hiện: Ngân sách tỉnh.</w:t>
      </w:r>
    </w:p>
    <w:p w14:paraId="2244CA89"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af-ZA"/>
        </w:rPr>
      </w:pPr>
      <w:r w:rsidRPr="009D4B4A">
        <w:rPr>
          <w:rFonts w:ascii="Times New Roman" w:hAnsi="Times New Roman" w:cs="Times New Roman"/>
          <w:bCs/>
          <w:iCs/>
          <w:sz w:val="28"/>
          <w:szCs w:val="28"/>
          <w:lang w:val="af-ZA"/>
        </w:rPr>
        <w:t>1.5. Loại, nhóm dự án; loại, cấp công trình chính: Dự án nhóm B; Công trình dân dụng, cấp III.</w:t>
      </w:r>
    </w:p>
    <w:p w14:paraId="441AC089"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af-ZA"/>
        </w:rPr>
      </w:pPr>
      <w:r w:rsidRPr="009D4B4A">
        <w:rPr>
          <w:rFonts w:ascii="Times New Roman" w:hAnsi="Times New Roman" w:cs="Times New Roman"/>
          <w:bCs/>
          <w:iCs/>
          <w:sz w:val="28"/>
          <w:szCs w:val="28"/>
          <w:lang w:val="af-ZA"/>
        </w:rPr>
        <w:t>1.6. Mục tiêu, quy mô đầu tư xây dựng</w:t>
      </w:r>
    </w:p>
    <w:p w14:paraId="51592EA5"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af-ZA"/>
        </w:rPr>
      </w:pPr>
      <w:r w:rsidRPr="009D4B4A">
        <w:rPr>
          <w:rFonts w:ascii="Times New Roman" w:hAnsi="Times New Roman" w:cs="Times New Roman"/>
          <w:bCs/>
          <w:iCs/>
          <w:sz w:val="28"/>
          <w:szCs w:val="28"/>
          <w:lang w:val="af-ZA"/>
        </w:rPr>
        <w:t xml:space="preserve">1.6.1. Mục tiêu: </w:t>
      </w:r>
    </w:p>
    <w:p w14:paraId="655F58D7"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pacing w:val="-2"/>
          <w:sz w:val="28"/>
          <w:szCs w:val="28"/>
          <w:lang w:val="af-ZA"/>
        </w:rPr>
      </w:pPr>
      <w:r w:rsidRPr="009D4B4A">
        <w:rPr>
          <w:rFonts w:ascii="Times New Roman" w:hAnsi="Times New Roman" w:cs="Times New Roman"/>
          <w:bCs/>
          <w:iCs/>
          <w:sz w:val="28"/>
          <w:szCs w:val="28"/>
          <w:lang w:val="af-ZA"/>
        </w:rPr>
        <w:t xml:space="preserve">- Sửa chữa, khắc phục các hạng mục công trình xây dựng (bao gồm cả các </w:t>
      </w:r>
      <w:r w:rsidRPr="009D4B4A">
        <w:rPr>
          <w:rFonts w:ascii="Times New Roman" w:hAnsi="Times New Roman" w:cs="Times New Roman"/>
          <w:bCs/>
          <w:iCs/>
          <w:spacing w:val="-2"/>
          <w:sz w:val="28"/>
          <w:szCs w:val="28"/>
          <w:lang w:val="af-ZA"/>
        </w:rPr>
        <w:t>thiêt bị xây dựng găn với công trình) bị hư hại do ảnh hưởng bởi con bão số 3 nhăm đảm bảo an toàn cho người sử dụng, đáp ứng yêu cầu tập luyện và thi đấu cho huân luyện viên, vận động viên của Trung tâm. Nâng cao cơ sở vật chất, trang thiêt bị cho tập luyện và thi đấu thể thao thành tích cao, đảm bảo các tiêu chuẩn Việt Nam và phù hợp với quy định của các tổ chức thể thao quốc tế hoặc đạt tiêu chuẩn quốc tế.</w:t>
      </w:r>
    </w:p>
    <w:p w14:paraId="15E01556"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af-ZA"/>
        </w:rPr>
      </w:pPr>
      <w:r w:rsidRPr="009D4B4A">
        <w:rPr>
          <w:rFonts w:ascii="Times New Roman" w:hAnsi="Times New Roman" w:cs="Times New Roman"/>
          <w:bCs/>
          <w:iCs/>
          <w:sz w:val="28"/>
          <w:szCs w:val="28"/>
          <w:lang w:val="af-ZA"/>
        </w:rPr>
        <w:t>- Công trình sau khi hoàn thiện hài hòa với tổng thể, kết hợp với các công trình thể thao hiện trạng đồng bộ cơ sở hạ tầng cho Liên hợp thể thao tỉnh Quảng Ninh sẽ là điểm đến cho các cuộc thi đấu trong nước và quốc tế, góp phần quảng bá hình ảnh, tiềm năng của tỉnh Quảng Ninh, tăng cường giao lưu văn hóa thể thao giữa tỉnh Quảng Ninh với các vùng miền trong nước và quốc tế...</w:t>
      </w:r>
    </w:p>
    <w:p w14:paraId="509F46ED"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af-ZA"/>
        </w:rPr>
      </w:pPr>
      <w:r w:rsidRPr="009D4B4A">
        <w:rPr>
          <w:rFonts w:ascii="Times New Roman" w:hAnsi="Times New Roman" w:cs="Times New Roman"/>
          <w:bCs/>
          <w:iCs/>
          <w:sz w:val="28"/>
          <w:szCs w:val="28"/>
          <w:lang w:val="af-ZA"/>
        </w:rPr>
        <w:t>1.6.2. Quy mô, giải pháp thiết kế</w:t>
      </w:r>
    </w:p>
    <w:p w14:paraId="0970E544" w14:textId="54FE66C0" w:rsidR="009D4B4A" w:rsidRPr="009D4B4A" w:rsidRDefault="009D4B4A" w:rsidP="009D4B4A">
      <w:pPr>
        <w:widowControl w:val="0"/>
        <w:spacing w:before="120" w:after="120" w:line="240" w:lineRule="auto"/>
        <w:ind w:firstLine="680"/>
        <w:jc w:val="both"/>
        <w:rPr>
          <w:rFonts w:ascii="Times New Roman" w:hAnsi="Times New Roman" w:cs="Times New Roman"/>
          <w:bCs/>
          <w:iCs/>
          <w:spacing w:val="-4"/>
          <w:sz w:val="28"/>
          <w:szCs w:val="28"/>
          <w:lang w:val="af-ZA"/>
        </w:rPr>
      </w:pPr>
      <w:r w:rsidRPr="009D4B4A">
        <w:rPr>
          <w:rFonts w:ascii="Times New Roman" w:hAnsi="Times New Roman" w:cs="Times New Roman"/>
          <w:bCs/>
          <w:iCs/>
          <w:spacing w:val="-4"/>
          <w:sz w:val="28"/>
          <w:szCs w:val="28"/>
          <w:lang w:val="af-ZA"/>
        </w:rPr>
        <w:t>-</w:t>
      </w:r>
      <w:r w:rsidR="00056CE2">
        <w:rPr>
          <w:rFonts w:ascii="Times New Roman" w:hAnsi="Times New Roman" w:cs="Times New Roman"/>
          <w:bCs/>
          <w:iCs/>
          <w:spacing w:val="-4"/>
          <w:sz w:val="28"/>
          <w:szCs w:val="28"/>
          <w:lang w:val="af-ZA"/>
        </w:rPr>
        <w:t xml:space="preserve"> </w:t>
      </w:r>
      <w:r w:rsidRPr="009D4B4A">
        <w:rPr>
          <w:rFonts w:ascii="Times New Roman" w:hAnsi="Times New Roman" w:cs="Times New Roman"/>
          <w:bCs/>
          <w:iCs/>
          <w:spacing w:val="-4"/>
          <w:sz w:val="28"/>
          <w:szCs w:val="28"/>
          <w:lang w:val="af-ZA"/>
        </w:rPr>
        <w:t>Tháo dỡ hệ khung kết cấu (giữ lại hệ khung cột thép trục A khu vực khán đài), phần bao che công trình (bao gồm cả hệ thống kỹ thuật có liên quan đến phần mái và bao che), giữ lại bể bơi, khán đài, các phòng chức năng bố trí trong công trình.</w:t>
      </w:r>
    </w:p>
    <w:p w14:paraId="4B181C26" w14:textId="5F61FFB2"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af-ZA"/>
        </w:rPr>
      </w:pPr>
      <w:r w:rsidRPr="009D4B4A">
        <w:rPr>
          <w:rFonts w:ascii="Times New Roman" w:hAnsi="Times New Roman" w:cs="Times New Roman"/>
          <w:bCs/>
          <w:iCs/>
          <w:sz w:val="28"/>
          <w:szCs w:val="28"/>
          <w:lang w:val="af-ZA"/>
        </w:rPr>
        <w:t>-</w:t>
      </w:r>
      <w:r w:rsidR="00056CE2">
        <w:rPr>
          <w:rFonts w:ascii="Times New Roman" w:hAnsi="Times New Roman" w:cs="Times New Roman"/>
          <w:bCs/>
          <w:iCs/>
          <w:sz w:val="28"/>
          <w:szCs w:val="28"/>
          <w:lang w:val="af-ZA"/>
        </w:rPr>
        <w:t xml:space="preserve"> </w:t>
      </w:r>
      <w:r w:rsidRPr="009D4B4A">
        <w:rPr>
          <w:rFonts w:ascii="Times New Roman" w:hAnsi="Times New Roman" w:cs="Times New Roman"/>
          <w:bCs/>
          <w:iCs/>
          <w:sz w:val="28"/>
          <w:szCs w:val="28"/>
          <w:lang w:val="af-ZA"/>
        </w:rPr>
        <w:t>Thiết kế sửa chữa công trình:</w:t>
      </w:r>
    </w:p>
    <w:p w14:paraId="76FCAB5A"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pacing w:val="-4"/>
          <w:sz w:val="28"/>
          <w:szCs w:val="28"/>
          <w:lang w:val="af-ZA"/>
        </w:rPr>
      </w:pPr>
      <w:r w:rsidRPr="009D4B4A">
        <w:rPr>
          <w:rFonts w:ascii="Times New Roman" w:hAnsi="Times New Roman" w:cs="Times New Roman"/>
          <w:bCs/>
          <w:iCs/>
          <w:sz w:val="28"/>
          <w:szCs w:val="28"/>
          <w:lang w:val="af-ZA"/>
        </w:rPr>
        <w:t xml:space="preserve">+ Thiết kế công trình sử dụng hệ khung dàn thép, cột thép kết hợp bê tông cốt thép (BTCT); phần móng sử dụng móng cọc BTCT, đài móng BTCT làm mới liên kết với đài móng hiện trạng bằng dầm móng; bao che công trình sử dụng hệ khung thép, pano kính (trong đó có tận dụng lại phần khung nhôm, kính của công </w:t>
      </w:r>
      <w:r w:rsidRPr="009D4B4A">
        <w:rPr>
          <w:rFonts w:ascii="Times New Roman" w:hAnsi="Times New Roman" w:cs="Times New Roman"/>
          <w:bCs/>
          <w:iCs/>
          <w:spacing w:val="-4"/>
          <w:sz w:val="28"/>
          <w:szCs w:val="28"/>
          <w:lang w:val="af-ZA"/>
        </w:rPr>
        <w:t>trình hiện trạng còn sử dụng được), lam nhôm trang trí, mái lợp tôn.</w:t>
      </w:r>
    </w:p>
    <w:p w14:paraId="56469BD2"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pacing w:val="-4"/>
          <w:sz w:val="28"/>
          <w:szCs w:val="28"/>
          <w:lang w:val="af-ZA"/>
        </w:rPr>
      </w:pPr>
      <w:r w:rsidRPr="009D4B4A">
        <w:rPr>
          <w:rFonts w:ascii="Times New Roman" w:hAnsi="Times New Roman" w:cs="Times New Roman"/>
          <w:bCs/>
          <w:iCs/>
          <w:spacing w:val="-4"/>
          <w:sz w:val="28"/>
          <w:szCs w:val="28"/>
          <w:lang w:val="af-ZA"/>
        </w:rPr>
        <w:lastRenderedPageBreak/>
        <w:t>+ Sửa chữa trong công trình: Sửa chữa lại trần khu vực sảnh bị hỏng, lát lại một số vị trí gạch bể bơi bị vỡ, sửa chữa lại nền và lát gạch một số vị trí khu vực bể bơi, sảnh, hành lang, thay mới cửa, vách kính bị hỏng, sửa chữa lan can cầu thang lên khán đài, hệ thống điện liên quan đến phần mái bị hỏng, hệ thống thông gió...</w:t>
      </w:r>
    </w:p>
    <w:p w14:paraId="6DD4B881"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af-ZA"/>
        </w:rPr>
      </w:pPr>
      <w:r w:rsidRPr="009D4B4A">
        <w:rPr>
          <w:rFonts w:ascii="Times New Roman" w:hAnsi="Times New Roman" w:cs="Times New Roman"/>
          <w:bCs/>
          <w:iCs/>
          <w:sz w:val="28"/>
          <w:szCs w:val="28"/>
          <w:lang w:val="af-ZA"/>
        </w:rPr>
        <w:t>+ Lắp đặt mới hệ thống chấm điểm điện tử xác định thành tích thi đấu, máy gia nhiệt bể bơi.</w:t>
      </w:r>
    </w:p>
    <w:p w14:paraId="14B71850" w14:textId="1BB2F5F0"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af-ZA"/>
        </w:rPr>
      </w:pPr>
      <w:r w:rsidRPr="009D4B4A">
        <w:rPr>
          <w:rFonts w:ascii="Times New Roman" w:hAnsi="Times New Roman" w:cs="Times New Roman"/>
          <w:bCs/>
          <w:iCs/>
          <w:sz w:val="28"/>
          <w:szCs w:val="28"/>
          <w:lang w:val="af-ZA"/>
        </w:rPr>
        <w:t>-</w:t>
      </w:r>
      <w:r w:rsidR="00056CE2">
        <w:rPr>
          <w:rFonts w:ascii="Times New Roman" w:hAnsi="Times New Roman" w:cs="Times New Roman"/>
          <w:bCs/>
          <w:iCs/>
          <w:sz w:val="28"/>
          <w:szCs w:val="28"/>
          <w:lang w:val="af-ZA"/>
        </w:rPr>
        <w:t xml:space="preserve"> </w:t>
      </w:r>
      <w:r w:rsidRPr="009D4B4A">
        <w:rPr>
          <w:rFonts w:ascii="Times New Roman" w:hAnsi="Times New Roman" w:cs="Times New Roman"/>
          <w:bCs/>
          <w:iCs/>
          <w:sz w:val="28"/>
          <w:szCs w:val="28"/>
          <w:lang w:val="af-ZA"/>
        </w:rPr>
        <w:t>Sửa chữa ngoài công trình: Sửa chữa mái sảnh, tam cấp, đường dốc, vỏ trạm biến áp bị hỏng, sửa chữa tủ điện, tháo dỡ và thay mới cột đèn chiếu sáng bị hỏng, sửa chữa hệ thống chống sét, đường ống thoát nước, chỉnh trang hạ tầng ngoài nhà và các công việc khác đảm bảo kết nối đồng bộ.</w:t>
      </w:r>
    </w:p>
    <w:p w14:paraId="4F2C7AD2" w14:textId="77777777" w:rsidR="009D4B4A" w:rsidRPr="009D4B4A" w:rsidRDefault="009D4B4A" w:rsidP="009D4B4A">
      <w:pPr>
        <w:widowControl w:val="0"/>
        <w:spacing w:before="120" w:after="120" w:line="240" w:lineRule="auto"/>
        <w:ind w:firstLine="680"/>
        <w:jc w:val="both"/>
        <w:rPr>
          <w:rFonts w:ascii="Times New Roman" w:hAnsi="Times New Roman" w:cs="Times New Roman"/>
          <w:b/>
          <w:bCs/>
          <w:iCs/>
          <w:sz w:val="28"/>
          <w:szCs w:val="28"/>
          <w:lang w:val="af-ZA"/>
        </w:rPr>
      </w:pPr>
      <w:r w:rsidRPr="009D4B4A">
        <w:rPr>
          <w:rFonts w:ascii="Times New Roman" w:hAnsi="Times New Roman" w:cs="Times New Roman"/>
          <w:b/>
          <w:bCs/>
          <w:iCs/>
          <w:sz w:val="28"/>
          <w:szCs w:val="28"/>
          <w:lang w:val="af-ZA"/>
        </w:rPr>
        <w:t>2. Giới thiệu chung về gói thầu</w:t>
      </w:r>
    </w:p>
    <w:p w14:paraId="7870A83F"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af-ZA"/>
        </w:rPr>
      </w:pPr>
      <w:r w:rsidRPr="009D4B4A">
        <w:rPr>
          <w:rFonts w:ascii="Times New Roman" w:hAnsi="Times New Roman" w:cs="Times New Roman"/>
          <w:bCs/>
          <w:iCs/>
          <w:sz w:val="28"/>
          <w:szCs w:val="28"/>
          <w:lang w:val="af-ZA"/>
        </w:rPr>
        <w:t xml:space="preserve">2.1. Tên gói thầu: Gói thầu số 06: Tư vấn lập thiết kế bản vẽ thi công và Dự toán xây dựng công trình. </w:t>
      </w:r>
    </w:p>
    <w:p w14:paraId="14F3708D"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af-ZA"/>
        </w:rPr>
      </w:pPr>
      <w:r w:rsidRPr="009D4B4A">
        <w:rPr>
          <w:rFonts w:ascii="Times New Roman" w:hAnsi="Times New Roman" w:cs="Times New Roman"/>
          <w:bCs/>
          <w:iCs/>
          <w:sz w:val="28"/>
          <w:szCs w:val="28"/>
          <w:lang w:val="af-ZA"/>
        </w:rPr>
        <w:t xml:space="preserve">2.2. Hình thức, phương thức lựa chọn nhà thầu: Đấu thầu rộng rãi trong nước qua mạng; Một giai đoạn, hai túi hồ sơ. </w:t>
      </w:r>
    </w:p>
    <w:p w14:paraId="5A3187D8"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af-ZA"/>
        </w:rPr>
      </w:pPr>
      <w:r w:rsidRPr="009D4B4A">
        <w:rPr>
          <w:rFonts w:ascii="Times New Roman" w:hAnsi="Times New Roman" w:cs="Times New Roman"/>
          <w:bCs/>
          <w:iCs/>
          <w:sz w:val="28"/>
          <w:szCs w:val="28"/>
          <w:lang w:val="af-ZA"/>
        </w:rPr>
        <w:t xml:space="preserve">2.3. Loại hợp đồng: Trọn gói. </w:t>
      </w:r>
    </w:p>
    <w:p w14:paraId="39355345"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af-ZA"/>
        </w:rPr>
      </w:pPr>
      <w:r w:rsidRPr="009D4B4A">
        <w:rPr>
          <w:rFonts w:ascii="Times New Roman" w:hAnsi="Times New Roman" w:cs="Times New Roman"/>
          <w:bCs/>
          <w:iCs/>
          <w:sz w:val="28"/>
          <w:szCs w:val="28"/>
          <w:lang w:val="af-ZA"/>
        </w:rPr>
        <w:t>2.4. Thời gian thực hiện hợp đồng: 30 ngày</w:t>
      </w:r>
    </w:p>
    <w:p w14:paraId="4DC843D3" w14:textId="77777777" w:rsidR="009D4B4A" w:rsidRPr="009D4B4A" w:rsidRDefault="009D4B4A" w:rsidP="009D4B4A">
      <w:pPr>
        <w:widowControl w:val="0"/>
        <w:spacing w:before="120" w:after="120" w:line="240" w:lineRule="auto"/>
        <w:ind w:firstLine="680"/>
        <w:jc w:val="both"/>
        <w:rPr>
          <w:rFonts w:ascii="Times New Roman" w:hAnsi="Times New Roman" w:cs="Times New Roman"/>
          <w:b/>
          <w:bCs/>
          <w:iCs/>
          <w:sz w:val="28"/>
          <w:szCs w:val="28"/>
          <w:lang w:val="af-ZA"/>
        </w:rPr>
      </w:pPr>
      <w:r w:rsidRPr="009D4B4A">
        <w:rPr>
          <w:rFonts w:ascii="Times New Roman" w:hAnsi="Times New Roman" w:cs="Times New Roman"/>
          <w:b/>
          <w:bCs/>
          <w:iCs/>
          <w:sz w:val="28"/>
          <w:szCs w:val="28"/>
          <w:lang w:val="af-ZA"/>
        </w:rPr>
        <w:t xml:space="preserve">3. Mục đích tuyển chọn nhà thầu tư vấn: </w:t>
      </w:r>
    </w:p>
    <w:p w14:paraId="16DED39E"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sz w:val="28"/>
          <w:szCs w:val="28"/>
          <w:lang w:val="it-IT"/>
        </w:rPr>
      </w:pPr>
      <w:r w:rsidRPr="009D4B4A">
        <w:rPr>
          <w:rFonts w:ascii="Times New Roman" w:hAnsi="Times New Roman" w:cs="Times New Roman"/>
          <w:bCs/>
          <w:sz w:val="28"/>
          <w:szCs w:val="28"/>
          <w:lang w:val="it-IT"/>
        </w:rPr>
        <w:t>- Lựa chọn được nhà thầu có đủ điều kiện năng lực hoạt động xây dựng, năng lực hành nghề tư vấn xây dựng phù hợp, có giá dự thầu hợp lý.</w:t>
      </w:r>
    </w:p>
    <w:p w14:paraId="7D68FF54"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sz w:val="28"/>
          <w:szCs w:val="28"/>
          <w:lang w:val="it-IT"/>
        </w:rPr>
      </w:pPr>
      <w:r w:rsidRPr="009D4B4A">
        <w:rPr>
          <w:rFonts w:ascii="Times New Roman" w:hAnsi="Times New Roman" w:cs="Times New Roman"/>
          <w:bCs/>
          <w:sz w:val="28"/>
          <w:szCs w:val="28"/>
          <w:lang w:val="it-IT"/>
        </w:rPr>
        <w:t>- Đáp ứng được các nội dung yêu cầu chất lượng, tiến độ của gói thầu.</w:t>
      </w:r>
    </w:p>
    <w:p w14:paraId="40183CCA" w14:textId="77777777" w:rsidR="009D4B4A" w:rsidRPr="009D4B4A" w:rsidRDefault="009D4B4A" w:rsidP="009D4B4A">
      <w:pPr>
        <w:widowControl w:val="0"/>
        <w:spacing w:before="120" w:after="120" w:line="240" w:lineRule="auto"/>
        <w:ind w:firstLine="680"/>
        <w:jc w:val="both"/>
        <w:rPr>
          <w:rFonts w:ascii="Times New Roman" w:hAnsi="Times New Roman" w:cs="Times New Roman"/>
          <w:b/>
          <w:bCs/>
          <w:sz w:val="28"/>
          <w:szCs w:val="28"/>
          <w:lang w:val="it-IT"/>
        </w:rPr>
      </w:pPr>
      <w:r w:rsidRPr="009D4B4A">
        <w:rPr>
          <w:rFonts w:ascii="Times New Roman" w:hAnsi="Times New Roman" w:cs="Times New Roman"/>
          <w:b/>
          <w:sz w:val="28"/>
          <w:szCs w:val="28"/>
          <w:lang w:val="it-IT"/>
        </w:rPr>
        <w:t>II. Phạm vi công việc:</w:t>
      </w:r>
    </w:p>
    <w:p w14:paraId="7CE0F436" w14:textId="77777777" w:rsidR="009D4B4A" w:rsidRPr="009D4B4A" w:rsidRDefault="009D4B4A" w:rsidP="009D4B4A">
      <w:pPr>
        <w:widowControl w:val="0"/>
        <w:spacing w:before="120" w:after="120" w:line="240" w:lineRule="auto"/>
        <w:ind w:firstLine="680"/>
        <w:jc w:val="both"/>
        <w:rPr>
          <w:rFonts w:ascii="Times New Roman" w:hAnsi="Times New Roman" w:cs="Times New Roman"/>
          <w:b/>
          <w:iCs/>
          <w:sz w:val="28"/>
          <w:szCs w:val="28"/>
          <w:lang w:val="it-IT"/>
        </w:rPr>
      </w:pPr>
      <w:r w:rsidRPr="009D4B4A">
        <w:rPr>
          <w:rFonts w:ascii="Times New Roman" w:hAnsi="Times New Roman" w:cs="Times New Roman"/>
          <w:b/>
          <w:iCs/>
          <w:sz w:val="28"/>
          <w:szCs w:val="28"/>
          <w:lang w:val="it-IT"/>
        </w:rPr>
        <w:t>1. Phạm vi công việc:</w:t>
      </w:r>
    </w:p>
    <w:p w14:paraId="5D05ABDC" w14:textId="77777777" w:rsidR="009D4B4A" w:rsidRPr="009D4B4A" w:rsidRDefault="009D4B4A" w:rsidP="009D4B4A">
      <w:pPr>
        <w:widowControl w:val="0"/>
        <w:spacing w:before="120" w:after="120" w:line="240" w:lineRule="auto"/>
        <w:ind w:firstLine="680"/>
        <w:jc w:val="both"/>
        <w:rPr>
          <w:rFonts w:ascii="Times New Roman" w:hAnsi="Times New Roman" w:cs="Times New Roman"/>
          <w:b/>
          <w:iCs/>
          <w:sz w:val="28"/>
          <w:szCs w:val="28"/>
          <w:lang w:val="it-IT"/>
        </w:rPr>
      </w:pPr>
      <w:r w:rsidRPr="009D4B4A">
        <w:rPr>
          <w:rFonts w:ascii="Times New Roman" w:hAnsi="Times New Roman" w:cs="Times New Roman"/>
          <w:b/>
          <w:iCs/>
          <w:sz w:val="28"/>
          <w:szCs w:val="28"/>
          <w:lang w:val="it-IT"/>
        </w:rPr>
        <w:t>1.1. Yêu cầu về lập TKBVTC:</w:t>
      </w:r>
    </w:p>
    <w:p w14:paraId="3D9EF4A8"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 Hồ sơ thiết kế phải tuân thủ các quy chuẩn, tiêu chuẩn xây dựng do cơ quan nhà nước có thẩm quyền ban hành và phải được thể hiện trên các bản vẽ theo quy định. Hồ sơ thiết kế phải thể hiện được các khối lượng các công tác xây dựng để làm cơ sở xác định chi phí xây dựng công trình.</w:t>
      </w:r>
    </w:p>
    <w:p w14:paraId="161CB3CA" w14:textId="3EB8AE1D"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 Hồ sơ thiết kế phải tuân thủ quy định của Luật Xây dựng và các văn bản hướng dẫn, bao gồm:</w:t>
      </w:r>
    </w:p>
    <w:p w14:paraId="662A0F4B"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pacing w:val="6"/>
          <w:sz w:val="28"/>
          <w:szCs w:val="28"/>
          <w:lang w:val="it-IT"/>
        </w:rPr>
      </w:pPr>
      <w:r w:rsidRPr="009D4B4A">
        <w:rPr>
          <w:rFonts w:ascii="Times New Roman" w:hAnsi="Times New Roman" w:cs="Times New Roman"/>
          <w:bCs/>
          <w:iCs/>
          <w:spacing w:val="6"/>
          <w:sz w:val="28"/>
          <w:szCs w:val="28"/>
          <w:lang w:val="it-IT"/>
        </w:rPr>
        <w:t>+ Thuyết minh: Phải giải thích đầy đủ các nội dung mà bản vẽ không thể hiện được.</w:t>
      </w:r>
    </w:p>
    <w:p w14:paraId="769991F3"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 xml:space="preserve">+ Bản vẽ: Phải thể hiện chi tiết tất cả các bộ phận của công trình, các cấu tạo với đầy đủ các kích thước, vật liệu và các thông số kỹ thuật để thi công chính xác và đủ điều kiện để lập dự toán thi công xây dựng công trình, các bản vẽ mặt đứng, mặt </w:t>
      </w:r>
      <w:r w:rsidRPr="009D4B4A">
        <w:rPr>
          <w:rFonts w:ascii="Times New Roman" w:hAnsi="Times New Roman" w:cs="Times New Roman"/>
          <w:bCs/>
          <w:iCs/>
          <w:sz w:val="28"/>
          <w:szCs w:val="28"/>
          <w:lang w:val="it-IT"/>
        </w:rPr>
        <w:lastRenderedPageBreak/>
        <w:t>cắt và các bản vẽ chi tiết kiến trúc, kết cấu, phải thể hiện rõ ràng, đầy đủ các kích thước, vật liệu và thông số kỹ thuật theo quy định.</w:t>
      </w:r>
    </w:p>
    <w:p w14:paraId="7C811215"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 Bản vẽ thiết kế phải có kích cỡ, tỷ lệ, khung tên và được thể hiện theo các tiêu chuẩn, quy phạm xây dựng hiện hành. Trong khung tên của từng bản vẽ phải có tên, chữ ký của người trực tiếp thiết kế, chủ trì thiết kế, chủ nhiệm thiết kế, người đại diện theo pháp luật của nhà thầu thiết kế và dấu của nhà thầu thiết kế xây dựng.</w:t>
      </w:r>
    </w:p>
    <w:p w14:paraId="7E9FA4BD"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 Các thuyết minh, bản vẽ thiết kế, dự toán phải được đóng thành tập hồ sơ thiết kế theo khuôn khổ thống nhất có danh mục, đánh số, ký hiệu để tra cứu và bảo quản lâu dài.</w:t>
      </w:r>
    </w:p>
    <w:p w14:paraId="4D7FE344"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 Các hồ sơ, tài liệu khác (nếu có).</w:t>
      </w:r>
    </w:p>
    <w:p w14:paraId="3E3E843D" w14:textId="77777777" w:rsidR="009D4B4A" w:rsidRPr="009D4B4A" w:rsidRDefault="009D4B4A" w:rsidP="009D4B4A">
      <w:pPr>
        <w:widowControl w:val="0"/>
        <w:spacing w:before="120" w:after="120" w:line="240" w:lineRule="auto"/>
        <w:ind w:firstLine="680"/>
        <w:jc w:val="both"/>
        <w:rPr>
          <w:rFonts w:ascii="Times New Roman" w:hAnsi="Times New Roman" w:cs="Times New Roman"/>
          <w:b/>
          <w:iCs/>
          <w:sz w:val="28"/>
          <w:szCs w:val="28"/>
          <w:lang w:val="it-IT"/>
        </w:rPr>
      </w:pPr>
      <w:r w:rsidRPr="009D4B4A">
        <w:rPr>
          <w:rFonts w:ascii="Times New Roman" w:hAnsi="Times New Roman" w:cs="Times New Roman"/>
          <w:b/>
          <w:iCs/>
          <w:sz w:val="28"/>
          <w:szCs w:val="28"/>
          <w:lang w:val="it-IT"/>
        </w:rPr>
        <w:t>1.2. Yêu cầu về lập dự toán xây dựng công trình:</w:t>
      </w:r>
    </w:p>
    <w:p w14:paraId="7F63FE82"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 Xác định chính xác các công việc và khối lượng cần thực hiện.</w:t>
      </w:r>
    </w:p>
    <w:p w14:paraId="3A27C613"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 Từ bản vẽ thiết kế và biện pháp tổ chức thi công xác định khối lượng công việc, giá trị và các chi phí có liên quan.</w:t>
      </w:r>
    </w:p>
    <w:p w14:paraId="22E6A2B1"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pacing w:val="-2"/>
          <w:sz w:val="28"/>
          <w:szCs w:val="28"/>
          <w:lang w:val="it-IT"/>
        </w:rPr>
      </w:pPr>
      <w:r w:rsidRPr="009D4B4A">
        <w:rPr>
          <w:rFonts w:ascii="Times New Roman" w:hAnsi="Times New Roman" w:cs="Times New Roman"/>
          <w:bCs/>
          <w:iCs/>
          <w:spacing w:val="-2"/>
          <w:sz w:val="28"/>
          <w:szCs w:val="28"/>
          <w:lang w:val="it-IT"/>
        </w:rPr>
        <w:t>- Công tác lập dự toán phải dựa trên các đơn giá, định mức, thông tư hướng dẫn theo quy định hiện hành và các yêu cầu của Chủ đầu tư trong quá trình thiết kế.</w:t>
      </w:r>
    </w:p>
    <w:p w14:paraId="04FC2756"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 Bóc tách tiên lượng tất cả các khối lượng công việc của các hạng mục, xác định đơn giá phù hợp với tính toán thành tiền cho các công việc này, tính toán chi phí khác và tổng hợp chi phí xây dựng hạng mục.</w:t>
      </w:r>
    </w:p>
    <w:p w14:paraId="587DC936"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 Bóc tách khối lượng phải đảm bảo khối lượng đầy đủ so với bản vẽ thiết kế, không bỏ sót các công việc thực hiện kể cả các công việc nằm trong biện pháp thi công, các quy định về đơn giá, chính sách thuế, các chi phí phải được cập nhật tại thời điểm lập dự toán.</w:t>
      </w:r>
    </w:p>
    <w:p w14:paraId="6C9CF495"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 Nội dung dự toán xây dựng công trình gồm chi phí xây dựng, phí thiết bị, chi phí quản lý dự án, chi phí tư vấn đầu tư xây dựng, chi phí khác và chi phí dự phòng được quy định cụ thể như sau:</w:t>
      </w:r>
    </w:p>
    <w:p w14:paraId="5C5FDB68"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a) Chi phí xây dựng;</w:t>
      </w:r>
    </w:p>
    <w:p w14:paraId="6471188B"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b) Chi phí thiết bị;</w:t>
      </w:r>
    </w:p>
    <w:p w14:paraId="61C77EAF"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c) Chi phí quản lý dự án;</w:t>
      </w:r>
    </w:p>
    <w:p w14:paraId="3D53F8E2"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d) Chi phí tư vấn đầu tư xây dựng của công trình;</w:t>
      </w:r>
    </w:p>
    <w:p w14:paraId="597FD2DD"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đ) Chi phí khác của công trình;</w:t>
      </w:r>
    </w:p>
    <w:p w14:paraId="17C93D2F"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e) Chi phí dự phòng của công trình.</w:t>
      </w:r>
    </w:p>
    <w:p w14:paraId="1E3CDFD6"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Nhà thầu lập dự toán xây dựng công trình đảm bảo nội dung theo quy định của pháp luật hiện hành.</w:t>
      </w:r>
    </w:p>
    <w:p w14:paraId="2063CB38" w14:textId="77777777" w:rsidR="009D4B4A" w:rsidRPr="009D4B4A" w:rsidRDefault="009D4B4A" w:rsidP="009D4B4A">
      <w:pPr>
        <w:widowControl w:val="0"/>
        <w:spacing w:before="120" w:after="120" w:line="240" w:lineRule="auto"/>
        <w:ind w:firstLine="680"/>
        <w:jc w:val="both"/>
        <w:rPr>
          <w:rFonts w:ascii="Times New Roman" w:hAnsi="Times New Roman" w:cs="Times New Roman"/>
          <w:b/>
          <w:iCs/>
          <w:spacing w:val="-2"/>
          <w:sz w:val="28"/>
          <w:szCs w:val="28"/>
          <w:lang w:val="it-IT"/>
        </w:rPr>
      </w:pPr>
      <w:r w:rsidRPr="009D4B4A">
        <w:rPr>
          <w:rFonts w:ascii="Times New Roman" w:hAnsi="Times New Roman" w:cs="Times New Roman"/>
          <w:b/>
          <w:iCs/>
          <w:spacing w:val="-2"/>
          <w:sz w:val="28"/>
          <w:szCs w:val="28"/>
          <w:lang w:val="it-IT"/>
        </w:rPr>
        <w:t xml:space="preserve">1.3. Yêu cầu về trình và thẩm định hồ sơ thiết kế bản vẽ thi công, dự toán </w:t>
      </w:r>
      <w:r w:rsidRPr="009D4B4A">
        <w:rPr>
          <w:rFonts w:ascii="Times New Roman" w:hAnsi="Times New Roman" w:cs="Times New Roman"/>
          <w:b/>
          <w:iCs/>
          <w:spacing w:val="-2"/>
          <w:sz w:val="28"/>
          <w:szCs w:val="28"/>
          <w:lang w:val="it-IT"/>
        </w:rPr>
        <w:lastRenderedPageBreak/>
        <w:t>xây dựng công trình:</w:t>
      </w:r>
    </w:p>
    <w:p w14:paraId="2F77D8D8"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 Sau khi hoàn thành hồ sơ thiết kế bản vẽ thi công, dự toán xây dựng công trình, đơn vị tư vấn thiết kế sẽ gửi trước đến Chủ đầu tư với số lượng theo quy định của hợp đồng.</w:t>
      </w:r>
    </w:p>
    <w:p w14:paraId="23C6A479"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 Khi nhận được các ý kiến của Chủ đầu tư và ý kiến của đơn vị thẩm định, đơn vị tư vấn thiết kế sẽ giải trình các vấn đề liên quan trước Chủ đầu tư, cơ quan thẩm định và các cơ quan chức năng khác đồng thời sửa đổi những ý kiến hợp lý để hoàn thiện hồ sơ làm cơ sở cho Chủ đầu tư phê duyệt.</w:t>
      </w:r>
      <w:r w:rsidRPr="009D4B4A">
        <w:rPr>
          <w:rFonts w:ascii="Times New Roman" w:hAnsi="Times New Roman" w:cs="Times New Roman"/>
          <w:bCs/>
          <w:iCs/>
          <w:sz w:val="28"/>
          <w:szCs w:val="28"/>
          <w:lang w:val="it-IT"/>
        </w:rPr>
        <w:tab/>
      </w:r>
    </w:p>
    <w:p w14:paraId="16A06CCF" w14:textId="77777777" w:rsidR="009D4B4A" w:rsidRPr="009D4B4A" w:rsidRDefault="009D4B4A" w:rsidP="009D4B4A">
      <w:pPr>
        <w:widowControl w:val="0"/>
        <w:spacing w:before="120" w:after="120" w:line="240" w:lineRule="auto"/>
        <w:ind w:firstLine="680"/>
        <w:jc w:val="both"/>
        <w:rPr>
          <w:rFonts w:ascii="Times New Roman" w:hAnsi="Times New Roman" w:cs="Times New Roman"/>
          <w:b/>
          <w:iCs/>
          <w:sz w:val="28"/>
          <w:szCs w:val="28"/>
          <w:lang w:val="it-IT"/>
        </w:rPr>
      </w:pPr>
      <w:r w:rsidRPr="009D4B4A">
        <w:rPr>
          <w:rFonts w:ascii="Times New Roman" w:hAnsi="Times New Roman" w:cs="Times New Roman"/>
          <w:b/>
          <w:iCs/>
          <w:sz w:val="28"/>
          <w:szCs w:val="28"/>
          <w:lang w:val="it-IT"/>
        </w:rPr>
        <w:t>1.4. Yêu cầu về các công việc khác:</w:t>
      </w:r>
    </w:p>
    <w:p w14:paraId="237AF32E"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 Sửa đổi bổ sung hoàn thiện theo yêu cầu của cơ quan thẩm định.</w:t>
      </w:r>
    </w:p>
    <w:p w14:paraId="3ECFE51B"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 Lập danh mục vật tư, thiết bị không có trong công bố giá được cơ quan có thẩm quyền ban hành.</w:t>
      </w:r>
    </w:p>
    <w:p w14:paraId="48951BE4"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 Giám sát tác giả theo quy định tại Điều 20 Nghị định số 06/NĐ-CP ngày 26/01/2021.</w:t>
      </w:r>
    </w:p>
    <w:p w14:paraId="1B5BE6ED"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 Lập các nhiệm vụ, dự toán chi phí, dự toán các gói thầu và các công tác tư vấn triển khai sau thiết kế cơ sở theo yêu cầu của chủ đầu tư, hồ sơ thiết kế và các quy định hiện hành.</w:t>
      </w:r>
    </w:p>
    <w:p w14:paraId="2FB6D78F"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pacing w:val="-4"/>
          <w:sz w:val="28"/>
          <w:szCs w:val="28"/>
          <w:lang w:val="it-IT"/>
        </w:rPr>
      </w:pPr>
      <w:r w:rsidRPr="009D4B4A">
        <w:rPr>
          <w:rFonts w:ascii="Times New Roman" w:hAnsi="Times New Roman" w:cs="Times New Roman"/>
          <w:bCs/>
          <w:iCs/>
          <w:spacing w:val="-4"/>
          <w:sz w:val="28"/>
          <w:szCs w:val="28"/>
          <w:lang w:val="it-IT"/>
        </w:rPr>
        <w:t>- Đối với trường hợp điều chỉnh thiết kế xây dựng triển khai sau thiết kế cơ sở, dự toán xây dựng công trình và dự toán gói thầu</w:t>
      </w:r>
      <w:r w:rsidRPr="009D4B4A">
        <w:rPr>
          <w:rFonts w:ascii="Times New Roman" w:eastAsia="Calibri" w:hAnsi="Times New Roman" w:cs="Times New Roman"/>
          <w:spacing w:val="-4"/>
          <w:sz w:val="28"/>
          <w:szCs w:val="28"/>
          <w:lang w:val="nl-NL"/>
        </w:rPr>
        <w:t xml:space="preserve"> </w:t>
      </w:r>
      <w:r w:rsidRPr="009D4B4A">
        <w:rPr>
          <w:rFonts w:ascii="Times New Roman" w:hAnsi="Times New Roman" w:cs="Times New Roman"/>
          <w:bCs/>
          <w:iCs/>
          <w:spacing w:val="-4"/>
          <w:sz w:val="28"/>
          <w:szCs w:val="28"/>
          <w:lang w:val="it-IT"/>
        </w:rPr>
        <w:t>đã được cơ quan có thẩm quyền phê duyệt trong quá trình thi công xây dựng: Làm rõ thiết kế; sửa đổi, bổ sung thiết kế.</w:t>
      </w:r>
    </w:p>
    <w:p w14:paraId="14784B0A" w14:textId="77777777" w:rsidR="009D4B4A" w:rsidRPr="009D4B4A" w:rsidRDefault="009D4B4A" w:rsidP="009D4B4A">
      <w:pPr>
        <w:widowControl w:val="0"/>
        <w:spacing w:before="120" w:after="120" w:line="240" w:lineRule="auto"/>
        <w:ind w:firstLine="680"/>
        <w:jc w:val="both"/>
        <w:rPr>
          <w:rFonts w:ascii="Times New Roman" w:eastAsia="Calibri" w:hAnsi="Times New Roman" w:cs="Times New Roman"/>
          <w:spacing w:val="2"/>
          <w:sz w:val="28"/>
          <w:szCs w:val="28"/>
          <w:lang w:val="nl-NL"/>
        </w:rPr>
      </w:pPr>
      <w:r w:rsidRPr="009D4B4A">
        <w:rPr>
          <w:rFonts w:ascii="Times New Roman" w:eastAsia="Calibri" w:hAnsi="Times New Roman" w:cs="Times New Roman"/>
          <w:spacing w:val="2"/>
          <w:sz w:val="28"/>
          <w:szCs w:val="28"/>
          <w:lang w:val="nl-NL"/>
        </w:rPr>
        <w:t>- Tham gia các cuộc họp, giải trình các nội dung (nếu có) có liên quan tới sản phẩm của hợp đồng khi Chủ đầu tư, cơ quan có thẩm quyền yêu cầu.</w:t>
      </w:r>
    </w:p>
    <w:p w14:paraId="65E37A0D" w14:textId="77777777" w:rsidR="009D4B4A" w:rsidRPr="009D4B4A" w:rsidRDefault="009D4B4A" w:rsidP="009D4B4A">
      <w:pPr>
        <w:widowControl w:val="0"/>
        <w:spacing w:before="120" w:after="120" w:line="240" w:lineRule="auto"/>
        <w:ind w:firstLine="680"/>
        <w:jc w:val="both"/>
        <w:rPr>
          <w:rFonts w:ascii="Times New Roman" w:eastAsia="Calibri" w:hAnsi="Times New Roman" w:cs="Times New Roman"/>
          <w:spacing w:val="2"/>
          <w:sz w:val="28"/>
          <w:szCs w:val="28"/>
          <w:lang w:val="nl-NL"/>
        </w:rPr>
      </w:pPr>
      <w:r w:rsidRPr="009D4B4A">
        <w:rPr>
          <w:rFonts w:ascii="Times New Roman" w:eastAsia="Calibri" w:hAnsi="Times New Roman" w:cs="Times New Roman"/>
          <w:spacing w:val="2"/>
          <w:sz w:val="28"/>
          <w:szCs w:val="28"/>
          <w:lang w:val="nl-NL"/>
        </w:rPr>
        <w:t>- Mua bảo hiểm trách nhiệm nghề nghiệp.</w:t>
      </w:r>
    </w:p>
    <w:p w14:paraId="62CE2022"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color w:val="EE0000"/>
          <w:sz w:val="28"/>
          <w:szCs w:val="28"/>
          <w:lang w:val="it-IT"/>
        </w:rPr>
      </w:pPr>
      <w:r w:rsidRPr="009D4B4A">
        <w:rPr>
          <w:rFonts w:ascii="Times New Roman" w:hAnsi="Times New Roman" w:cs="Times New Roman"/>
          <w:bCs/>
          <w:iCs/>
          <w:color w:val="EE0000"/>
          <w:sz w:val="28"/>
          <w:szCs w:val="28"/>
          <w:lang w:val="it-IT"/>
        </w:rPr>
        <w:t xml:space="preserve">+ Đề xuất về quy trình tổng thể thực hiện nhiệm vụ thiết kế bản vẽ thi công, dự toán chi tiết cho gói thầu; </w:t>
      </w:r>
    </w:p>
    <w:p w14:paraId="18B3A945"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color w:val="EE0000"/>
          <w:sz w:val="28"/>
          <w:szCs w:val="28"/>
          <w:lang w:val="it-IT"/>
        </w:rPr>
      </w:pPr>
      <w:r w:rsidRPr="009D4B4A">
        <w:rPr>
          <w:rFonts w:ascii="Times New Roman" w:hAnsi="Times New Roman" w:cs="Times New Roman"/>
          <w:bCs/>
          <w:iCs/>
          <w:color w:val="EE0000"/>
          <w:sz w:val="28"/>
          <w:szCs w:val="28"/>
          <w:lang w:val="it-IT"/>
        </w:rPr>
        <w:t>+ Đề xuất về giải pháp thiết kế có các nội dung mô tả về đặc điểm của các hạng mục; các cơ sở thiết kế, các tiêu chuẩn, quy chuẩn được sử dụng.</w:t>
      </w:r>
    </w:p>
    <w:p w14:paraId="3F718BA4" w14:textId="77777777" w:rsidR="009D4B4A" w:rsidRPr="00056CE2" w:rsidRDefault="009D4B4A" w:rsidP="009D4B4A">
      <w:pPr>
        <w:widowControl w:val="0"/>
        <w:spacing w:before="120" w:after="120" w:line="240" w:lineRule="auto"/>
        <w:ind w:firstLine="680"/>
        <w:jc w:val="both"/>
        <w:rPr>
          <w:rFonts w:ascii="Times New Roman" w:hAnsi="Times New Roman" w:cs="Times New Roman"/>
          <w:bCs/>
          <w:iCs/>
          <w:color w:val="EE0000"/>
          <w:sz w:val="28"/>
          <w:szCs w:val="28"/>
          <w:lang w:val="it-IT"/>
        </w:rPr>
      </w:pPr>
      <w:r w:rsidRPr="00056CE2">
        <w:rPr>
          <w:rFonts w:ascii="Times New Roman" w:hAnsi="Times New Roman" w:cs="Times New Roman"/>
          <w:bCs/>
          <w:iCs/>
          <w:color w:val="EE0000"/>
          <w:sz w:val="28"/>
          <w:szCs w:val="28"/>
          <w:lang w:val="it-IT"/>
        </w:rPr>
        <w:t>+ Đề xuất về tiến độ thực hiện; chế độ báo cáo; các sản phầm tư vấn phải bàn giao.</w:t>
      </w:r>
    </w:p>
    <w:p w14:paraId="0206E8AD"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pacing w:val="2"/>
          <w:sz w:val="28"/>
          <w:szCs w:val="28"/>
          <w:lang w:val="it-IT"/>
        </w:rPr>
      </w:pPr>
      <w:r w:rsidRPr="009D4B4A">
        <w:rPr>
          <w:rFonts w:ascii="Times New Roman" w:eastAsia="Calibri" w:hAnsi="Times New Roman" w:cs="Times New Roman"/>
          <w:spacing w:val="2"/>
          <w:sz w:val="28"/>
          <w:szCs w:val="28"/>
          <w:lang w:val="nl-NL"/>
        </w:rPr>
        <w:t>- Thực hiện các nhiệm vụ khác (nếu có) theo quy định hiện hành.</w:t>
      </w:r>
    </w:p>
    <w:p w14:paraId="5E18DD02" w14:textId="77777777" w:rsidR="009D4B4A" w:rsidRPr="009D4B4A" w:rsidRDefault="009D4B4A" w:rsidP="009D4B4A">
      <w:pPr>
        <w:widowControl w:val="0"/>
        <w:spacing w:before="120" w:after="120" w:line="240" w:lineRule="auto"/>
        <w:ind w:firstLine="680"/>
        <w:jc w:val="both"/>
        <w:rPr>
          <w:rFonts w:ascii="Times New Roman" w:hAnsi="Times New Roman" w:cs="Times New Roman"/>
          <w:i/>
          <w:iCs/>
          <w:sz w:val="28"/>
          <w:szCs w:val="28"/>
          <w:lang w:val="it-IT"/>
        </w:rPr>
      </w:pPr>
      <w:r w:rsidRPr="009D4B4A">
        <w:rPr>
          <w:rFonts w:ascii="Times New Roman" w:hAnsi="Times New Roman" w:cs="Times New Roman"/>
          <w:b/>
          <w:iCs/>
          <w:sz w:val="28"/>
          <w:szCs w:val="28"/>
          <w:lang w:val="it-IT"/>
        </w:rPr>
        <w:t xml:space="preserve">2. Dự kiến thời gian chuyên gia bắt đầu thực hiện dịch vụ tư vấn: </w:t>
      </w:r>
      <w:r w:rsidRPr="009D4B4A">
        <w:rPr>
          <w:rFonts w:ascii="Times New Roman" w:hAnsi="Times New Roman" w:cs="Times New Roman"/>
          <w:bCs/>
          <w:sz w:val="28"/>
          <w:szCs w:val="28"/>
          <w:lang w:val="it-IT"/>
        </w:rPr>
        <w:t>Ngay sau khi ký kết hợp đồng thực hiện dịch vụ tư vấn và được chủ đầu tư cung cấp đầy đủ các tài liệu có liên quan.</w:t>
      </w:r>
      <w:r w:rsidRPr="009D4B4A">
        <w:rPr>
          <w:rFonts w:ascii="Times New Roman" w:hAnsi="Times New Roman" w:cs="Times New Roman"/>
          <w:bCs/>
          <w:i/>
          <w:sz w:val="28"/>
          <w:szCs w:val="28"/>
          <w:lang w:val="it-IT"/>
        </w:rPr>
        <w:t xml:space="preserve"> </w:t>
      </w:r>
    </w:p>
    <w:p w14:paraId="7AE37D5A" w14:textId="77777777" w:rsidR="009D4B4A" w:rsidRPr="009D4B4A" w:rsidRDefault="009D4B4A" w:rsidP="009D4B4A">
      <w:pPr>
        <w:widowControl w:val="0"/>
        <w:spacing w:before="120" w:after="120" w:line="240" w:lineRule="auto"/>
        <w:ind w:firstLine="680"/>
        <w:jc w:val="both"/>
        <w:rPr>
          <w:rFonts w:ascii="Times New Roman" w:hAnsi="Times New Roman" w:cs="Times New Roman"/>
          <w:b/>
          <w:bCs/>
          <w:sz w:val="28"/>
          <w:szCs w:val="28"/>
          <w:lang w:val="it-IT"/>
        </w:rPr>
      </w:pPr>
      <w:r w:rsidRPr="009D4B4A">
        <w:rPr>
          <w:rFonts w:ascii="Times New Roman" w:hAnsi="Times New Roman" w:cs="Times New Roman"/>
          <w:b/>
          <w:sz w:val="28"/>
          <w:szCs w:val="28"/>
          <w:lang w:val="it-IT"/>
        </w:rPr>
        <w:t xml:space="preserve">III. Báo cáo và thời gian thực hiện: </w:t>
      </w:r>
      <w:r w:rsidRPr="009D4B4A">
        <w:rPr>
          <w:rFonts w:ascii="Times New Roman" w:hAnsi="Times New Roman" w:cs="Times New Roman"/>
          <w:sz w:val="28"/>
          <w:szCs w:val="28"/>
          <w:lang w:val="it-IT"/>
        </w:rPr>
        <w:t>Nhà thầu phải báo cáo tiến độ thực hiện hợp đồng khi có yêu cầu của Chủ đầu tư.</w:t>
      </w:r>
    </w:p>
    <w:p w14:paraId="044CDE8F" w14:textId="77777777" w:rsidR="009D4B4A" w:rsidRPr="009D4B4A" w:rsidRDefault="009D4B4A" w:rsidP="009D4B4A">
      <w:pPr>
        <w:widowControl w:val="0"/>
        <w:spacing w:before="120" w:after="120" w:line="240" w:lineRule="auto"/>
        <w:ind w:firstLine="680"/>
        <w:jc w:val="both"/>
        <w:rPr>
          <w:rFonts w:ascii="Times New Roman" w:hAnsi="Times New Roman" w:cs="Times New Roman"/>
          <w:b/>
          <w:sz w:val="28"/>
          <w:szCs w:val="28"/>
          <w:lang w:val="it-IT"/>
        </w:rPr>
      </w:pPr>
      <w:r w:rsidRPr="009D4B4A">
        <w:rPr>
          <w:rFonts w:ascii="Times New Roman" w:hAnsi="Times New Roman" w:cs="Times New Roman"/>
          <w:b/>
          <w:sz w:val="28"/>
          <w:szCs w:val="28"/>
          <w:lang w:val="it-IT"/>
        </w:rPr>
        <w:lastRenderedPageBreak/>
        <w:t xml:space="preserve">IV. Kinh nghiệm và nhân sự của nhà thầu: </w:t>
      </w:r>
      <w:r w:rsidRPr="009D4B4A">
        <w:rPr>
          <w:rFonts w:ascii="Times New Roman" w:hAnsi="Times New Roman" w:cs="Times New Roman"/>
          <w:bCs/>
          <w:sz w:val="28"/>
          <w:szCs w:val="28"/>
          <w:lang w:val="it-IT"/>
        </w:rPr>
        <w:t>Theo yêu cầu trong tiêu chuẩn đánh giá về mặt kỹ thuật của E-HSMT.</w:t>
      </w:r>
    </w:p>
    <w:p w14:paraId="1402C6FA" w14:textId="77777777" w:rsidR="009D4B4A" w:rsidRPr="009D4B4A" w:rsidRDefault="009D4B4A" w:rsidP="009D4B4A">
      <w:pPr>
        <w:widowControl w:val="0"/>
        <w:spacing w:before="120" w:after="120" w:line="240" w:lineRule="auto"/>
        <w:ind w:firstLine="680"/>
        <w:jc w:val="both"/>
        <w:rPr>
          <w:rFonts w:ascii="Times New Roman" w:hAnsi="Times New Roman" w:cs="Times New Roman"/>
          <w:b/>
          <w:bCs/>
          <w:sz w:val="28"/>
          <w:szCs w:val="28"/>
          <w:lang w:val="it-IT"/>
        </w:rPr>
      </w:pPr>
      <w:r w:rsidRPr="009D4B4A">
        <w:rPr>
          <w:rFonts w:ascii="Times New Roman" w:hAnsi="Times New Roman" w:cs="Times New Roman"/>
          <w:b/>
          <w:sz w:val="28"/>
          <w:szCs w:val="28"/>
          <w:lang w:val="it-IT"/>
        </w:rPr>
        <w:t xml:space="preserve">V. Trách nhiệm của Chủ đầu tư: </w:t>
      </w:r>
      <w:r w:rsidRPr="009D4B4A">
        <w:rPr>
          <w:rFonts w:ascii="Times New Roman" w:hAnsi="Times New Roman" w:cs="Times New Roman"/>
          <w:bCs/>
          <w:sz w:val="28"/>
          <w:szCs w:val="28"/>
          <w:lang w:val="it-IT"/>
        </w:rPr>
        <w:t>Chủ đầu tư sẽ cử cán bộ hỗ trợ và cung cấp những tài liệu có liên quan đến nhiệm vụ của tư vấn cho nhà thầu tư vấn thực hiện nhiệm vụ của mình trong phạm vi năng lực và quyền hạn của Chủ đầu tư.</w:t>
      </w:r>
    </w:p>
    <w:p w14:paraId="4998330C" w14:textId="77777777" w:rsidR="009D4B4A" w:rsidRPr="009D4B4A" w:rsidRDefault="009D4B4A" w:rsidP="009D4B4A">
      <w:pPr>
        <w:widowControl w:val="0"/>
        <w:spacing w:before="120" w:after="120" w:line="240" w:lineRule="auto"/>
        <w:ind w:firstLine="680"/>
        <w:jc w:val="both"/>
        <w:rPr>
          <w:rFonts w:ascii="Times New Roman" w:hAnsi="Times New Roman" w:cs="Times New Roman"/>
          <w:b/>
          <w:iCs/>
          <w:sz w:val="28"/>
          <w:szCs w:val="28"/>
          <w:lang w:val="it-IT"/>
        </w:rPr>
      </w:pPr>
      <w:r w:rsidRPr="009D4B4A">
        <w:rPr>
          <w:rFonts w:ascii="Times New Roman" w:hAnsi="Times New Roman" w:cs="Times New Roman"/>
          <w:b/>
          <w:iCs/>
          <w:sz w:val="28"/>
          <w:szCs w:val="28"/>
          <w:lang w:val="it-IT"/>
        </w:rPr>
        <w:t>VI. Các yêu cầu chung và tài liệu đính kèm E-HSDT</w:t>
      </w:r>
    </w:p>
    <w:p w14:paraId="6EEB1F1C"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Nhà thầu phải nộp cùng với E-HSDT các tài liệu sau đây: Các tài liệu chứng minh tính hợp lệ của E-HSDT, kinh nghiệm và năng lực của nhà thầu, nhân sự theo yêu cầu tại Chương III. Tiêu chuẩn đánh giá E-HSMT (bản scan màu từ bản gốc hoặc bản chụp được chứng thực). Cụ thể:</w:t>
      </w:r>
    </w:p>
    <w:p w14:paraId="4D156783"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
          <w:iCs/>
          <w:sz w:val="28"/>
          <w:szCs w:val="28"/>
          <w:lang w:val="it-IT"/>
        </w:rPr>
        <w:t>1. Về năng lực tài chính:</w:t>
      </w:r>
      <w:r w:rsidRPr="009D4B4A">
        <w:rPr>
          <w:rFonts w:ascii="Times New Roman" w:hAnsi="Times New Roman" w:cs="Times New Roman"/>
          <w:bCs/>
          <w:iCs/>
          <w:sz w:val="28"/>
          <w:szCs w:val="28"/>
          <w:lang w:val="it-IT"/>
        </w:rPr>
        <w:t xml:space="preserve"> Tài liệu chứng minh đã thực hiện nghĩa vụ kê khai thuế và nộp thuế năm 2024.</w:t>
      </w:r>
    </w:p>
    <w:p w14:paraId="4930ED9F"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sz w:val="28"/>
          <w:szCs w:val="28"/>
          <w:lang w:val="it-IT"/>
        </w:rPr>
      </w:pPr>
      <w:r w:rsidRPr="009D4B4A">
        <w:rPr>
          <w:rFonts w:ascii="Times New Roman" w:hAnsi="Times New Roman" w:cs="Times New Roman"/>
          <w:b/>
          <w:iCs/>
          <w:sz w:val="28"/>
          <w:szCs w:val="28"/>
          <w:lang w:val="it-IT"/>
        </w:rPr>
        <w:t>2. Về năng lực hoạt động:</w:t>
      </w:r>
      <w:r w:rsidRPr="009D4B4A">
        <w:rPr>
          <w:rFonts w:ascii="Times New Roman" w:hAnsi="Times New Roman" w:cs="Times New Roman"/>
          <w:bCs/>
          <w:iCs/>
          <w:sz w:val="28"/>
          <w:szCs w:val="28"/>
          <w:lang w:val="it-IT"/>
        </w:rPr>
        <w:t xml:space="preserve"> Giấy chứng nhận đăng ký kinh doanh còn hiệu lực hoặc các tài liệu khác tương đương.</w:t>
      </w:r>
    </w:p>
    <w:p w14:paraId="7518CF37" w14:textId="77777777" w:rsidR="009D4B4A" w:rsidRPr="009D4B4A" w:rsidRDefault="009D4B4A" w:rsidP="009D4B4A">
      <w:pPr>
        <w:widowControl w:val="0"/>
        <w:spacing w:before="120" w:after="120" w:line="240" w:lineRule="auto"/>
        <w:ind w:firstLine="680"/>
        <w:jc w:val="both"/>
        <w:rPr>
          <w:rFonts w:ascii="Times New Roman" w:hAnsi="Times New Roman" w:cs="Times New Roman"/>
          <w:b/>
          <w:iCs/>
          <w:sz w:val="28"/>
          <w:szCs w:val="28"/>
          <w:lang w:val="it-IT"/>
        </w:rPr>
      </w:pPr>
      <w:r w:rsidRPr="009D4B4A">
        <w:rPr>
          <w:rFonts w:ascii="Times New Roman" w:hAnsi="Times New Roman" w:cs="Times New Roman"/>
          <w:b/>
          <w:iCs/>
          <w:sz w:val="28"/>
          <w:szCs w:val="28"/>
          <w:lang w:val="it-IT"/>
        </w:rPr>
        <w:t>3. Về kinh nghiệm thực hiện hợp đồng tương tự:</w:t>
      </w:r>
    </w:p>
    <w:p w14:paraId="53D264BE" w14:textId="77777777" w:rsidR="009D4B4A" w:rsidRPr="009D4B4A" w:rsidRDefault="009D4B4A" w:rsidP="009D4B4A">
      <w:pPr>
        <w:widowControl w:val="0"/>
        <w:spacing w:before="120" w:after="120" w:line="240" w:lineRule="auto"/>
        <w:ind w:firstLine="680"/>
        <w:jc w:val="both"/>
        <w:rPr>
          <w:rFonts w:ascii="Times New Roman" w:hAnsi="Times New Roman" w:cs="Times New Roman"/>
          <w:sz w:val="28"/>
          <w:szCs w:val="28"/>
          <w:lang w:val="it-IT"/>
        </w:rPr>
      </w:pPr>
      <w:r w:rsidRPr="009D4B4A">
        <w:rPr>
          <w:rFonts w:ascii="Times New Roman" w:hAnsi="Times New Roman" w:cs="Times New Roman"/>
          <w:sz w:val="28"/>
          <w:szCs w:val="28"/>
          <w:lang w:val="it-IT"/>
        </w:rPr>
        <w:t>- Hợp đồng, Phụ lục hợp đồng, các tài liệu khác kèm theo hợp đồng (nếu có);</w:t>
      </w:r>
    </w:p>
    <w:p w14:paraId="496FBF4A" w14:textId="77777777" w:rsidR="009D4B4A" w:rsidRPr="009D4B4A" w:rsidRDefault="009D4B4A" w:rsidP="009D4B4A">
      <w:pPr>
        <w:widowControl w:val="0"/>
        <w:spacing w:before="120" w:after="120" w:line="240" w:lineRule="auto"/>
        <w:ind w:firstLine="680"/>
        <w:jc w:val="both"/>
        <w:rPr>
          <w:rFonts w:ascii="Times New Roman" w:hAnsi="Times New Roman" w:cs="Times New Roman"/>
          <w:sz w:val="28"/>
          <w:szCs w:val="28"/>
          <w:lang w:val="it-IT"/>
        </w:rPr>
      </w:pPr>
      <w:r w:rsidRPr="009D4B4A">
        <w:rPr>
          <w:rFonts w:ascii="Times New Roman" w:hAnsi="Times New Roman" w:cs="Times New Roman"/>
          <w:sz w:val="28"/>
          <w:szCs w:val="28"/>
          <w:lang w:val="it-IT"/>
        </w:rPr>
        <w:t xml:space="preserve">- Tài liệu chứng minh loại, cấp công trình: Quyết định phê duyệt dự án/phê duyệt thiết kế hoặc các tài liệu khác tương đương; </w:t>
      </w:r>
    </w:p>
    <w:p w14:paraId="5F0A53CC" w14:textId="77777777" w:rsidR="009D4B4A" w:rsidRPr="009D4B4A" w:rsidRDefault="009D4B4A" w:rsidP="009D4B4A">
      <w:pPr>
        <w:widowControl w:val="0"/>
        <w:spacing w:before="120" w:after="120" w:line="240" w:lineRule="auto"/>
        <w:ind w:firstLine="680"/>
        <w:jc w:val="both"/>
        <w:rPr>
          <w:rFonts w:ascii="Times New Roman" w:hAnsi="Times New Roman" w:cs="Times New Roman"/>
          <w:sz w:val="28"/>
          <w:szCs w:val="28"/>
          <w:lang w:val="it-IT"/>
        </w:rPr>
      </w:pPr>
      <w:r w:rsidRPr="009D4B4A">
        <w:rPr>
          <w:rFonts w:ascii="Times New Roman" w:hAnsi="Times New Roman" w:cs="Times New Roman"/>
          <w:sz w:val="28"/>
          <w:szCs w:val="28"/>
          <w:lang w:val="it-IT"/>
        </w:rPr>
        <w:t xml:space="preserve">- Tài liệu chứng minh thời gian hoàn thành: Biên bản nghiệm thu hoàn thành công trình hoặc xác nhận Chủ đầu tư/ Đại diện chủ đầu tư hoặc các tài liệu khác tương đương; </w:t>
      </w:r>
    </w:p>
    <w:p w14:paraId="2A3D91C0"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
          <w:sz w:val="28"/>
          <w:szCs w:val="28"/>
          <w:lang w:val="it-IT"/>
        </w:rPr>
      </w:pPr>
      <w:r w:rsidRPr="009D4B4A">
        <w:rPr>
          <w:rFonts w:ascii="Times New Roman" w:hAnsi="Times New Roman" w:cs="Times New Roman"/>
          <w:bCs/>
          <w:i/>
          <w:sz w:val="28"/>
          <w:szCs w:val="28"/>
          <w:lang w:val="it-IT"/>
        </w:rPr>
        <w:t xml:space="preserve">Lưu ý: Nếu là nhà thầu phụ của hợp đồng tương tự nhà thầu phải đính kèm thêm: Hợp đồng nhà thầu chính ký với </w:t>
      </w:r>
      <w:r w:rsidRPr="009D4B4A">
        <w:rPr>
          <w:rFonts w:ascii="Times New Roman" w:hAnsi="Times New Roman" w:cs="Times New Roman"/>
          <w:i/>
          <w:sz w:val="28"/>
          <w:szCs w:val="28"/>
          <w:lang w:val="it-IT"/>
        </w:rPr>
        <w:t>Chủ đầu tư</w:t>
      </w:r>
      <w:r w:rsidRPr="009D4B4A">
        <w:rPr>
          <w:rFonts w:ascii="Times New Roman" w:hAnsi="Times New Roman" w:cs="Times New Roman"/>
          <w:bCs/>
          <w:i/>
          <w:sz w:val="28"/>
          <w:szCs w:val="28"/>
          <w:lang w:val="it-IT"/>
        </w:rPr>
        <w:t>.</w:t>
      </w:r>
    </w:p>
    <w:p w14:paraId="170D4805" w14:textId="77777777" w:rsidR="009D4B4A" w:rsidRPr="009D4B4A" w:rsidRDefault="009D4B4A" w:rsidP="009D4B4A">
      <w:pPr>
        <w:widowControl w:val="0"/>
        <w:spacing w:before="120" w:after="120" w:line="240" w:lineRule="auto"/>
        <w:ind w:firstLine="680"/>
        <w:jc w:val="both"/>
        <w:rPr>
          <w:rFonts w:ascii="Times New Roman" w:hAnsi="Times New Roman" w:cs="Times New Roman"/>
          <w:b/>
          <w:iCs/>
          <w:sz w:val="28"/>
          <w:szCs w:val="28"/>
          <w:lang w:val="it-IT"/>
        </w:rPr>
      </w:pPr>
      <w:r w:rsidRPr="009D4B4A">
        <w:rPr>
          <w:rFonts w:ascii="Times New Roman" w:hAnsi="Times New Roman" w:cs="Times New Roman"/>
          <w:b/>
          <w:iCs/>
          <w:sz w:val="28"/>
          <w:szCs w:val="28"/>
          <w:lang w:val="it-IT"/>
        </w:rPr>
        <w:t xml:space="preserve">4. Về nhân sự chủ chốt: </w:t>
      </w:r>
    </w:p>
    <w:p w14:paraId="7390B66A"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 xml:space="preserve">- Văn bằng, chứng chỉ còn hiệu lực; </w:t>
      </w:r>
    </w:p>
    <w:p w14:paraId="11B2EF1B"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 xml:space="preserve">- Tài liệu chứng minh khả năng huy động nhân sự để thực hiện gói thầu; </w:t>
      </w:r>
    </w:p>
    <w:p w14:paraId="188B962F" w14:textId="77777777" w:rsidR="009D4B4A" w:rsidRPr="009D4B4A" w:rsidRDefault="009D4B4A" w:rsidP="009D4B4A">
      <w:pPr>
        <w:widowControl w:val="0"/>
        <w:spacing w:before="120" w:after="120" w:line="240" w:lineRule="auto"/>
        <w:ind w:firstLine="680"/>
        <w:jc w:val="both"/>
        <w:rPr>
          <w:rFonts w:ascii="Times New Roman" w:hAnsi="Times New Roman" w:cs="Times New Roman"/>
          <w:bCs/>
          <w:iCs/>
          <w:sz w:val="28"/>
          <w:szCs w:val="28"/>
          <w:lang w:val="it-IT"/>
        </w:rPr>
      </w:pPr>
      <w:r w:rsidRPr="009D4B4A">
        <w:rPr>
          <w:rFonts w:ascii="Times New Roman" w:hAnsi="Times New Roman" w:cs="Times New Roman"/>
          <w:bCs/>
          <w:iCs/>
          <w:sz w:val="28"/>
          <w:szCs w:val="28"/>
          <w:lang w:val="it-IT"/>
        </w:rPr>
        <w:t>- Tài liệu chứng minh kinh nghiệm làm việc: Tài liệu chứng minh thời gian bắt đầu ký hợp đồng với tổ chức tư vấn thiết kế;</w:t>
      </w:r>
    </w:p>
    <w:p w14:paraId="56C5F173" w14:textId="3E0D4578" w:rsidR="00750079" w:rsidRPr="009D4B4A" w:rsidRDefault="009D4B4A" w:rsidP="009D4B4A">
      <w:pPr>
        <w:spacing w:before="120" w:after="120" w:line="240" w:lineRule="auto"/>
        <w:ind w:firstLine="680"/>
        <w:jc w:val="both"/>
        <w:rPr>
          <w:rFonts w:ascii="Times New Roman" w:hAnsi="Times New Roman" w:cs="Times New Roman"/>
          <w:sz w:val="28"/>
          <w:szCs w:val="28"/>
        </w:rPr>
      </w:pPr>
      <w:r w:rsidRPr="009D4B4A">
        <w:rPr>
          <w:rFonts w:ascii="Times New Roman" w:hAnsi="Times New Roman" w:cs="Times New Roman"/>
          <w:bCs/>
          <w:iCs/>
          <w:sz w:val="28"/>
          <w:szCs w:val="28"/>
          <w:lang w:val="it-IT"/>
        </w:rPr>
        <w:t xml:space="preserve">- Tài liệu chứng minh kinh nghiệm thực hiện công việc tương tự: (1). Xác nhận của </w:t>
      </w:r>
      <w:r w:rsidRPr="009D4B4A">
        <w:rPr>
          <w:rFonts w:ascii="Times New Roman" w:hAnsi="Times New Roman" w:cs="Times New Roman"/>
          <w:sz w:val="28"/>
          <w:szCs w:val="28"/>
          <w:lang w:val="it-IT"/>
        </w:rPr>
        <w:t>Chủ đầu tư</w:t>
      </w:r>
      <w:r w:rsidRPr="009D4B4A">
        <w:rPr>
          <w:rFonts w:ascii="Times New Roman" w:hAnsi="Times New Roman" w:cs="Times New Roman"/>
          <w:bCs/>
          <w:iCs/>
          <w:sz w:val="28"/>
          <w:szCs w:val="28"/>
          <w:lang w:val="it-IT"/>
        </w:rPr>
        <w:t>/Quyết định phân công nhiệm vụ của nhân sự hoặc các tài liệu khác tương đương kèm theo; (2). Hợp đồng tư vấn tương ứng; (3). Tài liệu chứng minh loại, cấp công trình: Quyết định phê duyệt dự án/phê duyệt thiết kế hoặc các tài liệu khác tương đương.</w:t>
      </w:r>
    </w:p>
    <w:sectPr w:rsidR="00750079" w:rsidRPr="009D4B4A" w:rsidSect="00D408C6">
      <w:headerReference w:type="default" r:id="rId6"/>
      <w:pgSz w:w="12240" w:h="15840"/>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B3F11" w14:textId="77777777" w:rsidR="00986DF6" w:rsidRDefault="00986DF6" w:rsidP="00750079">
      <w:pPr>
        <w:spacing w:after="0" w:line="240" w:lineRule="auto"/>
      </w:pPr>
      <w:r>
        <w:separator/>
      </w:r>
    </w:p>
  </w:endnote>
  <w:endnote w:type="continuationSeparator" w:id="0">
    <w:p w14:paraId="25259601" w14:textId="77777777" w:rsidR="00986DF6" w:rsidRDefault="00986DF6" w:rsidP="00750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A6F0" w14:textId="77777777" w:rsidR="00986DF6" w:rsidRDefault="00986DF6" w:rsidP="00750079">
      <w:pPr>
        <w:spacing w:after="0" w:line="240" w:lineRule="auto"/>
      </w:pPr>
      <w:r>
        <w:separator/>
      </w:r>
    </w:p>
  </w:footnote>
  <w:footnote w:type="continuationSeparator" w:id="0">
    <w:p w14:paraId="69ADAB0B" w14:textId="77777777" w:rsidR="00986DF6" w:rsidRDefault="00986DF6" w:rsidP="00750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518267"/>
      <w:docPartObj>
        <w:docPartGallery w:val="Page Numbers (Top of Page)"/>
        <w:docPartUnique/>
      </w:docPartObj>
    </w:sdtPr>
    <w:sdtEndPr>
      <w:rPr>
        <w:rFonts w:ascii="Times New Roman" w:hAnsi="Times New Roman" w:cs="Times New Roman"/>
        <w:noProof/>
        <w:sz w:val="26"/>
        <w:szCs w:val="26"/>
      </w:rPr>
    </w:sdtEndPr>
    <w:sdtContent>
      <w:p w14:paraId="4A321DC8" w14:textId="7ACC5282" w:rsidR="00B53578" w:rsidRPr="00B53578" w:rsidRDefault="00B53578" w:rsidP="00B53578">
        <w:pPr>
          <w:pStyle w:val="Header"/>
          <w:jc w:val="center"/>
          <w:rPr>
            <w:rFonts w:ascii="Times New Roman" w:hAnsi="Times New Roman" w:cs="Times New Roman"/>
            <w:sz w:val="26"/>
            <w:szCs w:val="26"/>
          </w:rPr>
        </w:pPr>
        <w:r w:rsidRPr="00B53578">
          <w:rPr>
            <w:rFonts w:ascii="Times New Roman" w:hAnsi="Times New Roman" w:cs="Times New Roman"/>
            <w:sz w:val="26"/>
            <w:szCs w:val="26"/>
          </w:rPr>
          <w:fldChar w:fldCharType="begin"/>
        </w:r>
        <w:r w:rsidRPr="00B53578">
          <w:rPr>
            <w:rFonts w:ascii="Times New Roman" w:hAnsi="Times New Roman" w:cs="Times New Roman"/>
            <w:sz w:val="26"/>
            <w:szCs w:val="26"/>
          </w:rPr>
          <w:instrText xml:space="preserve"> PAGE   \* MERGEFORMAT </w:instrText>
        </w:r>
        <w:r w:rsidRPr="00B53578">
          <w:rPr>
            <w:rFonts w:ascii="Times New Roman" w:hAnsi="Times New Roman" w:cs="Times New Roman"/>
            <w:sz w:val="26"/>
            <w:szCs w:val="26"/>
          </w:rPr>
          <w:fldChar w:fldCharType="separate"/>
        </w:r>
        <w:r w:rsidR="002F4653">
          <w:rPr>
            <w:rFonts w:ascii="Times New Roman" w:hAnsi="Times New Roman" w:cs="Times New Roman"/>
            <w:noProof/>
            <w:sz w:val="26"/>
            <w:szCs w:val="26"/>
          </w:rPr>
          <w:t>9</w:t>
        </w:r>
        <w:r w:rsidRPr="00B53578">
          <w:rPr>
            <w:rFonts w:ascii="Times New Roman" w:hAnsi="Times New Roman" w:cs="Times New Roman"/>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079"/>
    <w:rsid w:val="00056CE2"/>
    <w:rsid w:val="00092EF9"/>
    <w:rsid w:val="000C2C83"/>
    <w:rsid w:val="00104432"/>
    <w:rsid w:val="00112EBE"/>
    <w:rsid w:val="00170919"/>
    <w:rsid w:val="002F1E63"/>
    <w:rsid w:val="002F4653"/>
    <w:rsid w:val="0068190A"/>
    <w:rsid w:val="007433BD"/>
    <w:rsid w:val="00750079"/>
    <w:rsid w:val="008415D8"/>
    <w:rsid w:val="00940825"/>
    <w:rsid w:val="00986DF6"/>
    <w:rsid w:val="009C1CED"/>
    <w:rsid w:val="009D4B4A"/>
    <w:rsid w:val="009E565C"/>
    <w:rsid w:val="00A97B2A"/>
    <w:rsid w:val="00AC55EE"/>
    <w:rsid w:val="00B53578"/>
    <w:rsid w:val="00D408C6"/>
    <w:rsid w:val="00D933D1"/>
    <w:rsid w:val="00E9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71B2"/>
  <w15:chartTrackingRefBased/>
  <w15:docId w15:val="{9D2F5A69-78A0-4DB5-97D1-6B0A53F9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0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0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0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0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0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0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0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079"/>
    <w:rPr>
      <w:rFonts w:eastAsiaTheme="majorEastAsia" w:cstheme="majorBidi"/>
      <w:color w:val="272727" w:themeColor="text1" w:themeTint="D8"/>
    </w:rPr>
  </w:style>
  <w:style w:type="paragraph" w:styleId="Title">
    <w:name w:val="Title"/>
    <w:basedOn w:val="Normal"/>
    <w:next w:val="Normal"/>
    <w:link w:val="TitleChar"/>
    <w:uiPriority w:val="10"/>
    <w:qFormat/>
    <w:rsid w:val="00750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079"/>
    <w:pPr>
      <w:spacing w:before="160"/>
      <w:jc w:val="center"/>
    </w:pPr>
    <w:rPr>
      <w:i/>
      <w:iCs/>
      <w:color w:val="404040" w:themeColor="text1" w:themeTint="BF"/>
    </w:rPr>
  </w:style>
  <w:style w:type="character" w:customStyle="1" w:styleId="QuoteChar">
    <w:name w:val="Quote Char"/>
    <w:basedOn w:val="DefaultParagraphFont"/>
    <w:link w:val="Quote"/>
    <w:uiPriority w:val="29"/>
    <w:rsid w:val="00750079"/>
    <w:rPr>
      <w:i/>
      <w:iCs/>
      <w:color w:val="404040" w:themeColor="text1" w:themeTint="BF"/>
    </w:rPr>
  </w:style>
  <w:style w:type="paragraph" w:styleId="ListParagraph">
    <w:name w:val="List Paragraph"/>
    <w:basedOn w:val="Normal"/>
    <w:uiPriority w:val="34"/>
    <w:qFormat/>
    <w:rsid w:val="00750079"/>
    <w:pPr>
      <w:ind w:left="720"/>
      <w:contextualSpacing/>
    </w:pPr>
  </w:style>
  <w:style w:type="character" w:styleId="IntenseEmphasis">
    <w:name w:val="Intense Emphasis"/>
    <w:basedOn w:val="DefaultParagraphFont"/>
    <w:uiPriority w:val="21"/>
    <w:qFormat/>
    <w:rsid w:val="00750079"/>
    <w:rPr>
      <w:i/>
      <w:iCs/>
      <w:color w:val="0F4761" w:themeColor="accent1" w:themeShade="BF"/>
    </w:rPr>
  </w:style>
  <w:style w:type="paragraph" w:styleId="IntenseQuote">
    <w:name w:val="Intense Quote"/>
    <w:basedOn w:val="Normal"/>
    <w:next w:val="Normal"/>
    <w:link w:val="IntenseQuoteChar"/>
    <w:uiPriority w:val="30"/>
    <w:qFormat/>
    <w:rsid w:val="00750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079"/>
    <w:rPr>
      <w:i/>
      <w:iCs/>
      <w:color w:val="0F4761" w:themeColor="accent1" w:themeShade="BF"/>
    </w:rPr>
  </w:style>
  <w:style w:type="character" w:styleId="IntenseReference">
    <w:name w:val="Intense Reference"/>
    <w:basedOn w:val="DefaultParagraphFont"/>
    <w:uiPriority w:val="32"/>
    <w:qFormat/>
    <w:rsid w:val="00750079"/>
    <w:rPr>
      <w:b/>
      <w:bCs/>
      <w:smallCaps/>
      <w:color w:val="0F4761" w:themeColor="accent1" w:themeShade="BF"/>
      <w:spacing w:val="5"/>
    </w:rPr>
  </w:style>
  <w:style w:type="paragraph" w:styleId="Header">
    <w:name w:val="header"/>
    <w:basedOn w:val="Normal"/>
    <w:link w:val="HeaderChar"/>
    <w:uiPriority w:val="99"/>
    <w:unhideWhenUsed/>
    <w:rsid w:val="00750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079"/>
  </w:style>
  <w:style w:type="paragraph" w:styleId="Footer">
    <w:name w:val="footer"/>
    <w:basedOn w:val="Normal"/>
    <w:link w:val="FooterChar"/>
    <w:uiPriority w:val="99"/>
    <w:unhideWhenUsed/>
    <w:rsid w:val="00750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Ngoan Anh Vu</dc:creator>
  <cp:keywords/>
  <dc:description/>
  <cp:lastModifiedBy>Tú Hoàng</cp:lastModifiedBy>
  <cp:revision>4</cp:revision>
  <cp:lastPrinted>2025-08-07T11:22:00Z</cp:lastPrinted>
  <dcterms:created xsi:type="dcterms:W3CDTF">2025-09-16T09:06:00Z</dcterms:created>
  <dcterms:modified xsi:type="dcterms:W3CDTF">2025-09-18T09:13:00Z</dcterms:modified>
</cp:coreProperties>
</file>