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5210"/>
        <w:gridCol w:w="1559"/>
      </w:tblGrid>
      <w:tr w:rsidR="000F3B81" w:rsidRPr="000F3B81" w14:paraId="5909C81D" w14:textId="77777777" w:rsidTr="00341955">
        <w:trPr>
          <w:trHeight w:val="816"/>
          <w:tblHeader/>
        </w:trPr>
        <w:tc>
          <w:tcPr>
            <w:tcW w:w="4191" w:type="pct"/>
            <w:gridSpan w:val="2"/>
            <w:vAlign w:val="center"/>
          </w:tcPr>
          <w:p w14:paraId="33845FF3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đánh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809" w:type="pct"/>
            <w:vAlign w:val="center"/>
          </w:tcPr>
          <w:p w14:paraId="7861BFD8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Sử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tiêu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chí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không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  <w:proofErr w:type="spellEnd"/>
          </w:p>
        </w:tc>
      </w:tr>
      <w:tr w:rsidR="000F3B81" w:rsidRPr="000F3B81" w14:paraId="59780B63" w14:textId="77777777" w:rsidTr="005B2BD7">
        <w:trPr>
          <w:trHeight w:val="148"/>
        </w:trPr>
        <w:tc>
          <w:tcPr>
            <w:tcW w:w="5000" w:type="pct"/>
            <w:gridSpan w:val="3"/>
            <w:vAlign w:val="center"/>
          </w:tcPr>
          <w:p w14:paraId="674EEA1B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F3B8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Đặc tính</w:t>
            </w:r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kỹ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thuật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hàng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hóa</w:t>
            </w:r>
            <w:proofErr w:type="spellEnd"/>
          </w:p>
        </w:tc>
      </w:tr>
      <w:tr w:rsidR="000F3B81" w:rsidRPr="000F3B81" w14:paraId="1AE341FA" w14:textId="77777777" w:rsidTr="00D63FB5">
        <w:trPr>
          <w:trHeight w:val="148"/>
        </w:trPr>
        <w:tc>
          <w:tcPr>
            <w:tcW w:w="1487" w:type="pct"/>
            <w:vMerge w:val="restart"/>
            <w:vAlign w:val="center"/>
          </w:tcPr>
          <w:p w14:paraId="6D59BF49" w14:textId="76831D28" w:rsidR="000F3B81" w:rsidRPr="000F3B81" w:rsidRDefault="000F3B81" w:rsidP="00712E6D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B8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Đặc tính, thông số kỹ thuật của hàng hóa, tiêu chuẩn sản xuất, tiêu chuẩn chế tạo và công nghệ</w:t>
            </w:r>
            <w:r w:rsidR="00712E6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2704" w:type="pct"/>
            <w:vAlign w:val="center"/>
          </w:tcPr>
          <w:p w14:paraId="270C4A0F" w14:textId="408825E2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  <w:r w:rsidRPr="000F3B8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ặc tính, thông số kỹ thuật của hàng hóa, tiêu chuẩn sản xuất</w:t>
            </w:r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E-HSMT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  <w:tc>
          <w:tcPr>
            <w:tcW w:w="809" w:type="pct"/>
            <w:vAlign w:val="center"/>
          </w:tcPr>
          <w:p w14:paraId="1D81E2B7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</w:p>
        </w:tc>
      </w:tr>
      <w:tr w:rsidR="000F3B81" w:rsidRPr="000F3B81" w14:paraId="76823732" w14:textId="77777777" w:rsidTr="00D63FB5">
        <w:trPr>
          <w:trHeight w:val="148"/>
        </w:trPr>
        <w:tc>
          <w:tcPr>
            <w:tcW w:w="1487" w:type="pct"/>
            <w:vMerge/>
          </w:tcPr>
          <w:p w14:paraId="1B66CFD7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pct"/>
            <w:vAlign w:val="center"/>
          </w:tcPr>
          <w:p w14:paraId="5240318A" w14:textId="4AF322E1" w:rsidR="000F3B81" w:rsidRPr="000F3B81" w:rsidRDefault="00A927C9" w:rsidP="00A927C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="00CE4CCC" w:rsidRPr="000F3B8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ặc tính, thông số kỹ thuật của hàng hóa, tiêu chuẩn sản xuất</w:t>
            </w:r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E-HSMT </w:t>
            </w:r>
            <w:proofErr w:type="spellStart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CE4CCC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  <w:tc>
          <w:tcPr>
            <w:tcW w:w="809" w:type="pct"/>
            <w:vAlign w:val="center"/>
          </w:tcPr>
          <w:p w14:paraId="03B94B16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Không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  <w:proofErr w:type="spellEnd"/>
          </w:p>
        </w:tc>
      </w:tr>
      <w:tr w:rsidR="000F3B81" w:rsidRPr="000F3B81" w14:paraId="351011C6" w14:textId="77777777" w:rsidTr="005B2BD7">
        <w:trPr>
          <w:trHeight w:val="148"/>
        </w:trPr>
        <w:tc>
          <w:tcPr>
            <w:tcW w:w="5000" w:type="pct"/>
            <w:gridSpan w:val="3"/>
          </w:tcPr>
          <w:p w14:paraId="7C8C7FCF" w14:textId="2EE4C928" w:rsidR="000F3B81" w:rsidRPr="000F3B81" w:rsidRDefault="000F3B81" w:rsidP="00107CFF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2. G</w:t>
            </w:r>
            <w:r w:rsidRPr="000F3B8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iải pháp kỹ thuật, biện pháp tổ chức cung cấp, </w:t>
            </w:r>
            <w:proofErr w:type="spellStart"/>
            <w:r w:rsidR="00107CFF">
              <w:rPr>
                <w:rFonts w:ascii="Times New Roman" w:hAnsi="Times New Roman" w:cs="Times New Roman"/>
                <w:b/>
                <w:sz w:val="24"/>
                <w:szCs w:val="24"/>
              </w:rPr>
              <w:t>kiểm</w:t>
            </w:r>
            <w:proofErr w:type="spellEnd"/>
            <w:r w:rsidR="0010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07CFF">
              <w:rPr>
                <w:rFonts w:ascii="Times New Roman" w:hAnsi="Times New Roman" w:cs="Times New Roman"/>
                <w:b/>
                <w:sz w:val="24"/>
                <w:szCs w:val="24"/>
              </w:rPr>
              <w:t>thử</w:t>
            </w:r>
            <w:proofErr w:type="spellEnd"/>
            <w:r w:rsidR="0010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07CFF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="0010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07CFF">
              <w:rPr>
                <w:rFonts w:ascii="Times New Roman" w:hAnsi="Times New Roman" w:cs="Times New Roman"/>
                <w:b/>
                <w:sz w:val="24"/>
                <w:szCs w:val="24"/>
              </w:rPr>
              <w:t>bàn</w:t>
            </w:r>
            <w:proofErr w:type="spellEnd"/>
            <w:r w:rsidR="00107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07CFF">
              <w:rPr>
                <w:rFonts w:ascii="Times New Roman" w:hAnsi="Times New Roman" w:cs="Times New Roman"/>
                <w:b/>
                <w:sz w:val="24"/>
                <w:szCs w:val="24"/>
              </w:rPr>
              <w:t>giao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hàng hóa</w:t>
            </w:r>
          </w:p>
        </w:tc>
      </w:tr>
      <w:tr w:rsidR="000F3B81" w:rsidRPr="000F3B81" w14:paraId="0CB4FAA2" w14:textId="77777777" w:rsidTr="00D63FB5">
        <w:trPr>
          <w:trHeight w:val="148"/>
        </w:trPr>
        <w:tc>
          <w:tcPr>
            <w:tcW w:w="1487" w:type="pct"/>
            <w:vMerge w:val="restart"/>
            <w:vAlign w:val="center"/>
          </w:tcPr>
          <w:p w14:paraId="4486B039" w14:textId="3DE9CF0A" w:rsidR="000F3B81" w:rsidRPr="000F3B81" w:rsidRDefault="000F3B81" w:rsidP="00ED6276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B8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Tính hợp lý và hiệu quả kinh tế của các giải pháp kỹ thuật, </w:t>
            </w:r>
            <w:proofErr w:type="spellStart"/>
            <w:r w:rsidR="00ED6276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="00ED6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6276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tổ chức </w:t>
            </w:r>
            <w:proofErr w:type="spellStart"/>
            <w:r w:rsidR="00ED6276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="00ED6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6276">
              <w:rPr>
                <w:rFonts w:ascii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="00ED6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6276"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proofErr w:type="spellEnd"/>
            <w:r w:rsidR="00ED6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6276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C163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632C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="00C1632C" w:rsidRPr="00C1632C">
              <w:rPr>
                <w:rFonts w:ascii="Times New Roman" w:hAnsi="Times New Roman" w:cs="Times New Roman"/>
                <w:sz w:val="24"/>
                <w:szCs w:val="24"/>
              </w:rPr>
              <w:t>ể</w:t>
            </w:r>
            <w:r w:rsidR="00C1632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C1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2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D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7F2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BD47F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lượng</w:t>
            </w:r>
            <w:r w:rsidR="00C1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8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hàng hóa</w:t>
            </w:r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pct"/>
            <w:vAlign w:val="center"/>
          </w:tcPr>
          <w:p w14:paraId="7E2345A2" w14:textId="71FC6137" w:rsidR="000F3B81" w:rsidRPr="00BD47F2" w:rsidRDefault="000F3B81" w:rsidP="00DF0BEE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8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giải pháp kỹ thuật,</w:t>
            </w:r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C1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2C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C1632C" w:rsidRPr="00C1632C">
              <w:rPr>
                <w:rFonts w:ascii="Times New Roman" w:hAnsi="Times New Roman" w:cs="Times New Roman"/>
                <w:sz w:val="24"/>
                <w:szCs w:val="24"/>
              </w:rPr>
              <w:t>ện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3B8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biện pháp tổ chức</w:t>
            </w:r>
            <w:r w:rsidR="00BD47F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sản xuất hoặc</w:t>
            </w:r>
            <w:r w:rsidRPr="000F3B8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cung cấp</w:t>
            </w:r>
            <w:r w:rsidR="00C163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632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1632C" w:rsidRPr="00C1632C">
              <w:rPr>
                <w:rFonts w:ascii="Times New Roman" w:hAnsi="Times New Roman" w:cs="Times New Roman"/>
                <w:sz w:val="24"/>
                <w:szCs w:val="24"/>
              </w:rPr>
              <w:t>àn</w:t>
            </w:r>
            <w:proofErr w:type="spellEnd"/>
            <w:r w:rsidR="00C1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2C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hàng hóa</w:t>
            </w:r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2C" w:rsidRPr="00C1632C">
              <w:rPr>
                <w:rFonts w:ascii="Times New Roman" w:hAnsi="Times New Roman" w:cs="Times New Roman"/>
                <w:sz w:val="24"/>
                <w:szCs w:val="24"/>
              </w:rPr>
              <w:t>đún</w:t>
            </w:r>
            <w:r w:rsidR="00C1632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="00C1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2C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="00C1632C" w:rsidRPr="00C1632C">
              <w:rPr>
                <w:rFonts w:ascii="Times New Roman" w:hAnsi="Times New Roman" w:cs="Times New Roman"/>
                <w:sz w:val="24"/>
                <w:szCs w:val="24"/>
              </w:rPr>
              <w:t>ời</w:t>
            </w:r>
            <w:proofErr w:type="spellEnd"/>
            <w:r w:rsidR="00C16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2C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7F2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BD47F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pháp kiểm thử, chứng minh chất lượng hàng hóa</w:t>
            </w:r>
          </w:p>
        </w:tc>
        <w:tc>
          <w:tcPr>
            <w:tcW w:w="809" w:type="pct"/>
            <w:vAlign w:val="center"/>
          </w:tcPr>
          <w:p w14:paraId="2A334A45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</w:p>
        </w:tc>
      </w:tr>
      <w:tr w:rsidR="000F3B81" w:rsidRPr="000F3B81" w14:paraId="0833828E" w14:textId="77777777" w:rsidTr="00D63FB5">
        <w:trPr>
          <w:trHeight w:val="148"/>
        </w:trPr>
        <w:tc>
          <w:tcPr>
            <w:tcW w:w="1487" w:type="pct"/>
            <w:vMerge/>
          </w:tcPr>
          <w:p w14:paraId="15FFC9DC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pct"/>
            <w:vAlign w:val="center"/>
          </w:tcPr>
          <w:p w14:paraId="10EFA875" w14:textId="6608E0A3" w:rsidR="000F3B81" w:rsidRPr="000F3B81" w:rsidRDefault="000F3B81" w:rsidP="00341955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7F2" w:rsidRPr="000F3B8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BD47F2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7F2" w:rsidRPr="000F3B8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BD47F2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7F2" w:rsidRPr="000F3B8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giải pháp kỹ thuật,</w:t>
            </w:r>
            <w:r w:rsidR="00BD47F2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7F2" w:rsidRPr="000F3B8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BD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7F2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BD47F2" w:rsidRPr="00C1632C">
              <w:rPr>
                <w:rFonts w:ascii="Times New Roman" w:hAnsi="Times New Roman" w:cs="Times New Roman"/>
                <w:sz w:val="24"/>
                <w:szCs w:val="24"/>
              </w:rPr>
              <w:t>ện</w:t>
            </w:r>
            <w:proofErr w:type="spellEnd"/>
            <w:r w:rsidR="00BD47F2" w:rsidRPr="000F3B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47F2" w:rsidRPr="000F3B8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biện pháp tổ chức</w:t>
            </w:r>
            <w:r w:rsidR="00BD47F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sản xuất hoặc</w:t>
            </w:r>
            <w:r w:rsidR="00BD47F2" w:rsidRPr="000F3B8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cung cấp</w:t>
            </w:r>
            <w:r w:rsidR="00BD47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D47F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D47F2" w:rsidRPr="00C1632C">
              <w:rPr>
                <w:rFonts w:ascii="Times New Roman" w:hAnsi="Times New Roman" w:cs="Times New Roman"/>
                <w:sz w:val="24"/>
                <w:szCs w:val="24"/>
              </w:rPr>
              <w:t>àn</w:t>
            </w:r>
            <w:proofErr w:type="spellEnd"/>
            <w:r w:rsidR="00BD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7F2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BD47F2" w:rsidRPr="000F3B8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hàng hóa</w:t>
            </w:r>
            <w:r w:rsidR="00BD47F2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7F2" w:rsidRPr="00C1632C">
              <w:rPr>
                <w:rFonts w:ascii="Times New Roman" w:hAnsi="Times New Roman" w:cs="Times New Roman"/>
                <w:sz w:val="24"/>
                <w:szCs w:val="24"/>
              </w:rPr>
              <w:t>đún</w:t>
            </w:r>
            <w:r w:rsidR="00BD47F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="00BD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7F2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="00BD47F2" w:rsidRPr="00C1632C">
              <w:rPr>
                <w:rFonts w:ascii="Times New Roman" w:hAnsi="Times New Roman" w:cs="Times New Roman"/>
                <w:sz w:val="24"/>
                <w:szCs w:val="24"/>
              </w:rPr>
              <w:t>ời</w:t>
            </w:r>
            <w:proofErr w:type="spellEnd"/>
            <w:r w:rsidR="00BD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7F2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="00BD47F2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7F2" w:rsidRPr="000F3B8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BD47F2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47F2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BD47F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pháp kiểm thử, chứng minh chất lượng hàng hóa</w:t>
            </w:r>
          </w:p>
        </w:tc>
        <w:tc>
          <w:tcPr>
            <w:tcW w:w="809" w:type="pct"/>
            <w:vAlign w:val="center"/>
          </w:tcPr>
          <w:p w14:paraId="551E586F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Không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  <w:proofErr w:type="spellEnd"/>
          </w:p>
        </w:tc>
      </w:tr>
      <w:tr w:rsidR="000F3B81" w:rsidRPr="000F3B81" w14:paraId="75232EDB" w14:textId="77777777" w:rsidTr="005B2BD7">
        <w:trPr>
          <w:trHeight w:val="148"/>
        </w:trPr>
        <w:tc>
          <w:tcPr>
            <w:tcW w:w="5000" w:type="pct"/>
            <w:gridSpan w:val="3"/>
            <w:vAlign w:val="center"/>
          </w:tcPr>
          <w:p w14:paraId="3B24281A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Tiến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cung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cấp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hàng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hóa</w:t>
            </w:r>
            <w:proofErr w:type="spellEnd"/>
          </w:p>
        </w:tc>
      </w:tr>
      <w:tr w:rsidR="000F3B81" w:rsidRPr="000F3B81" w14:paraId="689D9E00" w14:textId="77777777" w:rsidTr="00D63FB5">
        <w:trPr>
          <w:trHeight w:val="148"/>
        </w:trPr>
        <w:tc>
          <w:tcPr>
            <w:tcW w:w="1487" w:type="pct"/>
            <w:vMerge w:val="restart"/>
            <w:vAlign w:val="center"/>
          </w:tcPr>
          <w:p w14:paraId="61C9775A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E- HSMT.</w:t>
            </w:r>
          </w:p>
        </w:tc>
        <w:tc>
          <w:tcPr>
            <w:tcW w:w="2704" w:type="pct"/>
          </w:tcPr>
          <w:p w14:paraId="08F491D6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E-HSMT.</w:t>
            </w:r>
          </w:p>
        </w:tc>
        <w:tc>
          <w:tcPr>
            <w:tcW w:w="809" w:type="pct"/>
            <w:vAlign w:val="center"/>
          </w:tcPr>
          <w:p w14:paraId="298B85ED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</w:p>
        </w:tc>
      </w:tr>
      <w:tr w:rsidR="000F3B81" w:rsidRPr="000F3B81" w14:paraId="7674A63E" w14:textId="77777777" w:rsidTr="00D63FB5">
        <w:trPr>
          <w:trHeight w:val="148"/>
        </w:trPr>
        <w:tc>
          <w:tcPr>
            <w:tcW w:w="1487" w:type="pct"/>
            <w:vMerge/>
          </w:tcPr>
          <w:p w14:paraId="01C35C17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pct"/>
          </w:tcPr>
          <w:p w14:paraId="3EB09C06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hoá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nhưng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9" w:type="pct"/>
            <w:vAlign w:val="center"/>
          </w:tcPr>
          <w:p w14:paraId="185E5878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Không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  <w:proofErr w:type="spellEnd"/>
          </w:p>
        </w:tc>
      </w:tr>
      <w:tr w:rsidR="000F3B81" w:rsidRPr="000F3B81" w14:paraId="55C6C4F9" w14:textId="77777777" w:rsidTr="005B2BD7">
        <w:trPr>
          <w:trHeight w:val="148"/>
        </w:trPr>
        <w:tc>
          <w:tcPr>
            <w:tcW w:w="5000" w:type="pct"/>
            <w:gridSpan w:val="3"/>
          </w:tcPr>
          <w:p w14:paraId="66DD605D" w14:textId="5E282B92" w:rsidR="000F3B81" w:rsidRPr="000F3B81" w:rsidRDefault="00D63FB5" w:rsidP="00576FD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F3B81"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Bảo </w:t>
            </w:r>
            <w:proofErr w:type="spellStart"/>
            <w:r w:rsidR="000F3B81"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hành</w:t>
            </w:r>
            <w:proofErr w:type="spellEnd"/>
            <w:r w:rsidR="000F3B81" w:rsidRPr="000F3B8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, </w:t>
            </w:r>
            <w:proofErr w:type="spellStart"/>
            <w:r w:rsidR="000F3B81"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bảo</w:t>
            </w:r>
            <w:proofErr w:type="spellEnd"/>
            <w:r w:rsidR="000F3B81"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trì</w:t>
            </w:r>
            <w:proofErr w:type="spellEnd"/>
          </w:p>
        </w:tc>
      </w:tr>
      <w:tr w:rsidR="000F3B81" w:rsidRPr="000F3B81" w14:paraId="0D173C02" w14:textId="77777777" w:rsidTr="00D63FB5">
        <w:trPr>
          <w:trHeight w:val="1029"/>
        </w:trPr>
        <w:tc>
          <w:tcPr>
            <w:tcW w:w="1487" w:type="pct"/>
            <w:vMerge w:val="restart"/>
            <w:vAlign w:val="center"/>
          </w:tcPr>
          <w:p w14:paraId="457F6198" w14:textId="0D80E743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Bảo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trì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2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372B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tháng</w:t>
            </w:r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pct"/>
          </w:tcPr>
          <w:p w14:paraId="42CFD597" w14:textId="5A393945" w:rsidR="000F3B81" w:rsidRPr="003F3CA6" w:rsidRDefault="000F3B81" w:rsidP="004C16C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trì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2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372B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tháng</w:t>
            </w:r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thầu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="00ED3AAA">
              <w:rPr>
                <w:rFonts w:ascii="Times New Roman" w:hAnsi="Times New Roman" w:cs="Times New Roman"/>
                <w:sz w:val="24"/>
                <w:szCs w:val="24"/>
              </w:rPr>
              <w:t xml:space="preserve"> cam </w:t>
            </w:r>
            <w:proofErr w:type="spellStart"/>
            <w:r w:rsidR="00ED3AAA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ED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AAA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="00ED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AAA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ED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AAA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="00ED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AAA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ED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AAA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ED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AAA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bả</w:t>
            </w:r>
            <w:r w:rsidR="00ED3AA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ED3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3AAA">
              <w:rPr>
                <w:rFonts w:ascii="Times New Roman" w:hAnsi="Times New Roman" w:cs="Times New Roman"/>
                <w:sz w:val="24"/>
                <w:szCs w:val="24"/>
              </w:rPr>
              <w:t>trì</w:t>
            </w:r>
            <w:proofErr w:type="spellEnd"/>
            <w:r w:rsidR="00ED3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thầu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Thư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lãnh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A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Thư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5%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="00F32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A43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trúng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thầu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32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9" w:type="pct"/>
            <w:vAlign w:val="center"/>
          </w:tcPr>
          <w:p w14:paraId="3A41E5BC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</w:p>
        </w:tc>
      </w:tr>
      <w:tr w:rsidR="000F3B81" w:rsidRPr="000F3B81" w14:paraId="142E1642" w14:textId="77777777" w:rsidTr="00D63FB5">
        <w:trPr>
          <w:trHeight w:val="148"/>
        </w:trPr>
        <w:tc>
          <w:tcPr>
            <w:tcW w:w="1487" w:type="pct"/>
            <w:vMerge/>
          </w:tcPr>
          <w:p w14:paraId="4F65E2FB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pct"/>
          </w:tcPr>
          <w:p w14:paraId="12C19140" w14:textId="3674E0BD" w:rsidR="000F3B81" w:rsidRPr="003F3CA6" w:rsidRDefault="000F3B81" w:rsidP="001466C2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dưới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trì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dưới</w:t>
            </w:r>
            <w:proofErr w:type="spellEnd"/>
            <w:r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2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372B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tháng</w:t>
            </w:r>
            <w:r w:rsidRPr="003F3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thầu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cung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trì</w:t>
            </w:r>
            <w:proofErr w:type="spellEnd"/>
            <w:r w:rsidR="005E42FF" w:rsidRPr="003F3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3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 w:rsidRPr="003F3CA6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4C16C4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 w:rsidRPr="003F3CA6">
              <w:rPr>
                <w:rFonts w:ascii="Times New Roman" w:hAnsi="Times New Roman" w:cs="Times New Roman"/>
                <w:sz w:val="24"/>
                <w:szCs w:val="24"/>
              </w:rPr>
              <w:t>thầu</w:t>
            </w:r>
            <w:proofErr w:type="spellEnd"/>
            <w:r w:rsidR="004C16C4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66C2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cam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="004C16C4" w:rsidRPr="003F3C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C16C4" w:rsidRPr="003F3CA6">
              <w:rPr>
                <w:rFonts w:ascii="Times New Roman" w:hAnsi="Times New Roman" w:cs="Times New Roman"/>
                <w:sz w:val="24"/>
                <w:szCs w:val="24"/>
              </w:rPr>
              <w:t>bả</w:t>
            </w:r>
            <w:r w:rsidR="004C16C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trì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thầu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Thư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lãnh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- Thư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đảm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5%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trúng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thầu</w:t>
            </w:r>
            <w:proofErr w:type="spellEnd"/>
            <w:r w:rsidR="004C16C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09" w:type="pct"/>
            <w:vAlign w:val="center"/>
          </w:tcPr>
          <w:p w14:paraId="26EE0477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Không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  <w:proofErr w:type="spellEnd"/>
          </w:p>
        </w:tc>
      </w:tr>
      <w:tr w:rsidR="000F3B81" w:rsidRPr="000F3B81" w14:paraId="1957A4B5" w14:textId="77777777" w:rsidTr="005B2BD7">
        <w:trPr>
          <w:trHeight w:val="14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718B153" w14:textId="4B1AE29B" w:rsidR="000F3B81" w:rsidRPr="000F3B81" w:rsidRDefault="00D63FB5" w:rsidP="00576FD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F3B81"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Uy </w:t>
            </w:r>
            <w:proofErr w:type="spellStart"/>
            <w:r w:rsidR="000F3B81"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tín</w:t>
            </w:r>
            <w:proofErr w:type="spellEnd"/>
            <w:r w:rsidR="000F3B81"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 w:rsidR="000F3B81"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nhà</w:t>
            </w:r>
            <w:proofErr w:type="spellEnd"/>
            <w:r w:rsidR="000F3B81"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thầu</w:t>
            </w:r>
            <w:proofErr w:type="spellEnd"/>
          </w:p>
        </w:tc>
      </w:tr>
      <w:tr w:rsidR="000F3B81" w:rsidRPr="000F3B81" w14:paraId="7A50BA97" w14:textId="77777777" w:rsidTr="00D63FB5">
        <w:trPr>
          <w:trHeight w:val="1071"/>
        </w:trPr>
        <w:tc>
          <w:tcPr>
            <w:tcW w:w="1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6847" w14:textId="357F483A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Uy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thầu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5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gần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đây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thầu</w:t>
            </w:r>
            <w:proofErr w:type="spellEnd"/>
            <w:r w:rsidRPr="000F3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524B" w14:textId="39FE4BA0" w:rsidR="000F3B81" w:rsidRPr="000F3B81" w:rsidRDefault="00F05DA9" w:rsidP="00F05DA9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hông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chậm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dở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lỗi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thầu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F3AA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</w:p>
        </w:tc>
      </w:tr>
      <w:tr w:rsidR="000F3B81" w:rsidRPr="000F3B81" w14:paraId="651C5977" w14:textId="77777777" w:rsidTr="00D63FB5">
        <w:trPr>
          <w:trHeight w:val="148"/>
        </w:trPr>
        <w:tc>
          <w:tcPr>
            <w:tcW w:w="1487" w:type="pct"/>
            <w:vMerge/>
            <w:tcBorders>
              <w:top w:val="single" w:sz="4" w:space="0" w:color="auto"/>
            </w:tcBorders>
          </w:tcPr>
          <w:p w14:paraId="06131A2F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pct"/>
            <w:tcBorders>
              <w:top w:val="single" w:sz="4" w:space="0" w:color="auto"/>
            </w:tcBorders>
            <w:vAlign w:val="center"/>
          </w:tcPr>
          <w:p w14:paraId="25E04322" w14:textId="46D33F84" w:rsidR="000F3B81" w:rsidRPr="000F3B81" w:rsidRDefault="00F05DA9" w:rsidP="001F3F9C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F9C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1F3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F9C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1F3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F9C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="001F3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F9C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1F3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chậm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dở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lỗi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thầu</w:t>
            </w:r>
            <w:proofErr w:type="spellEnd"/>
            <w:r w:rsidR="000F3B81" w:rsidRPr="000F3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</w:tcBorders>
            <w:vAlign w:val="center"/>
          </w:tcPr>
          <w:p w14:paraId="277C42D3" w14:textId="77777777" w:rsidR="000F3B81" w:rsidRPr="000F3B81" w:rsidRDefault="000F3B81" w:rsidP="00576FD4">
            <w:pPr>
              <w:tabs>
                <w:tab w:val="left" w:pos="85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Không</w:t>
            </w:r>
            <w:proofErr w:type="spellEnd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3B81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  <w:proofErr w:type="spellEnd"/>
          </w:p>
        </w:tc>
      </w:tr>
    </w:tbl>
    <w:p w14:paraId="5ACB3635" w14:textId="08CE1A89" w:rsidR="00630431" w:rsidRPr="000F3B81" w:rsidRDefault="00630431" w:rsidP="000F3B81">
      <w:pPr>
        <w:spacing w:before="120" w:line="260" w:lineRule="atLeast"/>
        <w:ind w:right="45"/>
        <w:jc w:val="both"/>
        <w:rPr>
          <w:rFonts w:ascii="Times New Roman" w:hAnsi="Times New Roman" w:cs="Times New Roman"/>
          <w:b/>
          <w:color w:val="000000"/>
          <w:szCs w:val="28"/>
        </w:rPr>
      </w:pPr>
    </w:p>
    <w:sectPr w:rsidR="00630431" w:rsidRPr="000F3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81"/>
    <w:rsid w:val="000D32B8"/>
    <w:rsid w:val="000F3B81"/>
    <w:rsid w:val="00107CFF"/>
    <w:rsid w:val="00127724"/>
    <w:rsid w:val="001466C2"/>
    <w:rsid w:val="00171709"/>
    <w:rsid w:val="001F3F9C"/>
    <w:rsid w:val="00323FE9"/>
    <w:rsid w:val="00327F7C"/>
    <w:rsid w:val="00341955"/>
    <w:rsid w:val="003424C8"/>
    <w:rsid w:val="003F3CA6"/>
    <w:rsid w:val="0043366F"/>
    <w:rsid w:val="00495AF1"/>
    <w:rsid w:val="004C16C4"/>
    <w:rsid w:val="004C1C22"/>
    <w:rsid w:val="005B12BF"/>
    <w:rsid w:val="005B2BD7"/>
    <w:rsid w:val="005E42FF"/>
    <w:rsid w:val="00630431"/>
    <w:rsid w:val="00652F79"/>
    <w:rsid w:val="006A24BE"/>
    <w:rsid w:val="00712E6D"/>
    <w:rsid w:val="00731FF4"/>
    <w:rsid w:val="007B2668"/>
    <w:rsid w:val="0086459E"/>
    <w:rsid w:val="008B46CB"/>
    <w:rsid w:val="009417D8"/>
    <w:rsid w:val="00A82949"/>
    <w:rsid w:val="00A927C9"/>
    <w:rsid w:val="00AF292D"/>
    <w:rsid w:val="00B10DF3"/>
    <w:rsid w:val="00B413E3"/>
    <w:rsid w:val="00B41558"/>
    <w:rsid w:val="00B9675D"/>
    <w:rsid w:val="00BD47F2"/>
    <w:rsid w:val="00BE1BAC"/>
    <w:rsid w:val="00C1632C"/>
    <w:rsid w:val="00C95538"/>
    <w:rsid w:val="00CE4CCC"/>
    <w:rsid w:val="00D63FB5"/>
    <w:rsid w:val="00DF0BEE"/>
    <w:rsid w:val="00E159EB"/>
    <w:rsid w:val="00E372B2"/>
    <w:rsid w:val="00ED3AAA"/>
    <w:rsid w:val="00ED6276"/>
    <w:rsid w:val="00F05DA9"/>
    <w:rsid w:val="00F32A43"/>
    <w:rsid w:val="00F5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FE52"/>
  <w15:chartTrackingRefBased/>
  <w15:docId w15:val="{B129336D-1CFB-424A-B218-224ECC25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2025-09-19T13:01:00Z</dcterms:created>
  <dcterms:modified xsi:type="dcterms:W3CDTF">2025-09-19T13:08:00Z</dcterms:modified>
</cp:coreProperties>
</file>