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yle11"/>
        <w:tabs>
          <w:tab w:val="left" w:pos="0"/>
          <w:tab w:val="left" w:pos="851"/>
          <w:tab w:val="left" w:pos="1418"/>
        </w:tabs>
        <w:spacing w:before="120" w:after="120" w:line="264" w:lineRule="auto"/>
        <w:ind w:firstLine="567"/>
        <w:jc w:val="center"/>
        <w:rPr>
          <w:b/>
          <w:sz w:val="28"/>
          <w:szCs w:val="28"/>
          <w:lang w:val="vi-VN"/>
        </w:rPr>
      </w:pPr>
      <w:r>
        <w:rPr>
          <w:sz w:val="28"/>
          <w:szCs w:val="28"/>
          <w:lang w:val="nl-NL"/>
        </w:rPr>
        <w:t xml:space="preserve"> </w:t>
      </w:r>
      <w:r>
        <w:rPr>
          <w:b/>
          <w:sz w:val="28"/>
          <w:szCs w:val="28"/>
          <w:lang w:val="vi-VN"/>
        </w:rPr>
        <w:t>Chương V. YÊU CẦU VỀ KỸ THUẬT</w:t>
      </w:r>
    </w:p>
    <w:p>
      <w:pPr>
        <w:pStyle w:val="Style11"/>
        <w:tabs>
          <w:tab w:val="left" w:pos="0"/>
          <w:tab w:val="left" w:pos="851"/>
          <w:tab w:val="left" w:pos="1418"/>
        </w:tabs>
        <w:spacing w:before="120" w:after="120" w:line="264" w:lineRule="auto"/>
        <w:ind w:firstLine="567"/>
        <w:jc w:val="center"/>
        <w:rPr>
          <w:b/>
          <w:sz w:val="28"/>
          <w:szCs w:val="28"/>
          <w:lang w:val="vi-VN"/>
        </w:rPr>
      </w:pPr>
    </w:p>
    <w:p>
      <w:pPr>
        <w:tabs>
          <w:tab w:val="left" w:pos="1418"/>
        </w:tabs>
        <w:spacing w:before="120" w:after="120" w:line="264" w:lineRule="auto"/>
        <w:ind w:firstLine="709"/>
        <w:rPr>
          <w:rFonts w:ascii="Times New Roman" w:hAnsi="Times New Roman" w:cs="Times New Roman"/>
          <w:b/>
          <w:sz w:val="28"/>
          <w:szCs w:val="28"/>
          <w:lang w:val="vi-VN"/>
        </w:rPr>
      </w:pPr>
      <w:r>
        <w:rPr>
          <w:rFonts w:ascii="Times New Roman" w:hAnsi="Times New Roman" w:cs="Times New Roman"/>
          <w:b/>
          <w:sz w:val="28"/>
          <w:szCs w:val="28"/>
          <w:lang w:val="vi-VN"/>
        </w:rPr>
        <w:t>I. Giới thiệu về gói thầu</w:t>
      </w:r>
    </w:p>
    <w:p>
      <w:pPr>
        <w:widowControl w:val="0"/>
        <w:autoSpaceDE w:val="0"/>
        <w:autoSpaceDN w:val="0"/>
        <w:spacing w:before="120"/>
        <w:ind w:firstLine="709"/>
        <w:rPr>
          <w:rFonts w:ascii="Times New Roman" w:hAnsi="Times New Roman" w:cs="Times New Roman"/>
          <w:b/>
          <w:i/>
          <w:sz w:val="28"/>
          <w:szCs w:val="28"/>
        </w:rPr>
      </w:pPr>
      <w:r>
        <w:rPr>
          <w:rFonts w:ascii="Times New Roman" w:hAnsi="Times New Roman" w:cs="Times New Roman"/>
          <w:b/>
          <w:i/>
          <w:sz w:val="28"/>
          <w:szCs w:val="28"/>
        </w:rPr>
        <w:t>1. Khái quát về dự án và gói thầu:</w:t>
      </w:r>
    </w:p>
    <w:p>
      <w:pPr>
        <w:widowControl w:val="0"/>
        <w:autoSpaceDE w:val="0"/>
        <w:autoSpaceDN w:val="0"/>
        <w:spacing w:before="120"/>
        <w:ind w:firstLine="709"/>
        <w:rPr>
          <w:rFonts w:ascii="Times New Roman" w:hAnsi="Times New Roman" w:cs="Times New Roman"/>
          <w:i/>
          <w:sz w:val="28"/>
          <w:szCs w:val="28"/>
        </w:rPr>
      </w:pPr>
      <w:r>
        <w:rPr>
          <w:rFonts w:ascii="Times New Roman" w:hAnsi="Times New Roman" w:cs="Times New Roman"/>
          <w:i/>
          <w:sz w:val="28"/>
          <w:szCs w:val="28"/>
        </w:rPr>
        <w:t>a) Khái quát về dự án: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Tên dự án: Lắp dựng bục sân khấu, nền sàn, trải thảm, lắp cửa đi phòng Hội trường nhà 5 tầng, Trung tâm Y tế khu vực Thanh Sơn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Chủ đầu tư: </w:t>
      </w:r>
      <w:r>
        <w:rPr>
          <w:rFonts w:ascii="Times New Roman" w:hAnsi="Times New Roman" w:cs="Times New Roman"/>
          <w:sz w:val="28"/>
          <w:szCs w:val="28"/>
          <w:lang w:val="nl-NL"/>
        </w:rPr>
        <w:t>Trung tâm y tế khu vực Thanh Sơn.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Mục tiêu đầu tư: (Chi tiết theo hồ sơ Báo cáo Kinh tế - kỹ thuật công trình được phê duyệt)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Địa điểm xây dựng: Xã Thanh Sơn, tỉnh Phú Thọ .</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Nguồn vốn đầu tư: </w:t>
      </w:r>
      <w:r>
        <w:rPr>
          <w:rFonts w:ascii="Times New Roman" w:hAnsi="Times New Roman" w:cs="Times New Roman"/>
          <w:sz w:val="28"/>
          <w:szCs w:val="28"/>
          <w:lang w:val="es-ES"/>
        </w:rPr>
        <w:t>Sử dụng kinh phí chi thường xuyên và các nguồn vốn hợp pháp khác.</w:t>
      </w:r>
    </w:p>
    <w:p>
      <w:pPr>
        <w:spacing w:before="60" w:after="60" w:line="312" w:lineRule="auto"/>
        <w:ind w:right="-142"/>
        <w:rPr>
          <w:rFonts w:ascii="Times New Roman" w:hAnsi="Times New Roman" w:cs="Times New Roman"/>
          <w:i/>
          <w:iCs/>
          <w:sz w:val="28"/>
          <w:szCs w:val="28"/>
          <w:lang w:val="nb-NO"/>
        </w:rPr>
      </w:pPr>
      <w:r>
        <w:rPr>
          <w:rFonts w:ascii="Times New Roman" w:hAnsi="Times New Roman" w:cs="Times New Roman"/>
          <w:sz w:val="28"/>
          <w:szCs w:val="28"/>
        </w:rPr>
        <w:t xml:space="preserve">- Tổng mức đầu tư: </w:t>
      </w:r>
      <w:r>
        <w:rPr>
          <w:rFonts w:ascii="Times New Roman" w:hAnsi="Times New Roman" w:cs="Times New Roman"/>
          <w:b/>
          <w:bCs/>
          <w:color w:val="000000"/>
          <w:sz w:val="28"/>
          <w:szCs w:val="28"/>
          <w:lang w:val="nb-NO"/>
        </w:rPr>
        <w:t xml:space="preserve">498.804.316 đồng </w:t>
      </w:r>
      <w:r>
        <w:rPr>
          <w:rFonts w:ascii="Times New Roman" w:hAnsi="Times New Roman" w:cs="Times New Roman"/>
          <w:i/>
          <w:iCs/>
          <w:sz w:val="28"/>
          <w:szCs w:val="28"/>
          <w:lang w:val="nb-NO"/>
        </w:rPr>
        <w:t xml:space="preserve">(Bằng chữ: </w:t>
      </w:r>
      <w:r>
        <w:rPr>
          <w:rFonts w:ascii="Times New Roman" w:hAnsi="Times New Roman" w:cs="Times New Roman"/>
          <w:i/>
          <w:iCs/>
          <w:color w:val="000000"/>
          <w:sz w:val="28"/>
          <w:szCs w:val="28"/>
          <w:lang w:val="nb-NO"/>
        </w:rPr>
        <w:t>Bốn trăm chín mươi tám triệu tám trăm linh tư nghìn ba trăm mười sáu đồng).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Thời gian thực hiện: Qúy III, IV Năm 2025.</w:t>
      </w:r>
    </w:p>
    <w:p>
      <w:pPr>
        <w:widowControl w:val="0"/>
        <w:tabs>
          <w:tab w:val="left" w:pos="1418"/>
        </w:tabs>
        <w:spacing w:before="120" w:after="120" w:line="264" w:lineRule="auto"/>
        <w:ind w:firstLine="709"/>
        <w:rPr>
          <w:rFonts w:ascii="Times New Roman" w:hAnsi="Times New Roman" w:cs="Times New Roman"/>
          <w:sz w:val="28"/>
          <w:szCs w:val="28"/>
          <w:lang w:val="vi-VN"/>
        </w:rPr>
      </w:pPr>
      <w:r>
        <w:rPr>
          <w:rFonts w:ascii="Times New Roman" w:hAnsi="Times New Roman" w:cs="Times New Roman"/>
          <w:b/>
          <w:i/>
          <w:sz w:val="28"/>
          <w:szCs w:val="28"/>
        </w:rPr>
        <w:t xml:space="preserve">* Nội dung và quy mô đầu tư xây dựng: </w:t>
      </w:r>
      <w:r>
        <w:rPr>
          <w:rFonts w:ascii="Times New Roman" w:hAnsi="Times New Roman" w:cs="Times New Roman"/>
          <w:i/>
          <w:sz w:val="28"/>
          <w:szCs w:val="28"/>
        </w:rPr>
        <w:t>Theo hồ sơ thiết kế được duyệt.</w:t>
      </w:r>
    </w:p>
    <w:p>
      <w:pPr>
        <w:widowControl w:val="0"/>
        <w:autoSpaceDE w:val="0"/>
        <w:autoSpaceDN w:val="0"/>
        <w:spacing w:before="120"/>
        <w:ind w:firstLine="709"/>
        <w:rPr>
          <w:rFonts w:ascii="Times New Roman" w:hAnsi="Times New Roman" w:cs="Times New Roman"/>
          <w:b/>
          <w:i/>
          <w:sz w:val="28"/>
          <w:szCs w:val="28"/>
        </w:rPr>
      </w:pPr>
      <w:r>
        <w:rPr>
          <w:rFonts w:ascii="Times New Roman" w:hAnsi="Times New Roman" w:cs="Times New Roman"/>
          <w:b/>
          <w:i/>
          <w:sz w:val="28"/>
          <w:szCs w:val="28"/>
        </w:rPr>
        <w:t>2. Phạm vi công việc của gói thầu: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Thực hiện </w:t>
      </w:r>
      <w:r>
        <w:rPr>
          <w:rFonts w:ascii="Times New Roman" w:hAnsi="Times New Roman" w:cs="Times New Roman"/>
          <w:sz w:val="28"/>
          <w:szCs w:val="28"/>
          <w:lang w:val="en"/>
        </w:rPr>
        <w:t>Gói thầu số 04: Thi công xây dựng công trình</w:t>
      </w:r>
      <w:r>
        <w:rPr>
          <w:rFonts w:ascii="Times New Roman" w:hAnsi="Times New Roman" w:cs="Times New Roman"/>
          <w:sz w:val="28"/>
          <w:szCs w:val="28"/>
        </w:rPr>
        <w:t xml:space="preserve"> theo đúng hồ sơ thiết kế bản vẽ thi công đã được duyệt và tuân thủ theo các quy định hiện hành.</w:t>
      </w:r>
    </w:p>
    <w:p>
      <w:pPr>
        <w:widowControl w:val="0"/>
        <w:tabs>
          <w:tab w:val="left" w:pos="1418"/>
        </w:tabs>
        <w:spacing w:before="120" w:after="120" w:line="264" w:lineRule="auto"/>
        <w:ind w:firstLine="709"/>
        <w:rPr>
          <w:rFonts w:ascii="Times New Roman" w:hAnsi="Times New Roman" w:cs="Times New Roman"/>
          <w:b/>
          <w:sz w:val="28"/>
          <w:szCs w:val="28"/>
          <w:lang w:val="vi-VN"/>
        </w:rPr>
      </w:pPr>
      <w:r>
        <w:rPr>
          <w:rFonts w:ascii="Times New Roman" w:hAnsi="Times New Roman" w:cs="Times New Roman"/>
          <w:b/>
          <w:i/>
          <w:sz w:val="28"/>
          <w:szCs w:val="28"/>
        </w:rPr>
        <w:t>3. Thời hạn hoàn</w:t>
      </w:r>
      <w:r>
        <w:rPr>
          <w:rFonts w:ascii="Times New Roman" w:hAnsi="Times New Roman" w:cs="Times New Roman"/>
          <w:b/>
          <w:i/>
          <w:spacing w:val="-1"/>
          <w:sz w:val="28"/>
          <w:szCs w:val="28"/>
        </w:rPr>
        <w:t xml:space="preserve"> </w:t>
      </w:r>
      <w:r>
        <w:rPr>
          <w:rFonts w:ascii="Times New Roman" w:hAnsi="Times New Roman" w:cs="Times New Roman"/>
          <w:b/>
          <w:i/>
          <w:sz w:val="28"/>
          <w:szCs w:val="28"/>
        </w:rPr>
        <w:t>thành:</w:t>
      </w:r>
      <w:r>
        <w:rPr>
          <w:rFonts w:ascii="Times New Roman" w:hAnsi="Times New Roman" w:cs="Times New Roman"/>
          <w:sz w:val="28"/>
          <w:szCs w:val="28"/>
        </w:rPr>
        <w:t xml:space="preserve"> </w:t>
      </w:r>
      <w:r>
        <w:rPr>
          <w:rFonts w:ascii="Times New Roman" w:hAnsi="Times New Roman" w:cs="Times New Roman"/>
          <w:b/>
          <w:sz w:val="28"/>
          <w:szCs w:val="28"/>
        </w:rPr>
        <w:t>30 ngày</w:t>
      </w:r>
    </w:p>
    <w:p>
      <w:pPr>
        <w:widowControl w:val="0"/>
        <w:tabs>
          <w:tab w:val="left" w:pos="700"/>
          <w:tab w:val="left" w:pos="1418"/>
        </w:tabs>
        <w:spacing w:before="120" w:after="120" w:line="264" w:lineRule="auto"/>
        <w:ind w:firstLine="709"/>
        <w:rPr>
          <w:rFonts w:ascii="Times New Roman" w:hAnsi="Times New Roman" w:cs="Times New Roman"/>
          <w:b/>
          <w:bCs/>
          <w:sz w:val="28"/>
          <w:szCs w:val="28"/>
        </w:rPr>
      </w:pPr>
      <w:r>
        <w:rPr>
          <w:rFonts w:ascii="Times New Roman" w:hAnsi="Times New Roman" w:cs="Times New Roman"/>
          <w:b/>
          <w:bCs/>
          <w:sz w:val="28"/>
          <w:szCs w:val="28"/>
        </w:rPr>
        <w:t>II. Yêu cầu về kỹ thuật/chỉ dẫn kỹ thuật</w:t>
      </w:r>
    </w:p>
    <w:p>
      <w:pPr>
        <w:widowControl w:val="0"/>
        <w:autoSpaceDE w:val="0"/>
        <w:autoSpaceDN w:val="0"/>
        <w:spacing w:before="120"/>
        <w:ind w:firstLine="709"/>
        <w:rPr>
          <w:rFonts w:ascii="Times New Roman" w:hAnsi="Times New Roman" w:cs="Times New Roman"/>
          <w:sz w:val="28"/>
          <w:szCs w:val="28"/>
        </w:rPr>
      </w:pPr>
      <w:bookmarkStart w:id="0" w:name="_Hlk163114159"/>
      <w:r>
        <w:rPr>
          <w:rFonts w:ascii="Times New Roman" w:hAnsi="Times New Roman" w:cs="Times New Roman"/>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Yêu cầu về mặt kỹ thuật/chỉ dẫn kỹ thuật bao gồm các nội dung chủ yếu sau:</w:t>
      </w:r>
    </w:p>
    <w:p>
      <w:pPr>
        <w:widowControl w:val="0"/>
        <w:autoSpaceDE w:val="0"/>
        <w:autoSpaceDN w:val="0"/>
        <w:spacing w:before="120" w:after="120"/>
        <w:ind w:firstLine="709"/>
        <w:rPr>
          <w:rFonts w:ascii="Times New Roman" w:hAnsi="Times New Roman" w:cs="Times New Roman"/>
          <w:b/>
          <w:sz w:val="28"/>
          <w:szCs w:val="28"/>
        </w:rPr>
      </w:pPr>
      <w:r>
        <w:rPr>
          <w:rFonts w:ascii="Times New Roman" w:hAnsi="Times New Roman" w:cs="Times New Roman"/>
          <w:b/>
          <w:sz w:val="28"/>
          <w:szCs w:val="28"/>
        </w:rPr>
        <w:t>1. Quy trình, quy phạm áp dụng cho việc thi công, nghiệm thu công trình:</w:t>
      </w:r>
    </w:p>
    <w:tbl>
      <w:tblPr>
        <w:tblW w:w="48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8"/>
        <w:gridCol w:w="6212"/>
        <w:gridCol w:w="2238"/>
      </w:tblGrid>
      <w:tr>
        <w:trPr>
          <w:trHeight w:val="594"/>
          <w:jc w:val="center"/>
        </w:trPr>
        <w:tc>
          <w:tcPr>
            <w:tcW w:w="341" w:type="pct"/>
          </w:tcPr>
          <w:p>
            <w:pPr>
              <w:pStyle w:val="TableParagraph"/>
              <w:spacing w:before="146"/>
              <w:ind w:left="84" w:right="75" w:firstLine="53"/>
              <w:rPr>
                <w:b/>
                <w:sz w:val="28"/>
                <w:szCs w:val="28"/>
              </w:rPr>
            </w:pPr>
            <w:r>
              <w:rPr>
                <w:b/>
                <w:sz w:val="28"/>
                <w:szCs w:val="28"/>
              </w:rPr>
              <w:lastRenderedPageBreak/>
              <w:t>TT</w:t>
            </w:r>
          </w:p>
        </w:tc>
        <w:tc>
          <w:tcPr>
            <w:tcW w:w="3425" w:type="pct"/>
          </w:tcPr>
          <w:p>
            <w:pPr>
              <w:pStyle w:val="TableParagraph"/>
              <w:spacing w:before="146"/>
              <w:ind w:firstLine="6"/>
              <w:jc w:val="center"/>
              <w:rPr>
                <w:b/>
                <w:sz w:val="28"/>
                <w:szCs w:val="28"/>
              </w:rPr>
            </w:pPr>
            <w:r>
              <w:rPr>
                <w:b/>
                <w:sz w:val="28"/>
                <w:szCs w:val="28"/>
              </w:rPr>
              <w:t>Loại công tác</w:t>
            </w:r>
          </w:p>
        </w:tc>
        <w:tc>
          <w:tcPr>
            <w:tcW w:w="1234" w:type="pct"/>
          </w:tcPr>
          <w:p>
            <w:pPr>
              <w:pStyle w:val="TableParagraph"/>
              <w:spacing w:before="1" w:line="298" w:lineRule="exact"/>
              <w:ind w:right="171" w:firstLine="77"/>
              <w:jc w:val="center"/>
              <w:rPr>
                <w:b/>
                <w:sz w:val="28"/>
                <w:szCs w:val="28"/>
              </w:rPr>
            </w:pPr>
            <w:r>
              <w:rPr>
                <w:b/>
                <w:sz w:val="28"/>
                <w:szCs w:val="28"/>
              </w:rPr>
              <w:t>Quy chuẩn, tiêu chuẩn</w:t>
            </w:r>
          </w:p>
        </w:tc>
      </w:tr>
      <w:tr>
        <w:trPr>
          <w:trHeight w:val="378"/>
          <w:jc w:val="center"/>
        </w:trPr>
        <w:tc>
          <w:tcPr>
            <w:tcW w:w="341" w:type="pct"/>
          </w:tcPr>
          <w:p>
            <w:pPr>
              <w:pStyle w:val="TableParagraph"/>
              <w:spacing w:line="294" w:lineRule="exact"/>
              <w:ind w:left="84" w:firstLine="53"/>
              <w:rPr>
                <w:sz w:val="28"/>
                <w:szCs w:val="28"/>
              </w:rPr>
            </w:pPr>
            <w:r>
              <w:rPr>
                <w:w w:val="99"/>
                <w:sz w:val="28"/>
                <w:szCs w:val="28"/>
              </w:rPr>
              <w:t>1</w:t>
            </w:r>
          </w:p>
        </w:tc>
        <w:tc>
          <w:tcPr>
            <w:tcW w:w="3425" w:type="pct"/>
          </w:tcPr>
          <w:p>
            <w:pPr>
              <w:pStyle w:val="TableParagraph"/>
              <w:spacing w:line="294" w:lineRule="exact"/>
              <w:jc w:val="both"/>
              <w:rPr>
                <w:sz w:val="28"/>
                <w:szCs w:val="28"/>
              </w:rPr>
            </w:pPr>
            <w:r>
              <w:rPr>
                <w:sz w:val="28"/>
                <w:szCs w:val="28"/>
              </w:rPr>
              <w:t>Về nghiệm thu thiết bị đã lắp đặt xong - Nguyên tắc cơ bản</w:t>
            </w:r>
          </w:p>
        </w:tc>
        <w:tc>
          <w:tcPr>
            <w:tcW w:w="1234" w:type="pct"/>
          </w:tcPr>
          <w:p>
            <w:pPr>
              <w:pStyle w:val="TableParagraph"/>
              <w:spacing w:line="294" w:lineRule="exact"/>
              <w:jc w:val="both"/>
              <w:rPr>
                <w:sz w:val="28"/>
                <w:szCs w:val="28"/>
              </w:rPr>
            </w:pPr>
            <w:r>
              <w:rPr>
                <w:sz w:val="28"/>
                <w:szCs w:val="28"/>
              </w:rPr>
              <w:t xml:space="preserve">TCVN 5639:1991 </w:t>
            </w:r>
          </w:p>
        </w:tc>
      </w:tr>
      <w:tr>
        <w:trPr>
          <w:trHeight w:val="378"/>
          <w:jc w:val="center"/>
        </w:trPr>
        <w:tc>
          <w:tcPr>
            <w:tcW w:w="341" w:type="pct"/>
          </w:tcPr>
          <w:p>
            <w:pPr>
              <w:pStyle w:val="TableParagraph"/>
              <w:spacing w:line="294" w:lineRule="exact"/>
              <w:ind w:left="84" w:firstLine="53"/>
              <w:rPr>
                <w:w w:val="99"/>
                <w:sz w:val="28"/>
                <w:szCs w:val="28"/>
              </w:rPr>
            </w:pPr>
            <w:r>
              <w:rPr>
                <w:w w:val="99"/>
                <w:sz w:val="28"/>
                <w:szCs w:val="28"/>
              </w:rPr>
              <w:t>2</w:t>
            </w:r>
          </w:p>
        </w:tc>
        <w:tc>
          <w:tcPr>
            <w:tcW w:w="3425" w:type="pct"/>
          </w:tcPr>
          <w:p>
            <w:pPr>
              <w:pStyle w:val="TableParagraph"/>
              <w:spacing w:line="294" w:lineRule="exact"/>
              <w:jc w:val="both"/>
              <w:rPr>
                <w:sz w:val="28"/>
                <w:szCs w:val="28"/>
              </w:rPr>
            </w:pPr>
            <w:r>
              <w:rPr>
                <w:sz w:val="28"/>
                <w:szCs w:val="28"/>
              </w:rPr>
              <w:t xml:space="preserve">Thép cacbon tấm mỏng chất lượng kết cấu mạ kẽm và hợp kim kẽm - sắt nhúng nóng lỉên tục </w:t>
            </w:r>
          </w:p>
        </w:tc>
        <w:tc>
          <w:tcPr>
            <w:tcW w:w="1234" w:type="pct"/>
          </w:tcPr>
          <w:p>
            <w:pPr>
              <w:pStyle w:val="TableParagraph"/>
              <w:spacing w:line="294" w:lineRule="exact"/>
              <w:jc w:val="both"/>
              <w:rPr>
                <w:sz w:val="28"/>
                <w:szCs w:val="28"/>
              </w:rPr>
            </w:pPr>
            <w:r>
              <w:rPr>
                <w:sz w:val="28"/>
                <w:szCs w:val="28"/>
              </w:rPr>
              <w:t>TCVN 6525:2018</w:t>
            </w:r>
          </w:p>
        </w:tc>
      </w:tr>
      <w:tr>
        <w:trPr>
          <w:trHeight w:val="378"/>
          <w:jc w:val="center"/>
        </w:trPr>
        <w:tc>
          <w:tcPr>
            <w:tcW w:w="341" w:type="pct"/>
          </w:tcPr>
          <w:p>
            <w:pPr>
              <w:pStyle w:val="TableParagraph"/>
              <w:spacing w:line="294" w:lineRule="exact"/>
              <w:ind w:left="84" w:firstLine="53"/>
              <w:rPr>
                <w:w w:val="99"/>
                <w:sz w:val="28"/>
                <w:szCs w:val="28"/>
              </w:rPr>
            </w:pPr>
            <w:r>
              <w:rPr>
                <w:w w:val="99"/>
                <w:sz w:val="28"/>
                <w:szCs w:val="28"/>
              </w:rPr>
              <w:t>3</w:t>
            </w:r>
          </w:p>
        </w:tc>
        <w:tc>
          <w:tcPr>
            <w:tcW w:w="3425" w:type="pct"/>
          </w:tcPr>
          <w:p>
            <w:pPr>
              <w:pStyle w:val="TableParagraph"/>
              <w:spacing w:line="294" w:lineRule="exact"/>
              <w:jc w:val="both"/>
              <w:rPr>
                <w:sz w:val="28"/>
                <w:szCs w:val="28"/>
              </w:rPr>
            </w:pPr>
            <w:r>
              <w:rPr>
                <w:sz w:val="28"/>
                <w:szCs w:val="28"/>
              </w:rPr>
              <w:t>Đồ gỗ nội thất – Yêu cầu kỹ thuật</w:t>
            </w:r>
          </w:p>
        </w:tc>
        <w:tc>
          <w:tcPr>
            <w:tcW w:w="1234" w:type="pct"/>
          </w:tcPr>
          <w:p>
            <w:pPr>
              <w:pStyle w:val="TableParagraph"/>
              <w:spacing w:line="294" w:lineRule="exact"/>
              <w:jc w:val="both"/>
              <w:rPr>
                <w:sz w:val="28"/>
                <w:szCs w:val="28"/>
              </w:rPr>
            </w:pPr>
            <w:r>
              <w:rPr>
                <w:sz w:val="28"/>
                <w:szCs w:val="28"/>
              </w:rPr>
              <w:t>TCVN 5373:2020</w:t>
            </w:r>
          </w:p>
        </w:tc>
      </w:tr>
      <w:tr>
        <w:trPr>
          <w:trHeight w:val="378"/>
          <w:jc w:val="center"/>
        </w:trPr>
        <w:tc>
          <w:tcPr>
            <w:tcW w:w="341" w:type="pct"/>
          </w:tcPr>
          <w:p>
            <w:pPr>
              <w:pStyle w:val="TableParagraph"/>
              <w:spacing w:line="294" w:lineRule="exact"/>
              <w:ind w:left="84" w:firstLine="53"/>
              <w:rPr>
                <w:w w:val="99"/>
                <w:sz w:val="28"/>
                <w:szCs w:val="28"/>
              </w:rPr>
            </w:pPr>
            <w:r>
              <w:rPr>
                <w:w w:val="99"/>
                <w:sz w:val="28"/>
                <w:szCs w:val="28"/>
              </w:rPr>
              <w:t>4</w:t>
            </w:r>
          </w:p>
        </w:tc>
        <w:tc>
          <w:tcPr>
            <w:tcW w:w="3425" w:type="pct"/>
          </w:tcPr>
          <w:p>
            <w:pPr>
              <w:pStyle w:val="TableParagraph"/>
              <w:spacing w:line="294" w:lineRule="exact"/>
              <w:jc w:val="both"/>
              <w:rPr>
                <w:sz w:val="28"/>
                <w:szCs w:val="28"/>
              </w:rPr>
            </w:pPr>
            <w:r>
              <w:rPr>
                <w:sz w:val="28"/>
                <w:szCs w:val="28"/>
              </w:rPr>
              <w:t>Cửa đi cửa sổ - Phần 2: Cửa kim loại</w:t>
            </w:r>
          </w:p>
        </w:tc>
        <w:tc>
          <w:tcPr>
            <w:tcW w:w="1234" w:type="pct"/>
          </w:tcPr>
          <w:p>
            <w:pPr>
              <w:pStyle w:val="TableParagraph"/>
              <w:spacing w:line="294" w:lineRule="exact"/>
              <w:jc w:val="both"/>
              <w:rPr>
                <w:sz w:val="28"/>
                <w:szCs w:val="28"/>
              </w:rPr>
            </w:pPr>
            <w:r>
              <w:rPr>
                <w:sz w:val="28"/>
                <w:szCs w:val="28"/>
              </w:rPr>
              <w:t>TCVN 9366-2:2012</w:t>
            </w:r>
          </w:p>
        </w:tc>
      </w:tr>
      <w:tr>
        <w:trPr>
          <w:trHeight w:val="378"/>
          <w:jc w:val="center"/>
        </w:trPr>
        <w:tc>
          <w:tcPr>
            <w:tcW w:w="341" w:type="pct"/>
          </w:tcPr>
          <w:p>
            <w:pPr>
              <w:pStyle w:val="TableParagraph"/>
              <w:spacing w:line="294" w:lineRule="exact"/>
              <w:ind w:left="84" w:firstLine="53"/>
              <w:rPr>
                <w:w w:val="99"/>
                <w:sz w:val="28"/>
                <w:szCs w:val="28"/>
              </w:rPr>
            </w:pPr>
            <w:r>
              <w:rPr>
                <w:w w:val="99"/>
                <w:sz w:val="28"/>
                <w:szCs w:val="28"/>
              </w:rPr>
              <w:t>5</w:t>
            </w:r>
          </w:p>
        </w:tc>
        <w:tc>
          <w:tcPr>
            <w:tcW w:w="3425" w:type="pct"/>
          </w:tcPr>
          <w:p>
            <w:pPr>
              <w:pStyle w:val="TableParagraph"/>
              <w:spacing w:line="294" w:lineRule="exact"/>
              <w:jc w:val="both"/>
              <w:rPr>
                <w:sz w:val="28"/>
                <w:szCs w:val="28"/>
              </w:rPr>
            </w:pPr>
            <w:r>
              <w:rPr>
                <w:sz w:val="28"/>
                <w:szCs w:val="28"/>
              </w:rPr>
              <w:t>Hoàn thiện mặt bằng xây dựng. Quy phạm thi công và nghiệm thu</w:t>
            </w:r>
          </w:p>
        </w:tc>
        <w:tc>
          <w:tcPr>
            <w:tcW w:w="1234" w:type="pct"/>
          </w:tcPr>
          <w:p>
            <w:pPr>
              <w:pStyle w:val="TableParagraph"/>
              <w:jc w:val="both"/>
              <w:rPr>
                <w:sz w:val="28"/>
                <w:szCs w:val="28"/>
              </w:rPr>
            </w:pPr>
            <w:r>
              <w:rPr>
                <w:sz w:val="28"/>
                <w:szCs w:val="28"/>
              </w:rPr>
              <w:t>TCVN 4518 : 1988</w:t>
            </w:r>
          </w:p>
        </w:tc>
      </w:tr>
      <w:tr>
        <w:trPr>
          <w:trHeight w:val="378"/>
          <w:jc w:val="center"/>
        </w:trPr>
        <w:tc>
          <w:tcPr>
            <w:tcW w:w="341" w:type="pct"/>
          </w:tcPr>
          <w:p>
            <w:pPr>
              <w:pStyle w:val="TableParagraph"/>
              <w:spacing w:line="294" w:lineRule="exact"/>
              <w:ind w:left="84" w:firstLine="53"/>
              <w:rPr>
                <w:w w:val="99"/>
                <w:sz w:val="28"/>
                <w:szCs w:val="28"/>
              </w:rPr>
            </w:pPr>
            <w:r>
              <w:rPr>
                <w:w w:val="99"/>
                <w:sz w:val="28"/>
                <w:szCs w:val="28"/>
              </w:rPr>
              <w:t>6</w:t>
            </w:r>
          </w:p>
        </w:tc>
        <w:tc>
          <w:tcPr>
            <w:tcW w:w="3425" w:type="pct"/>
          </w:tcPr>
          <w:p>
            <w:pPr>
              <w:pStyle w:val="TableParagraph"/>
              <w:spacing w:line="294" w:lineRule="exact"/>
              <w:jc w:val="both"/>
              <w:rPr>
                <w:sz w:val="28"/>
                <w:szCs w:val="28"/>
              </w:rPr>
            </w:pPr>
            <w:r>
              <w:rPr>
                <w:sz w:val="28"/>
                <w:szCs w:val="28"/>
              </w:rPr>
              <w:t>Và các tiêu chuẩn quy phạm hiện hành</w:t>
            </w:r>
          </w:p>
        </w:tc>
        <w:tc>
          <w:tcPr>
            <w:tcW w:w="1234" w:type="pct"/>
          </w:tcPr>
          <w:p>
            <w:pPr>
              <w:pStyle w:val="TableParagraph"/>
              <w:spacing w:line="294" w:lineRule="exact"/>
              <w:jc w:val="both"/>
              <w:rPr>
                <w:sz w:val="28"/>
                <w:szCs w:val="28"/>
              </w:rPr>
            </w:pPr>
          </w:p>
        </w:tc>
      </w:tr>
    </w:tbl>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2. Các yêu cầu về tổ chức kỹ thuật thi công, giám sát: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Thực hiện và tuân thủ đầy đủ theo các quy định của Nghị định số 06/2021/NĐ-CP ngày 26/01/2021 của Chính phủ quy định chi tiết một số nội dung về quản lý chất lượng, thi công xây dựng và bảo trì công trình xây dựng và các qui định hiện hành của nhà nước.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a. Yêu cầu về tổ chức kỹ thuật thi công: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HSDT;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Có trách nhiệm phối hợp với các nhà thầu khác [Cùng được bên mời thầu mời thi công các phần việc khác của công trình (nếu có)] để giải quyết những vấn đề liên quan khi cần thiết;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Tổ chức thi công công trình theo đúng tiến độ đã đề ra;</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Trong quá trình thi công nhà thầu phải tuân thủ đúng quy định Quản lý đầu tư và xây dựng, các tiêu chuẩn yêu cầu kỹ thuật của hồ sơ thiết kế, các quy trình, </w:t>
      </w:r>
      <w:r>
        <w:rPr>
          <w:rFonts w:ascii="Times New Roman" w:hAnsi="Times New Roman" w:cs="Times New Roman"/>
          <w:sz w:val="28"/>
          <w:szCs w:val="28"/>
        </w:rPr>
        <w:lastRenderedPageBreak/>
        <w:t>quy phạm xây dựng, các tiêu chí đã nêu trong HSDT và những điều kiện chung và điều kiện cụ thể phù hợp với công trình nhằm đảm bảo thi công công trình đúng thiết kế được duyệt với chất lượng cao nhất;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Hồ sơ hoàn công do nhà thầu lập phải tuân thủ theo các tiêu chuẩn quy phạm hiện hành và được chủ đầu tư chấp nhận;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có trách nhiệm bảo hành công trình theo quy định hiện hành của Nhà nước.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b. Yêu cầu về giám sát: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Nếu công tác thi công không đảm bảo các yêu cầu về kỹ thuật, chất lượng, làm trái quy trình, quy phạm, không đúng các chỉ tiêu trong hồ sơ thiết kế và HSDT thì nhà thầu phải làm lại. Chi phí cho việc làm lại nhà thầu phải chịu, thời gian làm lại không được tính vào tiến độ thi công mà nhà thầu đã lập;</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3. Các yêu cầu về chủng loại, chất lượng vật tư, thiết bị (kèm theo các tiêu chuẩn về phương pháp thử):</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Tất cả các vật liệu của nhà thầu sử dụng để thi công phải xác định rõ nguồn gốc cung cấp, chất lượng, chủng loại vật tư, vật liệu và phải đạt tiêu chuẩn Việt </w:t>
      </w:r>
      <w:r>
        <w:rPr>
          <w:rFonts w:ascii="Times New Roman" w:hAnsi="Times New Roman" w:cs="Times New Roman"/>
          <w:sz w:val="28"/>
          <w:szCs w:val="28"/>
        </w:rPr>
        <w:lastRenderedPageBreak/>
        <w:t>Nam.</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Vật liệu trước khi đưa vào công trình Nhà thầu phải cung cấp tất cả các mẫu thí nghiệm vật liệu, các chứng chỉ xuất xưởng của nhà máy sản xuất..vv, cho Cán bộ giám sát của Chủ đầu tư để kiểm tra.</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Nhà thầu phải trình các bản gốc theo quy định: Chứng nhận của các nhà sản xuất, chứng nhận thử nghiệm vật liệu...chứng nhận thử nghiệm phải thích hợp từng bộ phận dùng với vật liệu gì và sẽ được chuẩn bị bằng cách có thể xác định một cách dễ dàng khi các đặc điểm kỹ thuật hay tiêu chuẩn hoàn chỉnh.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Yêu cầu tất cả các loại vật liệu, thiết bị mà nhà thầu dự thầu, sử dụng thi công công trình phải đúng với các chủng loại vật liệu, thiết bị trong hồ sơ dự án và đồ án thiết kế bản vẽ thi công được duyệt. Nếu nhà thầu trúng thầu thi công, xây dựng, lắp đặt không đúng các loại vật liệu, thiết bị đã nêu thì nhà thầu phải tháo bỏ và làm lại, kinh phí cho việc làm lại này nhà thầu tự chịu trách nhiệm.</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4. Các yêu cầu về trình tự thi công, lắp đặt: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Việc thi công phải theo trình tự hợp lý, đảm bảo thi công gọn gàng, rứt điểm, không gây ách tắc giao thông.</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5. Các yêu cầu về phòng, chống cháy, nổ (nếu có):</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Tuân thủ theo các quy chuẩn: An toàn nổ - Yêu cầu chung TCVN 3255-1986, an toàn cháy - Yêu cầu chung TCVN 3254 - 1989</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Thường xuyên dự trữ nước, cát, bình cứu hoả,... phòng cháy để có thể sử lý ngay khi sự cố xảy ra.</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6. Yêu cầu về vệ sinh môi trường: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lastRenderedPageBreak/>
        <w:t>Thực hiện đầy đủ trách nhiệm về công tác bảo vệ môi trường trong thi công xây dựng công trình theo quy định; đồng thời tuân thủ công tác bảo vệ môi trường theo Luật bảo vệ môi trường số 72/2020/QH14 và các quy định hiện hành khác. Trong đó nhà thầu phải tổ chức thực hiện tốt các nội dung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Đối với các tác động làm ảnh hưởng đến môi trường như: ô nhiễm không khí, tiếng ồn do vận hành máy móc tại các khu vực dân cư và vận chuyển đất, đá và nguyên vật liệu xây dựng. Lở đất, sụt lún, sụt lở, xói mòn, ngập úng và các hiện tượng trôi đất khác do quá trình thi công. Nhà thầu phải thực hiện các biện pháp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Sử dụng xe tưới nước theo định kỳ để giảm bụi.</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Làm tấm chắn ồn và bụi tạm thời.</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Không để dầu mỡ rơi vãi rò rỉ trong quá thi công.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Đề xuất xây dựng hệ thống thoát nước dọc tuyến.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Đề xuất lắp đặt hệ thống mương tưới tiêu nước tại các khu vực đi qua đồng ruộng.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Khôi phục lại thảm thực vật ngay sau khi trả lại mặt bằng.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Đối với các tác động làm ảnh hưởng đến môi trường như: vệ sinh trong các lán trại và các vị trí công trình; chất thải rắn từ quá trình xây dựng và rác thải sinh hoạt của công nhân. Nhà thầu phải thực hiện các biện pháp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Cung cấp các nhà vệ sinh lưu động tạm thời, đặt tại vị trí sẽ được lựa chọn phù hợp với cảnh quan của khu vực.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Đặt các thùng chứa rác thải sinh hoạt trong khu vực lán trại công trình.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Thu gon rác thải nguy hại vào thùng lưu giữ riêng, thuê công ty môi trường có chức năng xử lý.</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Phối hợp cùng với các tổ vệ sinh môi trường của địa phương để thực hiện việc thu gom và xử lý chất thải theo đúng quy định của nhà nước và phù hợp với thực tế địa phương.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Đối với các tác động làm ảnh hưởng đến môi trường như: làm biến đổi chế  độ thuỷ văn và ô nhiễm nước mặt. Nhà thầu phải thực hiện các biện pháp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Tổ chức thi công cuốn chiếu, để hạn chế việc cản trở dòng chảy.</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lastRenderedPageBreak/>
        <w:t>+ Thu gom một cách triệt để các dung dịch sử dụng trong quá trình thi công để không gây ảnh hưởng đến môi trường nước.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Đối với các tác động làm ảnh hưởng đến môi trường như: lan truyền các bệnh nhiễm từ công nhân tới dân địa phương và ngược lại; phát sinh nguy hiểm tại những nơi công trường đang xây dựng. Nhà thầu phải thực hiện các biện pháp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Tuyên truyền, giáo dục về ý thức thực hiện các biện pháp tránh bệnh tật.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Khám sức khoẻ định kỳ cho công nhân và điều trị khi cần thiết.</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Lắp đặt các biển cảnh báo và chỉ dẫn giao thông.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Đảm bảo hệ thống chiếu sáng tại công trường xây dựng.</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7. Các yêu cầu về an toàn lao động: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Thực hiện đầy đủ trách nhiệm về quản lý an toàn lao động trong thi công xây dựng công trình theo quy định tại Điều 4, Thông tư số 04/2017/TT-BXD ngày 30/3/2017, Chỉ thị số 02/CT-BXD ngày 20/6/2017 và Thông tư số 16/2021/TT-BXD ngày 20/12/2021 của Bộ Xây dựng của Bộ Xây dựng; trong đó phải tổ chức thực hiện tốt các nội dung sau: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Trước khi khởi công xây dựng công trình, nhà thầu tổ chức lập, trình chủ đầu tư chấp thuận kế hoạch tổng hợp về an toàn lao động; tổ chức bộ phận quản lý an toàn lao động theo quy định và tổ chức thực hiện kế hoạch tổng hợp về an toàn lao động đối với phần việc do mình thực hiện; tổ chức lập biện pháp thi công riêng, chi tiết đối với những công việc đặc thù, có nguy cơ mất an toàn lao động cao được quy định trong quy chuẩn kỹ thuật quốc gia về an toàn trong xây dựng công trình.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Tổ chức kiểm tra công tác quản lý an toàn lao động trong thi công xây dựng công trình đối với các phần việc do mình thực hiện hoặc do nhà thầu phụ thực hiện.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Tổ chức thực hiện việc kiểm định kỹ thuật an toàn đối với máy, thiết bị, vật tư có yêu cầu nghiêm ngặt về an toàn lao động sử dụng trong thi công xây dựng công trình. Chỉ đưa các máy, thiết bị, vật tư có yêu cầu nghiêm ngặt về an toàn lao động vào sử dụng tại công trường sau khi đã được kiểm định đảm bảo an toàn.</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w:t>
      </w:r>
      <w:r>
        <w:rPr>
          <w:rFonts w:ascii="Times New Roman" w:hAnsi="Times New Roman" w:cs="Times New Roman"/>
          <w:sz w:val="28"/>
          <w:szCs w:val="28"/>
        </w:rPr>
        <w:lastRenderedPageBreak/>
        <w:t>người lao động; quản lý số lượng người lao động làm việc trên công trường.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Dừng thi công xây dựng khi phát hiện nguy cơ xảy ra tai nạn lao động, sự cố gây mất an toàn lao động và có biện pháp khắc phục để đảm bảo an toàn trước khi tiếp tục thi công.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Khắc phục hậu quả tai nạn lao động, sự cố gây mất an toàn lao động xảy ra trong quá trình thi công xây dựng công trình.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Định kỳ hoặc đột xuất báo cáo chủ đầu tư về kết quả thực hiện công tác quản lý an toàn lao động trong thi công xây dựng công trình theo quy định của hợp đồng xây dựng.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Thực hiện nghiêm các quy trình, quy phạm xây dựng do cơ quan chức năng Nhà nước ban hành.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phải đăng ký cấp cứu khẩn cấp với bệnh viện gần nhất để giải quyết các sự cố về mất an toàn lao động xảy ra, trên công trường thường xuyên có y tá trực cấp cứu, sơ cứu;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Các Nhà thầu phải có cán bộ chuyên ngành chuyên trách về an toàn lao động để giám sát việc chấp hành an toàn và cán bộ hướng dẫn giao thông.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Nhà thầu phải chế độ bảo dưỡng máy móc, khám sức khoẻ định kỳ cho người lao động theo yêu cầu về an toàn lao động.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Thực hiện các nội dung khác theo quy định của pháp luật về an toàn, vệ sinh lao động.</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8. Biện pháp huy động nhân lực và thiết bị phục vụ thi công: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Biểu đồ huy động về nhân sự, vật liệu, thiết bị hợp lý, khả thi phù hợp với đề xuất kỹ thuật.</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9. Yêu cầu về biện pháp tổ chức thi công tổng thể và các hạng mục:</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Công tác thi công các hạng mục của công trình bố trí đủ các mũi thi công, mô tả biện pháp, công nghệ  thi công các hạng mục chính theo đúng trình tự và yêu cầu kỹ thuật.</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10. Yêu cầu về hệ thống kiểm tra, giám sát chất lượng của nhà thầu:</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Lập hệ thống quản lý chất lượng phù hợp với yêu cầu, tính chất, quy mô công trình xây dựng, trong đó quy định trách nhiệm của từng cá nhân, bộ phận thi </w:t>
      </w:r>
      <w:r>
        <w:rPr>
          <w:rFonts w:ascii="Times New Roman" w:hAnsi="Times New Roman" w:cs="Times New Roman"/>
          <w:sz w:val="28"/>
          <w:szCs w:val="28"/>
        </w:rPr>
        <w:lastRenderedPageBreak/>
        <w:t>công xây dựng công trình trong việc quản lý chất lượng công trình xây dựng.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Thực hiện các thí nghiệm kiểm tra vật liệu, cấu kiện, vật tư, thiết bị công trình trước khi xây dựng và lắp đặt vào công trình theo tiêu chuẩn và yêu cầu thiết kế:</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Lập và kiểm tra thực hiện biện pháp thi công, tiến độ thi công;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Lập và ghi nhật ký thi công xây dựng công trình theo quy định;</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Kiểm tra an toàn lao động, vệ sinh môi trường bên trong và bên ngoài công trường;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xml:space="preserve">- Nghiệm thu nội bộ và lập bản vẽ hoàn công cho bộ phận công trình xây dựng, hạng mục công trình xây dựng và công trình xây dựng hoàn thành; </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 Báo cáo chủ đầu tư về tiến độ, chất lượng, khối lượng,an toàn lao động và vệ sinh môi trường thi công xây dựng theo yêu cầu của chủ đầu tư;</w:t>
      </w:r>
    </w:p>
    <w:p>
      <w:pPr>
        <w:widowControl w:val="0"/>
        <w:autoSpaceDE w:val="0"/>
        <w:autoSpaceDN w:val="0"/>
        <w:spacing w:before="120"/>
        <w:ind w:firstLine="709"/>
        <w:rPr>
          <w:rFonts w:ascii="Times New Roman" w:hAnsi="Times New Roman" w:cs="Times New Roman"/>
          <w:b/>
          <w:sz w:val="28"/>
          <w:szCs w:val="28"/>
        </w:rPr>
      </w:pPr>
      <w:r>
        <w:rPr>
          <w:rFonts w:ascii="Times New Roman" w:hAnsi="Times New Roman" w:cs="Times New Roman"/>
          <w:b/>
          <w:sz w:val="28"/>
          <w:szCs w:val="28"/>
        </w:rPr>
        <w:t>11. Yêu cầu về công tác đảm bảo giao thông:</w:t>
      </w:r>
    </w:p>
    <w:p>
      <w:pPr>
        <w:widowControl w:val="0"/>
        <w:autoSpaceDE w:val="0"/>
        <w:autoSpaceDN w:val="0"/>
        <w:spacing w:before="120"/>
        <w:ind w:firstLine="709"/>
        <w:rPr>
          <w:rFonts w:ascii="Times New Roman" w:hAnsi="Times New Roman" w:cs="Times New Roman"/>
          <w:sz w:val="28"/>
          <w:szCs w:val="28"/>
        </w:rPr>
      </w:pPr>
      <w:r>
        <w:rPr>
          <w:rFonts w:ascii="Times New Roman" w:hAnsi="Times New Roman" w:cs="Times New Roman"/>
          <w:sz w:val="28"/>
          <w:szCs w:val="28"/>
        </w:rPr>
        <w:t>Thực hiện và tuân thủ theo Thông tư 50/2015/TT-BGTVT ngày 23/9/2015 của Bộ Giao thông vận tải hướng dẫn thực hiện một số điều của Nghị định 11/2010/NĐ-CP  ngày 24/02/2010 của Chính phủ quy định về quản lý và bảo vệ kết cấu hạ tầng giao thông đường bộ.</w:t>
      </w:r>
    </w:p>
    <w:p>
      <w:pPr>
        <w:tabs>
          <w:tab w:val="left" w:pos="1418"/>
        </w:tabs>
        <w:spacing w:before="120" w:after="120" w:line="264" w:lineRule="auto"/>
        <w:ind w:firstLine="709"/>
        <w:rPr>
          <w:rFonts w:ascii="Times New Roman" w:hAnsi="Times New Roman" w:cs="Times New Roman"/>
          <w:sz w:val="28"/>
          <w:szCs w:val="28"/>
        </w:rPr>
      </w:pPr>
      <w:r>
        <w:rPr>
          <w:rFonts w:ascii="Times New Roman" w:hAnsi="Times New Roman" w:cs="Times New Roman"/>
          <w:b/>
          <w:sz w:val="28"/>
          <w:szCs w:val="28"/>
        </w:rPr>
        <w:t>12</w:t>
      </w:r>
      <w:r>
        <w:rPr>
          <w:rFonts w:ascii="Times New Roman" w:hAnsi="Times New Roman" w:cs="Times New Roman"/>
          <w:sz w:val="28"/>
          <w:szCs w:val="28"/>
        </w:rPr>
        <w:t xml:space="preserve">. </w:t>
      </w:r>
      <w:r>
        <w:rPr>
          <w:rFonts w:ascii="Times New Roman" w:hAnsi="Times New Roman" w:cs="Times New Roman"/>
          <w:b/>
          <w:sz w:val="28"/>
          <w:szCs w:val="28"/>
        </w:rPr>
        <w:t xml:space="preserve">Yêu cầu khác: </w:t>
      </w:r>
      <w:r>
        <w:rPr>
          <w:rFonts w:ascii="Times New Roman" w:hAnsi="Times New Roman" w:cs="Times New Roman"/>
          <w:sz w:val="28"/>
          <w:szCs w:val="28"/>
        </w:rPr>
        <w:t>Được thỏa thuận trong quá trình thương thảo, hoàn thiện hợp đồng (nếu có).</w:t>
      </w:r>
    </w:p>
    <w:bookmarkEnd w:id="0"/>
    <w:p>
      <w:pPr>
        <w:widowControl w:val="0"/>
        <w:tabs>
          <w:tab w:val="left" w:pos="1418"/>
        </w:tabs>
        <w:spacing w:before="120" w:after="120" w:line="264" w:lineRule="auto"/>
        <w:ind w:firstLine="709"/>
        <w:rPr>
          <w:rFonts w:ascii="Times New Roman" w:hAnsi="Times New Roman" w:cs="Times New Roman"/>
          <w:b/>
          <w:sz w:val="28"/>
          <w:szCs w:val="28"/>
        </w:rPr>
      </w:pPr>
      <w:r>
        <w:rPr>
          <w:rFonts w:ascii="Times New Roman" w:hAnsi="Times New Roman" w:cs="Times New Roman"/>
          <w:b/>
          <w:sz w:val="28"/>
          <w:szCs w:val="28"/>
        </w:rPr>
        <w:t>IV. Các bản vẽ</w:t>
      </w:r>
    </w:p>
    <w:p>
      <w:pPr>
        <w:widowControl w:val="0"/>
        <w:tabs>
          <w:tab w:val="left" w:pos="1418"/>
        </w:tabs>
        <w:spacing w:before="120" w:after="120" w:line="264" w:lineRule="auto"/>
        <w:ind w:firstLine="709"/>
        <w:rPr>
          <w:rFonts w:ascii="Times New Roman" w:hAnsi="Times New Roman" w:cs="Times New Roman"/>
          <w:sz w:val="28"/>
          <w:szCs w:val="28"/>
        </w:rPr>
      </w:pPr>
      <w:r>
        <w:rPr>
          <w:rFonts w:ascii="Times New Roman" w:hAnsi="Times New Roman" w:cs="Times New Roman"/>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trPr>
          <w:trHeight w:val="70"/>
        </w:trPr>
        <w:tc>
          <w:tcPr>
            <w:tcW w:w="850" w:type="dxa"/>
            <w:shd w:val="clear" w:color="auto" w:fill="E2EFD9"/>
          </w:tcPr>
          <w:p>
            <w:pPr>
              <w:widowControl w:val="0"/>
              <w:tabs>
                <w:tab w:val="left" w:pos="1418"/>
              </w:tabs>
              <w:spacing w:before="120" w:after="120" w:line="264"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STT</w:t>
            </w:r>
          </w:p>
        </w:tc>
        <w:tc>
          <w:tcPr>
            <w:tcW w:w="2073" w:type="dxa"/>
            <w:shd w:val="clear" w:color="auto" w:fill="E2EFD9"/>
          </w:tcPr>
          <w:p>
            <w:pPr>
              <w:widowControl w:val="0"/>
              <w:tabs>
                <w:tab w:val="left" w:pos="1418"/>
              </w:tabs>
              <w:spacing w:before="120" w:after="120" w:line="264"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Ký hiệu</w:t>
            </w:r>
          </w:p>
        </w:tc>
        <w:tc>
          <w:tcPr>
            <w:tcW w:w="2300" w:type="dxa"/>
            <w:shd w:val="clear" w:color="auto" w:fill="E2EFD9"/>
          </w:tcPr>
          <w:p>
            <w:pPr>
              <w:widowControl w:val="0"/>
              <w:tabs>
                <w:tab w:val="left" w:pos="1418"/>
              </w:tabs>
              <w:spacing w:before="120" w:after="120" w:line="264"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Tên bản vẽ</w:t>
            </w:r>
          </w:p>
        </w:tc>
        <w:tc>
          <w:tcPr>
            <w:tcW w:w="3428" w:type="dxa"/>
            <w:shd w:val="clear" w:color="auto" w:fill="E2EFD9"/>
          </w:tcPr>
          <w:p>
            <w:pPr>
              <w:widowControl w:val="0"/>
              <w:tabs>
                <w:tab w:val="left" w:pos="1418"/>
              </w:tabs>
              <w:spacing w:before="120" w:after="120" w:line="264"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Phiên bản/ngày phát hành</w:t>
            </w:r>
          </w:p>
        </w:tc>
      </w:tr>
      <w:tr>
        <w:trPr>
          <w:trHeight w:val="70"/>
        </w:trPr>
        <w:tc>
          <w:tcPr>
            <w:tcW w:w="85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2073"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230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3428"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r>
      <w:tr>
        <w:trPr>
          <w:trHeight w:val="70"/>
        </w:trPr>
        <w:tc>
          <w:tcPr>
            <w:tcW w:w="85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2073"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230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3428"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r>
      <w:tr>
        <w:trPr>
          <w:trHeight w:val="70"/>
        </w:trPr>
        <w:tc>
          <w:tcPr>
            <w:tcW w:w="85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w:t>
            </w:r>
          </w:p>
        </w:tc>
        <w:tc>
          <w:tcPr>
            <w:tcW w:w="2073"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2300"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c>
          <w:tcPr>
            <w:tcW w:w="3428" w:type="dxa"/>
            <w:shd w:val="clear" w:color="auto" w:fill="auto"/>
          </w:tcPr>
          <w:p>
            <w:pPr>
              <w:widowControl w:val="0"/>
              <w:tabs>
                <w:tab w:val="left" w:pos="1418"/>
              </w:tabs>
              <w:spacing w:before="120" w:after="120" w:line="264" w:lineRule="auto"/>
              <w:jc w:val="center"/>
              <w:rPr>
                <w:rFonts w:ascii="Times New Roman" w:hAnsi="Times New Roman" w:cs="Times New Roman"/>
                <w:sz w:val="28"/>
                <w:szCs w:val="28"/>
                <w:lang w:val="en-GB"/>
              </w:rPr>
            </w:pPr>
          </w:p>
        </w:tc>
      </w:tr>
    </w:tbl>
    <w:p>
      <w:pPr>
        <w:widowControl w:val="0"/>
        <w:tabs>
          <w:tab w:val="left" w:pos="1418"/>
          <w:tab w:val="left" w:pos="2127"/>
        </w:tabs>
        <w:spacing w:before="120" w:after="120" w:line="264" w:lineRule="auto"/>
        <w:ind w:firstLine="567"/>
        <w:rPr>
          <w:rFonts w:ascii="Times New Roman" w:hAnsi="Times New Roman" w:cs="Times New Roman"/>
          <w:i/>
          <w:sz w:val="28"/>
          <w:szCs w:val="28"/>
        </w:rPr>
      </w:pPr>
    </w:p>
    <w:p>
      <w:pPr>
        <w:widowControl w:val="0"/>
        <w:tabs>
          <w:tab w:val="left" w:pos="1418"/>
          <w:tab w:val="left" w:pos="2127"/>
        </w:tabs>
        <w:spacing w:before="120" w:after="120" w:line="264" w:lineRule="auto"/>
        <w:ind w:firstLine="567"/>
        <w:rPr>
          <w:rFonts w:ascii="Times New Roman" w:hAnsi="Times New Roman" w:cs="Times New Roman"/>
          <w:i/>
          <w:sz w:val="28"/>
          <w:szCs w:val="28"/>
        </w:rPr>
      </w:pPr>
    </w:p>
    <w:p>
      <w:pPr>
        <w:rPr>
          <w:rFonts w:ascii="Times New Roman" w:hAnsi="Times New Roman" w:cs="Times New Roman"/>
          <w:sz w:val="28"/>
          <w:szCs w:val="28"/>
        </w:rPr>
      </w:pPr>
      <w:bookmarkStart w:id="1" w:name="_GoBack"/>
      <w:bookmarkEnd w:id="1"/>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28263-F579-4BA9-BB15-7D3CF55E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2175</Words>
  <Characters>12400</Characters>
  <Application>Microsoft Office Word</Application>
  <DocSecurity>0</DocSecurity>
  <Lines>103</Lines>
  <Paragraphs>29</Paragraphs>
  <ScaleCrop>false</ScaleCrop>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2025-09-21T08:35:00Z</dcterms:created>
  <dcterms:modified xsi:type="dcterms:W3CDTF">2025-09-21T08:36:00Z</dcterms:modified>
</cp:coreProperties>
</file>