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255" w:rsidRPr="008C0621" w:rsidRDefault="00C16255" w:rsidP="00C16255">
      <w:pPr>
        <w:pStyle w:val="TOC1"/>
        <w:rPr>
          <w:rFonts w:ascii="Times New Roman" w:hAnsi="Times New Roman" w:cs="Times New Roman"/>
        </w:rPr>
      </w:pPr>
      <w:bookmarkStart w:id="0" w:name="_GoBack"/>
      <w:r w:rsidRPr="008C0621">
        <w:rPr>
          <w:rFonts w:ascii="Times New Roman" w:hAnsi="Times New Roman" w:cs="Times New Roman"/>
        </w:rPr>
        <w:t xml:space="preserve">Mục </w:t>
      </w:r>
      <w:r w:rsidRPr="008C0621">
        <w:rPr>
          <w:rFonts w:ascii="Times New Roman" w:hAnsi="Times New Roman" w:cs="Times New Roman"/>
          <w:lang w:val="pl-PL"/>
        </w:rPr>
        <w:t>3</w:t>
      </w:r>
      <w:r w:rsidRPr="008C0621">
        <w:rPr>
          <w:rFonts w:ascii="Times New Roman" w:hAnsi="Times New Roman" w:cs="Times New Roman"/>
        </w:rPr>
        <w:t>. Tiêu chuẩn đánh giá về kỹ thuật</w:t>
      </w:r>
    </w:p>
    <w:p w:rsidR="00C16255" w:rsidRPr="008C0621" w:rsidRDefault="00C16255" w:rsidP="00C16255">
      <w:pPr>
        <w:spacing w:before="80" w:after="80" w:line="264" w:lineRule="auto"/>
        <w:ind w:firstLine="709"/>
        <w:rPr>
          <w:color w:val="000000" w:themeColor="text1"/>
          <w:sz w:val="28"/>
          <w:szCs w:val="28"/>
          <w:lang w:val="vi-VN"/>
        </w:rPr>
      </w:pPr>
      <w:r w:rsidRPr="008C0621">
        <w:rPr>
          <w:color w:val="000000" w:themeColor="text1"/>
          <w:sz w:val="28"/>
          <w:szCs w:val="28"/>
          <w:lang w:val="vi-VN"/>
        </w:rPr>
        <w:t xml:space="preserve">Sử dụng tiêu chí đạt/không đạt để xây dựng tiêu chuẩn đánh giá về kỹ thuật. </w:t>
      </w:r>
    </w:p>
    <w:p w:rsidR="00C16255" w:rsidRPr="008C0621" w:rsidRDefault="00C16255" w:rsidP="00C16255">
      <w:pPr>
        <w:spacing w:before="80" w:after="80" w:line="264" w:lineRule="auto"/>
        <w:ind w:firstLine="709"/>
        <w:rPr>
          <w:color w:val="000000" w:themeColor="text1"/>
          <w:sz w:val="28"/>
          <w:szCs w:val="28"/>
          <w:lang w:val="es-ES"/>
        </w:rPr>
      </w:pPr>
      <w:r w:rsidRPr="008C0621">
        <w:rPr>
          <w:color w:val="000000" w:themeColor="text1"/>
          <w:sz w:val="28"/>
          <w:szCs w:val="28"/>
          <w:lang w:val="es-ES"/>
        </w:rPr>
        <w:t>Đối với các tiêu chí chi tiết trong tiêu chí tổng quát, chỉ sử dụng tiêu chí đạt, không đạt.</w:t>
      </w:r>
    </w:p>
    <w:p w:rsidR="00C16255" w:rsidRPr="008C0621" w:rsidRDefault="00C16255" w:rsidP="00C16255">
      <w:pPr>
        <w:spacing w:before="80" w:after="80" w:line="264" w:lineRule="auto"/>
        <w:ind w:firstLine="709"/>
        <w:rPr>
          <w:color w:val="000000" w:themeColor="text1"/>
          <w:sz w:val="28"/>
          <w:szCs w:val="28"/>
          <w:lang w:val="es-ES"/>
        </w:rPr>
      </w:pPr>
      <w:r w:rsidRPr="008C0621">
        <w:rPr>
          <w:color w:val="000000" w:themeColor="text1"/>
          <w:sz w:val="28"/>
          <w:szCs w:val="28"/>
          <w:lang w:val="es-ES"/>
        </w:rPr>
        <w:t>Tiêu chí tổng quát được đánh giá là đạt khi tất cả các tiêu chí chi tiết được đánh giá là đạt.</w:t>
      </w:r>
    </w:p>
    <w:p w:rsidR="00C16255" w:rsidRPr="008C0621" w:rsidRDefault="00C16255" w:rsidP="00C16255">
      <w:pPr>
        <w:spacing w:before="80" w:after="80" w:line="264" w:lineRule="auto"/>
        <w:ind w:firstLine="709"/>
        <w:rPr>
          <w:color w:val="000000" w:themeColor="text1"/>
          <w:sz w:val="28"/>
          <w:szCs w:val="28"/>
          <w:lang w:val="vi-VN"/>
        </w:rPr>
      </w:pPr>
      <w:r w:rsidRPr="008C0621">
        <w:rPr>
          <w:color w:val="000000" w:themeColor="text1"/>
          <w:sz w:val="28"/>
          <w:szCs w:val="28"/>
          <w:lang w:val="es-ES"/>
        </w:rPr>
        <w:t>E-HSDT được đánh giá là đáp ứng yêu cầu về kỹ thuật khi có tất cả các tiêu chí tổng quát đều được đánh giá là đạt.</w:t>
      </w:r>
      <w:r w:rsidRPr="008C0621">
        <w:rPr>
          <w:color w:val="000000" w:themeColor="text1"/>
          <w:sz w:val="28"/>
          <w:szCs w:val="28"/>
          <w:lang w:val="vi-VN"/>
        </w:rPr>
        <w:t xml:space="preserve"> Dưới đây là Bảng tiêu chí đánh giá về kỹ thuật:</w:t>
      </w:r>
    </w:p>
    <w:p w:rsidR="00C16255" w:rsidRPr="008C0621" w:rsidRDefault="00C16255" w:rsidP="00C16255">
      <w:pPr>
        <w:spacing w:after="160" w:line="259" w:lineRule="auto"/>
        <w:jc w:val="left"/>
        <w:rPr>
          <w:rFonts w:eastAsia="Batang"/>
          <w:b/>
          <w:bCs/>
          <w:iCs/>
          <w:noProof/>
          <w:kern w:val="36"/>
          <w:sz w:val="28"/>
          <w:szCs w:val="28"/>
          <w:highlight w:val="yellow"/>
          <w:lang w:val="nl-NL"/>
        </w:rPr>
      </w:pPr>
    </w:p>
    <w:p w:rsidR="00C16255" w:rsidRPr="008C0621" w:rsidRDefault="00C16255" w:rsidP="00C16255">
      <w:pPr>
        <w:pStyle w:val="TOC1"/>
        <w:rPr>
          <w:rFonts w:ascii="Times New Roman" w:hAnsi="Times New Roman" w:cs="Times New Roman"/>
          <w:lang w:val="vi-VN"/>
        </w:rPr>
      </w:pPr>
      <w:r w:rsidRPr="008C0621">
        <w:rPr>
          <w:rFonts w:ascii="Times New Roman" w:hAnsi="Times New Roman" w:cs="Times New Roman"/>
        </w:rPr>
        <w:t>BẢNG TIÊU CHÍ ĐÁNH GIÁ VỀ KỸ THUẬT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4"/>
        <w:gridCol w:w="4283"/>
        <w:gridCol w:w="1393"/>
      </w:tblGrid>
      <w:tr w:rsidR="00C16255" w:rsidRPr="008C0621" w:rsidTr="00D07ED7">
        <w:trPr>
          <w:trHeight w:val="315"/>
        </w:trPr>
        <w:tc>
          <w:tcPr>
            <w:tcW w:w="0" w:type="auto"/>
            <w:gridSpan w:val="2"/>
            <w:tcMar>
              <w:top w:w="30" w:type="dxa"/>
              <w:left w:w="45" w:type="dxa"/>
              <w:bottom w:w="30" w:type="dxa"/>
              <w:right w:w="45" w:type="dxa"/>
            </w:tcMar>
            <w:vAlign w:val="center"/>
            <w:hideMark/>
          </w:tcPr>
          <w:p w:rsidR="00C16255" w:rsidRPr="008C0621" w:rsidRDefault="00C16255" w:rsidP="00D07ED7">
            <w:pPr>
              <w:jc w:val="center"/>
              <w:rPr>
                <w:b/>
                <w:bCs/>
                <w:sz w:val="28"/>
                <w:szCs w:val="28"/>
              </w:rPr>
            </w:pPr>
            <w:r w:rsidRPr="008C0621">
              <w:rPr>
                <w:b/>
                <w:bCs/>
                <w:sz w:val="28"/>
                <w:szCs w:val="28"/>
              </w:rPr>
              <w:t>Nội dung đánh giá</w:t>
            </w:r>
          </w:p>
        </w:tc>
        <w:tc>
          <w:tcPr>
            <w:tcW w:w="0" w:type="auto"/>
            <w:tcMar>
              <w:top w:w="30" w:type="dxa"/>
              <w:left w:w="45" w:type="dxa"/>
              <w:bottom w:w="30" w:type="dxa"/>
              <w:right w:w="45" w:type="dxa"/>
            </w:tcMar>
            <w:vAlign w:val="center"/>
            <w:hideMark/>
          </w:tcPr>
          <w:p w:rsidR="00C16255" w:rsidRPr="008C0621" w:rsidRDefault="00C16255" w:rsidP="00D07ED7">
            <w:pPr>
              <w:jc w:val="center"/>
              <w:rPr>
                <w:b/>
                <w:bCs/>
                <w:sz w:val="28"/>
                <w:szCs w:val="28"/>
              </w:rPr>
            </w:pPr>
            <w:r w:rsidRPr="008C0621">
              <w:rPr>
                <w:b/>
                <w:bCs/>
                <w:sz w:val="28"/>
                <w:szCs w:val="28"/>
              </w:rPr>
              <w:t>Sử dụng tiêu chí đạt, 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1. Đặc tính, thông số kỹ thuật của hàng hóa, tiêu chuẩn sản xuất, tiêu chuẩn chế tạo và công nghệ</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1.1. Yêu cầu về tính năng kỹ thuật của hàng hoá</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Có đặc tính, thông số kỹ thuật của hàng hóa và công nghệ đáp ứng đầy đủ các yêu cầu về kỹ thuật quy định tại Chương V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Không có hoặc không đầy đủ thông số kỹ thuật hàng hóa và công nghệ đáp ứng đầy đủ các yêu cầu về kỹ thuật quy định tại Chương V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1.2. Yêu cầu về sự hiểu biết đối với Phần mềm</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Nhà thầu trình bày rõ ràng, hợp lý và phù hợp với yêu cầu kỹ thuật của phần mềm đáp ứng quy định tại Mục 1.3 Chương V của E-HSMT, gồm:</w:t>
            </w:r>
            <w:r w:rsidRPr="008C0621">
              <w:rPr>
                <w:sz w:val="28"/>
                <w:szCs w:val="28"/>
              </w:rPr>
              <w:br/>
              <w:t xml:space="preserve">Mô tả đầy đủ, chi tiết từng Usecase gồm: biểu đồ các Usecase, bảng mô tả bằng lời các Usecase nêu tại Mục 1.2 Chương V của E-HSMT để </w:t>
            </w:r>
            <w:r w:rsidRPr="008C0621">
              <w:rPr>
                <w:sz w:val="28"/>
                <w:szCs w:val="28"/>
              </w:rPr>
              <w:lastRenderedPageBreak/>
              <w:t>chứng minh tính khả thi và hợp lý của phần mềm.</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lastRenderedPageBreak/>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Nhà thầu không trình bày hoặc nội dung trình bày không đáp ứng đầy đủ các yêu cầu theo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2. Tính hợp lý và hiệu quả kinh tế của các giải pháp kỹ thuật, biện pháp tổ chức cung cấp, lắp đặt hàng hóa</w:t>
            </w:r>
          </w:p>
        </w:tc>
      </w:tr>
      <w:tr w:rsidR="00C16255" w:rsidRPr="008C0621" w:rsidTr="00D07ED7">
        <w:trPr>
          <w:trHeight w:val="315"/>
        </w:trPr>
        <w:tc>
          <w:tcPr>
            <w:tcW w:w="0" w:type="auto"/>
            <w:vMerge w:val="restart"/>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2.1. Biện pháp tổ chức cung cấp, cài đặt phần mềm.</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Có kế hoạch thi công chi tiết, phù hợp với yêu cầu của gói thầu và nêu đầy đủ các thành phần sau: Các bước thực hiện, nội dung thực hiện; thời gian thực hiện; nhân sự chủ chốt; dự kiến kết quả; đánh giá rủi ro và biện pháp khắc phục.</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Không có kế hoạch thi công hoặc kế hoạch thi công không đáp ứng đầy đủ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2.2. Yêu cầu giải pháp kỹ thuật, biện pháp tổ chức xây dựng triển khai phần mềm nội bộ</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p>
        </w:tc>
      </w:tr>
      <w:tr w:rsidR="00C16255" w:rsidRPr="008C0621" w:rsidTr="00D07ED7">
        <w:trPr>
          <w:trHeight w:val="315"/>
        </w:trPr>
        <w:tc>
          <w:tcPr>
            <w:tcW w:w="0" w:type="auto"/>
            <w:vMerge w:val="restart"/>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Yêu cầu về an toàn đối với phần mềm</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Có trình bày giải pháp đáp ứng từng tiêu chí về an toàn cơ bản đối với phần mềm nội bộ theo Quyết định số 742/QĐ-BTTTT ngày 22/04/2022 của Bộ Thông tin và Truyền thông ban hành Yêu cầu an toàn cơ bản đối với phần mềm nội bộ</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center"/>
              <w:rPr>
                <w:color w:val="000000" w:themeColor="text1"/>
                <w:sz w:val="28"/>
                <w:szCs w:val="28"/>
              </w:rPr>
            </w:pPr>
            <w:r w:rsidRPr="008C0621">
              <w:rPr>
                <w:color w:val="000000" w:themeColor="text1"/>
                <w:sz w:val="28"/>
                <w:szCs w:val="28"/>
              </w:rPr>
              <w:t>Đạt</w:t>
            </w:r>
          </w:p>
        </w:tc>
      </w:tr>
      <w:tr w:rsidR="00C16255" w:rsidRPr="008C0621" w:rsidTr="00D07ED7">
        <w:trPr>
          <w:trHeight w:val="315"/>
        </w:trPr>
        <w:tc>
          <w:tcPr>
            <w:tcW w:w="0" w:type="auto"/>
            <w:vMerge/>
            <w:shd w:val="clear" w:color="auto" w:fill="auto"/>
            <w:vAlign w:val="center"/>
            <w:hideMark/>
          </w:tcPr>
          <w:p w:rsidR="00C16255" w:rsidRPr="008C0621" w:rsidRDefault="00C16255" w:rsidP="00D07ED7">
            <w:pPr>
              <w:jc w:val="left"/>
              <w:rPr>
                <w:color w:val="000000" w:themeColor="text1"/>
                <w:sz w:val="28"/>
                <w:szCs w:val="28"/>
              </w:rPr>
            </w:pP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Không trình bày hoặc trình bày không đáp ứng tiêu chí “đạt” nêu trên.</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center"/>
              <w:rPr>
                <w:color w:val="000000" w:themeColor="text1"/>
                <w:sz w:val="28"/>
                <w:szCs w:val="28"/>
              </w:rPr>
            </w:pPr>
            <w:r w:rsidRPr="008C0621">
              <w:rPr>
                <w:color w:val="000000" w:themeColor="text1"/>
                <w:sz w:val="28"/>
                <w:szCs w:val="28"/>
              </w:rPr>
              <w:t>Không đạt</w:t>
            </w:r>
          </w:p>
        </w:tc>
      </w:tr>
      <w:tr w:rsidR="00C16255" w:rsidRPr="008C0621" w:rsidTr="00D07ED7">
        <w:trPr>
          <w:trHeight w:val="315"/>
        </w:trPr>
        <w:tc>
          <w:tcPr>
            <w:tcW w:w="0" w:type="auto"/>
            <w:vMerge w:val="restart"/>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Đề xuất mô hình cài đặt đáp ứng an toàn thông tin</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Có trình bày mô hình cài đặt đáp ứng an toàn thông tin và phù hợp với nhu cầu sử dụng.</w:t>
            </w:r>
            <w:r w:rsidRPr="008C0621">
              <w:rPr>
                <w:color w:val="000000" w:themeColor="text1"/>
                <w:sz w:val="28"/>
                <w:szCs w:val="28"/>
              </w:rPr>
              <w:br/>
              <w:t>- Đáp ứng yêu cầu về phân chia các vùng máy chủ, có thiết lập firewall giữa các vùng.</w:t>
            </w:r>
            <w:r w:rsidRPr="008C0621">
              <w:rPr>
                <w:color w:val="000000" w:themeColor="text1"/>
                <w:sz w:val="28"/>
                <w:szCs w:val="28"/>
              </w:rPr>
              <w:br/>
            </w:r>
            <w:r w:rsidRPr="008C0621">
              <w:rPr>
                <w:color w:val="000000" w:themeColor="text1"/>
                <w:sz w:val="28"/>
                <w:szCs w:val="28"/>
              </w:rPr>
              <w:lastRenderedPageBreak/>
              <w:t>- Đáp ứng yêu cầu về tính sẵn sàng, hiệu năng cao.</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center"/>
              <w:rPr>
                <w:color w:val="000000" w:themeColor="text1"/>
                <w:sz w:val="28"/>
                <w:szCs w:val="28"/>
              </w:rPr>
            </w:pPr>
            <w:r w:rsidRPr="008C0621">
              <w:rPr>
                <w:color w:val="000000" w:themeColor="text1"/>
                <w:sz w:val="28"/>
                <w:szCs w:val="28"/>
              </w:rPr>
              <w:lastRenderedPageBreak/>
              <w:t>Đạt</w:t>
            </w:r>
          </w:p>
        </w:tc>
      </w:tr>
      <w:tr w:rsidR="00C16255" w:rsidRPr="008C0621" w:rsidTr="00D07ED7">
        <w:trPr>
          <w:trHeight w:val="315"/>
        </w:trPr>
        <w:tc>
          <w:tcPr>
            <w:tcW w:w="0" w:type="auto"/>
            <w:vMerge/>
            <w:shd w:val="clear" w:color="auto" w:fill="auto"/>
            <w:vAlign w:val="center"/>
            <w:hideMark/>
          </w:tcPr>
          <w:p w:rsidR="00C16255" w:rsidRPr="008C0621" w:rsidRDefault="00C16255" w:rsidP="00D07ED7">
            <w:pPr>
              <w:jc w:val="left"/>
              <w:rPr>
                <w:color w:val="000000" w:themeColor="text1"/>
                <w:sz w:val="28"/>
                <w:szCs w:val="28"/>
              </w:rPr>
            </w:pP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Không trình bày hoặc trình bày không đáp ứng tiêu chí “đạt” nêu trên.</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center"/>
              <w:rPr>
                <w:color w:val="000000" w:themeColor="text1"/>
                <w:sz w:val="28"/>
                <w:szCs w:val="28"/>
              </w:rPr>
            </w:pPr>
            <w:r w:rsidRPr="008C0621">
              <w:rPr>
                <w:color w:val="000000" w:themeColor="text1"/>
                <w:sz w:val="28"/>
                <w:szCs w:val="28"/>
              </w:rPr>
              <w:t>Không đạt</w:t>
            </w:r>
          </w:p>
        </w:tc>
      </w:tr>
      <w:tr w:rsidR="00C16255" w:rsidRPr="008C0621" w:rsidTr="00D07ED7">
        <w:trPr>
          <w:trHeight w:val="315"/>
        </w:trPr>
        <w:tc>
          <w:tcPr>
            <w:tcW w:w="0" w:type="auto"/>
            <w:vMerge w:val="restart"/>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Yêu cầu giải pháp kỹ thuật phát triển phần mềm nội bộ</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Nhà thầu trình bày rõ ràng, khả thi và phù hợp với với yêu cầu kỹ thuật của phần mềm quy định tại Chương V-Yêu cầu về kỹ thuật của E-HSMT (bao gồm không giới hạn các nội dung: quy trình phát triển phần mềm và ánh xạ vào việc xây dựng phần mềm nội bộ, các công cụ sử dụng thiết kế biểu đồ, giao diện,…, các công cụ phát triển và quản lý mã nguồn, các công cụ quản lý dự án,...).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Không trình bày hoặc trình bày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Yêu cầu đối với chức năng phần mềm nội bộ</w:t>
            </w:r>
          </w:p>
        </w:tc>
        <w:tc>
          <w:tcPr>
            <w:tcW w:w="0" w:type="auto"/>
            <w:shd w:val="clear" w:color="auto" w:fill="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Nhà thầu có đề xuất quy trình quản lý đối với các Thủ tục có hạn ngạch đáp ứng quy định nêu tại Chương V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Không trình bày hoặc trình bày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Yêu cầu về đề xuất giải pháp thiết kế cơ sở dữ liệu của các phần mềm</w:t>
            </w:r>
          </w:p>
        </w:tc>
        <w:tc>
          <w:tcPr>
            <w:tcW w:w="0" w:type="auto"/>
            <w:shd w:val="clear" w:color="auto" w:fill="FFFFFF"/>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Nhà thầu có đề xuất giải pháp thiết kế cơ sở dữ liệu, đề xuất thiết kế chi tiết mô hình dữ liệu, mô tả chi tiết các bảng dữ liệu phù hợp với các yêu cầu tại Chương V- Yêu cầu về kỹ thuật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Không trình bày hoặc trình bày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Yêu cầu về đề xuất sáng kiến cải tiến giúp tăng cường hiệu quả, chất lượng phần mềm</w:t>
            </w:r>
          </w:p>
        </w:tc>
        <w:tc>
          <w:tcPr>
            <w:tcW w:w="0" w:type="auto"/>
            <w:shd w:val="clear" w:color="auto" w:fill="FFFFFF"/>
            <w:tcMar>
              <w:top w:w="30" w:type="dxa"/>
              <w:left w:w="45" w:type="dxa"/>
              <w:bottom w:w="30" w:type="dxa"/>
              <w:right w:w="45" w:type="dxa"/>
            </w:tcMar>
            <w:vAlign w:val="center"/>
            <w:hideMark/>
          </w:tcPr>
          <w:p w:rsidR="00C16255" w:rsidRPr="008C0621" w:rsidRDefault="00C16255" w:rsidP="00D07ED7">
            <w:pPr>
              <w:jc w:val="left"/>
              <w:rPr>
                <w:color w:val="000000" w:themeColor="text1"/>
                <w:sz w:val="28"/>
                <w:szCs w:val="28"/>
              </w:rPr>
            </w:pPr>
            <w:r w:rsidRPr="008C0621">
              <w:rPr>
                <w:color w:val="000000" w:themeColor="text1"/>
                <w:sz w:val="28"/>
                <w:szCs w:val="28"/>
              </w:rPr>
              <w:t xml:space="preserve">- Nhà thầu có đề xuất sáng kiến cải tiến (cải tiến về quy trình quản lý </w:t>
            </w:r>
            <w:r w:rsidRPr="008C0621">
              <w:rPr>
                <w:color w:val="000000" w:themeColor="text1"/>
                <w:sz w:val="28"/>
                <w:szCs w:val="28"/>
              </w:rPr>
              <w:lastRenderedPageBreak/>
              <w:t>thực hiện xây dựng phần mềm, cải tiến về kỹ thuật, công nghệ,...) giúp tăng cường hiệu quả, chất lượng phần mềm, kèm theo thuyết minh sự phù hợp, tương thích và khả thi với yêu cầu kỹ thuật quy định tại Chương V- Yêu cầu về kỹ thuật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lastRenderedPageBreak/>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Không trình bày hoặc trình bày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3. Mức độ đáp ứng các yêu cầu về bảo hành, bảo trì</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4.1. Thời gian bảo hành</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 12 tháng</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&lt; 12 tháng</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4.2. Yêu cầu về bảo hành</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Nhà thầu có tài liệu quy trình bảo hành, bảo trì. Đồng thời cam kết đảm bảo Nhà thầu phải có đội ngũ kỹ thuật riêng của mình, có khả năng sẵn sàng thực hiện các nghĩa vụ của nhà thầu.</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 Nhà thầu không có tài liệu và cam kết hoặc tài liệu và cam kết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4. Các yếu tố về điều kiện thương mại, thời gian giao hàng, đào tạo chuyển giao công nghệ, cung cấp các dịch vụ sau bán hàng</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4.1. Yêu cầu về phương án triển khai đào tạo chuyển giao</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Nhà thầu có đề xuất nội dung triển khai đào tạo chuyển giao đáp ứng yêu cầu tại Mục 1.2.5.9 thuộc Chương V của E-HSMT.</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Nhà thầu không có đề xuất hoặc đề xuất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5. Tiến độ cung cấp hàng hóa</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5.1. Tiến độ cung cấp hàng hóa</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 xml:space="preserve">≤ </w:t>
            </w:r>
            <w:r w:rsidRPr="008C0621">
              <w:rPr>
                <w:sz w:val="28"/>
                <w:szCs w:val="28"/>
                <w:lang w:val="vi-VN"/>
              </w:rPr>
              <w:t>50</w:t>
            </w:r>
            <w:r w:rsidRPr="008C0621">
              <w:rPr>
                <w:sz w:val="28"/>
                <w:szCs w:val="28"/>
              </w:rPr>
              <w:t xml:space="preserve"> ngày</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315"/>
        </w:trPr>
        <w:tc>
          <w:tcPr>
            <w:tcW w:w="0" w:type="auto"/>
            <w:vMerge/>
            <w:vAlign w:val="center"/>
            <w:hideMark/>
          </w:tcPr>
          <w:p w:rsidR="00C16255" w:rsidRPr="008C0621" w:rsidRDefault="00C16255" w:rsidP="00D07ED7">
            <w:pPr>
              <w:jc w:val="left"/>
              <w:rPr>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 xml:space="preserve">&gt; </w:t>
            </w:r>
            <w:r w:rsidRPr="008C0621">
              <w:rPr>
                <w:sz w:val="28"/>
                <w:szCs w:val="28"/>
                <w:lang w:val="vi-VN"/>
              </w:rPr>
              <w:t>50</w:t>
            </w:r>
            <w:r w:rsidRPr="008C0621">
              <w:rPr>
                <w:sz w:val="28"/>
                <w:szCs w:val="28"/>
              </w:rPr>
              <w:t xml:space="preserve"> ngày</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gridSpan w:val="3"/>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6. Uy tín của nhà thầu thông qua việc tham dự thầu</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lastRenderedPageBreak/>
              <w:t>6.1. Uy tín của nhà thầu thông qua kết quả thực hiện hợp đồng của nhà thầu đối với gói thầu cung cấp hàng hóa, EPC, EP, PC, chìa khóa trao tay theo quy định tại Điều 19 và Điều 20 của Nghị định số 214/2025/NĐ-CP</w:t>
            </w:r>
          </w:p>
        </w:tc>
        <w:tc>
          <w:tcPr>
            <w:tcW w:w="0" w:type="auto"/>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Nhà thầu có văn bản cam kết đáp ứng yêu cầu về uy tín của nhà thầu thông qua kết quả thực hiện hợp đồng của nhà thầu đối với gói thầu cung cấp hàng hóa, EPC, EP, PC, chìa khóa trao tay theo quy định tại Điều 19 và Điều 20 của Nghị định số 214/2025/NĐ-CP</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Đạt</w:t>
            </w:r>
          </w:p>
        </w:tc>
      </w:tr>
      <w:tr w:rsidR="00C16255" w:rsidRPr="008C0621" w:rsidTr="00D07ED7">
        <w:trPr>
          <w:trHeight w:val="1363"/>
        </w:trPr>
        <w:tc>
          <w:tcPr>
            <w:tcW w:w="0" w:type="auto"/>
            <w:vMerge/>
            <w:vAlign w:val="center"/>
            <w:hideMark/>
          </w:tcPr>
          <w:p w:rsidR="00C16255" w:rsidRPr="008C0621" w:rsidRDefault="00C16255" w:rsidP="00D07ED7">
            <w:pPr>
              <w:jc w:val="left"/>
              <w:rPr>
                <w:sz w:val="28"/>
                <w:szCs w:val="28"/>
              </w:rPr>
            </w:pPr>
          </w:p>
        </w:tc>
        <w:tc>
          <w:tcPr>
            <w:tcW w:w="0" w:type="auto"/>
            <w:shd w:val="clear" w:color="auto" w:fill="FFFFFF"/>
            <w:tcMar>
              <w:top w:w="30" w:type="dxa"/>
              <w:left w:w="45" w:type="dxa"/>
              <w:bottom w:w="30" w:type="dxa"/>
              <w:right w:w="45" w:type="dxa"/>
            </w:tcMar>
            <w:vAlign w:val="center"/>
            <w:hideMark/>
          </w:tcPr>
          <w:p w:rsidR="00C16255" w:rsidRPr="008C0621" w:rsidRDefault="00C16255" w:rsidP="00D07ED7">
            <w:pPr>
              <w:jc w:val="left"/>
              <w:rPr>
                <w:sz w:val="28"/>
                <w:szCs w:val="28"/>
              </w:rPr>
            </w:pPr>
            <w:r w:rsidRPr="008C0621">
              <w:rPr>
                <w:sz w:val="28"/>
                <w:szCs w:val="28"/>
              </w:rPr>
              <w:t>Nhà thầu không có văn bản cam kết hoặc văn bản cam kết không đáp ứng tiêu chí “đạt”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sz w:val="28"/>
                <w:szCs w:val="28"/>
              </w:rPr>
            </w:pPr>
            <w:r w:rsidRPr="008C0621">
              <w:rPr>
                <w:sz w:val="28"/>
                <w:szCs w:val="28"/>
              </w:rPr>
              <w:t>Không đạt</w:t>
            </w:r>
          </w:p>
        </w:tc>
      </w:tr>
      <w:tr w:rsidR="00C16255" w:rsidRPr="008C0621" w:rsidTr="00D07ED7">
        <w:trPr>
          <w:trHeight w:val="315"/>
        </w:trPr>
        <w:tc>
          <w:tcPr>
            <w:tcW w:w="0" w:type="auto"/>
            <w:vMerge w:val="restart"/>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Kết luận</w:t>
            </w:r>
          </w:p>
        </w:tc>
        <w:tc>
          <w:tcPr>
            <w:tcW w:w="0" w:type="auto"/>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Không đạt một trong các nội dung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b/>
                <w:bCs/>
                <w:sz w:val="28"/>
                <w:szCs w:val="28"/>
              </w:rPr>
            </w:pPr>
            <w:r w:rsidRPr="008C0621">
              <w:rPr>
                <w:b/>
                <w:bCs/>
                <w:sz w:val="28"/>
                <w:szCs w:val="28"/>
              </w:rPr>
              <w:t>KHÔNG ĐẠT</w:t>
            </w:r>
          </w:p>
        </w:tc>
      </w:tr>
      <w:tr w:rsidR="00C16255" w:rsidRPr="008C0621" w:rsidTr="00D07ED7">
        <w:trPr>
          <w:trHeight w:val="315"/>
        </w:trPr>
        <w:tc>
          <w:tcPr>
            <w:tcW w:w="0" w:type="auto"/>
            <w:vMerge/>
            <w:vAlign w:val="center"/>
            <w:hideMark/>
          </w:tcPr>
          <w:p w:rsidR="00C16255" w:rsidRPr="008C0621" w:rsidRDefault="00C16255" w:rsidP="00D07ED7">
            <w:pPr>
              <w:jc w:val="left"/>
              <w:rPr>
                <w:b/>
                <w:bCs/>
                <w:sz w:val="28"/>
                <w:szCs w:val="28"/>
              </w:rPr>
            </w:pPr>
          </w:p>
        </w:tc>
        <w:tc>
          <w:tcPr>
            <w:tcW w:w="0" w:type="auto"/>
            <w:tcMar>
              <w:top w:w="30" w:type="dxa"/>
              <w:left w:w="45" w:type="dxa"/>
              <w:bottom w:w="30" w:type="dxa"/>
              <w:right w:w="45" w:type="dxa"/>
            </w:tcMar>
            <w:vAlign w:val="center"/>
            <w:hideMark/>
          </w:tcPr>
          <w:p w:rsidR="00C16255" w:rsidRPr="008C0621" w:rsidRDefault="00C16255" w:rsidP="00D07ED7">
            <w:pPr>
              <w:jc w:val="left"/>
              <w:rPr>
                <w:b/>
                <w:bCs/>
                <w:sz w:val="28"/>
                <w:szCs w:val="28"/>
              </w:rPr>
            </w:pPr>
            <w:r w:rsidRPr="008C0621">
              <w:rPr>
                <w:b/>
                <w:bCs/>
                <w:sz w:val="28"/>
                <w:szCs w:val="28"/>
              </w:rPr>
              <w:t>Đạt tất cả các nội dung nêu trên</w:t>
            </w:r>
          </w:p>
        </w:tc>
        <w:tc>
          <w:tcPr>
            <w:tcW w:w="0" w:type="auto"/>
            <w:tcMar>
              <w:top w:w="30" w:type="dxa"/>
              <w:left w:w="45" w:type="dxa"/>
              <w:bottom w:w="30" w:type="dxa"/>
              <w:right w:w="45" w:type="dxa"/>
            </w:tcMar>
            <w:vAlign w:val="center"/>
            <w:hideMark/>
          </w:tcPr>
          <w:p w:rsidR="00C16255" w:rsidRPr="008C0621" w:rsidRDefault="00C16255" w:rsidP="00D07ED7">
            <w:pPr>
              <w:jc w:val="center"/>
              <w:rPr>
                <w:b/>
                <w:bCs/>
                <w:sz w:val="28"/>
                <w:szCs w:val="28"/>
              </w:rPr>
            </w:pPr>
            <w:r w:rsidRPr="008C0621">
              <w:rPr>
                <w:b/>
                <w:bCs/>
                <w:sz w:val="28"/>
                <w:szCs w:val="28"/>
              </w:rPr>
              <w:t>ĐẠT</w:t>
            </w:r>
          </w:p>
        </w:tc>
      </w:tr>
    </w:tbl>
    <w:p w:rsidR="00C16255" w:rsidRPr="008C0621" w:rsidRDefault="00C16255" w:rsidP="00C16255">
      <w:pPr>
        <w:spacing w:after="160" w:line="259" w:lineRule="auto"/>
        <w:jc w:val="left"/>
        <w:rPr>
          <w:rFonts w:eastAsia="Batang"/>
          <w:b/>
          <w:bCs/>
          <w:iCs/>
          <w:noProof/>
          <w:kern w:val="36"/>
          <w:sz w:val="28"/>
          <w:szCs w:val="28"/>
          <w:lang w:val="vi-VN"/>
        </w:rPr>
      </w:pPr>
    </w:p>
    <w:p w:rsidR="00C16255" w:rsidRPr="008C0621" w:rsidRDefault="00C16255" w:rsidP="00C16255">
      <w:pPr>
        <w:pStyle w:val="TOC1"/>
        <w:rPr>
          <w:rFonts w:ascii="Times New Roman" w:hAnsi="Times New Roman" w:cs="Times New Roman"/>
        </w:rPr>
      </w:pPr>
      <w:r w:rsidRPr="008C0621">
        <w:rPr>
          <w:rFonts w:ascii="Times New Roman" w:hAnsi="Times New Roman" w:cs="Times New Roman"/>
        </w:rPr>
        <w:t>Mục 4. Tiêu chuẩn đánh giá về tài chính</w:t>
      </w:r>
    </w:p>
    <w:bookmarkEnd w:id="0"/>
    <w:p w:rsidR="00D379C8" w:rsidRPr="008C0621" w:rsidRDefault="008C0621">
      <w:pPr>
        <w:rPr>
          <w:sz w:val="28"/>
          <w:szCs w:val="28"/>
        </w:rPr>
      </w:pPr>
    </w:p>
    <w:sectPr w:rsidR="00D379C8" w:rsidRPr="008C06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5"/>
    <w:rsid w:val="00856A6D"/>
    <w:rsid w:val="008C0621"/>
    <w:rsid w:val="00A921CD"/>
    <w:rsid w:val="00C1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B57FD-9673-4492-BDA1-7C55167B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25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heading 3"/>
    <w:basedOn w:val="Normal"/>
    <w:next w:val="Normal"/>
    <w:autoRedefine/>
    <w:uiPriority w:val="39"/>
    <w:qFormat/>
    <w:rsid w:val="00C16255"/>
    <w:pPr>
      <w:tabs>
        <w:tab w:val="right" w:leader="dot" w:pos="9062"/>
      </w:tabs>
      <w:spacing w:before="80" w:after="80" w:line="264" w:lineRule="auto"/>
      <w:ind w:firstLine="709"/>
      <w:jc w:val="left"/>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MinhDuc</dc:creator>
  <cp:keywords/>
  <dc:description/>
  <cp:lastModifiedBy>MinhDuc</cp:lastModifiedBy>
  <cp:revision>2</cp:revision>
  <dcterms:created xsi:type="dcterms:W3CDTF">2025-10-06T15:02:00Z</dcterms:created>
  <dcterms:modified xsi:type="dcterms:W3CDTF">2025-10-06T15:03:00Z</dcterms:modified>
</cp:coreProperties>
</file>