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ECCA" w14:textId="77777777" w:rsidR="00D512DA" w:rsidRPr="00D512DA" w:rsidRDefault="00D512DA" w:rsidP="00D512DA">
      <w:pPr>
        <w:suppressAutoHyphens/>
        <w:spacing w:before="60" w:after="60" w:line="288" w:lineRule="auto"/>
        <w:jc w:val="center"/>
        <w:outlineLvl w:val="0"/>
        <w:rPr>
          <w:rFonts w:ascii="Times New Roman" w:eastAsia="Times New Roman" w:hAnsi="Times New Roman" w:cs="Times New Roman"/>
          <w:b/>
          <w:color w:val="000000" w:themeColor="text1"/>
          <w:kern w:val="0"/>
          <w:sz w:val="28"/>
          <w:szCs w:val="28"/>
          <w:lang w:val="es-ES"/>
          <w14:ligatures w14:val="none"/>
        </w:rPr>
      </w:pPr>
      <w:bookmarkStart w:id="0" w:name="_Toc154510932"/>
      <w:r w:rsidRPr="00D512DA">
        <w:rPr>
          <w:rFonts w:ascii="Times New Roman" w:eastAsia="Times New Roman" w:hAnsi="Times New Roman" w:cs="Times New Roman"/>
          <w:b/>
          <w:color w:val="000000" w:themeColor="text1"/>
          <w:kern w:val="0"/>
          <w:sz w:val="28"/>
          <w:szCs w:val="28"/>
          <w:lang w:val="it-IT"/>
          <w14:ligatures w14:val="none"/>
        </w:rPr>
        <w:t xml:space="preserve">PHẦN 2. ĐIỀU </w:t>
      </w:r>
      <w:r w:rsidRPr="00D512DA">
        <w:rPr>
          <w:rFonts w:ascii="Times New Roman" w:eastAsia="Times New Roman" w:hAnsi="Times New Roman" w:cs="Times New Roman"/>
          <w:b/>
          <w:color w:val="000000" w:themeColor="text1"/>
          <w:kern w:val="0"/>
          <w:sz w:val="28"/>
          <w:szCs w:val="28"/>
          <w:lang w:val="es-ES"/>
          <w14:ligatures w14:val="none"/>
        </w:rPr>
        <w:t>KHOẢN THAM CHIẾU</w:t>
      </w:r>
      <w:bookmarkEnd w:id="0"/>
    </w:p>
    <w:p w14:paraId="1529DCF3" w14:textId="77777777" w:rsidR="00D512DA" w:rsidRPr="00D512DA" w:rsidRDefault="00D512DA" w:rsidP="00D512DA">
      <w:pPr>
        <w:suppressAutoHyphens/>
        <w:spacing w:before="60" w:after="60" w:line="288" w:lineRule="auto"/>
        <w:jc w:val="center"/>
        <w:outlineLvl w:val="0"/>
        <w:rPr>
          <w:rFonts w:ascii="Times New Roman" w:eastAsia="Times New Roman" w:hAnsi="Times New Roman" w:cs="Times New Roman"/>
          <w:b/>
          <w:color w:val="000000" w:themeColor="text1"/>
          <w:kern w:val="0"/>
          <w:sz w:val="28"/>
          <w:szCs w:val="28"/>
          <w:lang w:val="es-ES"/>
          <w14:ligatures w14:val="none"/>
        </w:rPr>
      </w:pPr>
      <w:bookmarkStart w:id="1" w:name="_Toc154510933"/>
      <w:r w:rsidRPr="00D512DA">
        <w:rPr>
          <w:rFonts w:ascii="Times New Roman" w:eastAsia="Times New Roman" w:hAnsi="Times New Roman" w:cs="Times New Roman"/>
          <w:b/>
          <w:color w:val="000000" w:themeColor="text1"/>
          <w:kern w:val="0"/>
          <w:sz w:val="28"/>
          <w:szCs w:val="28"/>
          <w:lang w:val="es-ES"/>
          <w14:ligatures w14:val="none"/>
        </w:rPr>
        <w:t>CHƯƠNG V. ĐIỀU KHOẢN THAM CHIẾU</w:t>
      </w:r>
      <w:bookmarkEnd w:id="1"/>
    </w:p>
    <w:p w14:paraId="020E0869" w14:textId="77777777" w:rsidR="00D512DA" w:rsidRPr="00D512DA" w:rsidRDefault="00D512DA" w:rsidP="00D512DA">
      <w:pPr>
        <w:spacing w:before="60" w:after="60" w:line="240" w:lineRule="auto"/>
        <w:ind w:firstLine="720"/>
        <w:jc w:val="both"/>
        <w:rPr>
          <w:rFonts w:ascii="Times New Roman" w:eastAsia="Times New Roman" w:hAnsi="Times New Roman" w:cs="Times New Roman"/>
          <w:i/>
          <w:iCs/>
          <w:color w:val="000000" w:themeColor="text1"/>
          <w:kern w:val="0"/>
          <w:sz w:val="28"/>
          <w:szCs w:val="28"/>
          <w:lang w:val="it-IT"/>
          <w14:ligatures w14:val="none"/>
        </w:rPr>
      </w:pPr>
      <w:r w:rsidRPr="00D512DA">
        <w:rPr>
          <w:rFonts w:ascii="Times New Roman" w:eastAsia="Times New Roman" w:hAnsi="Times New Roman" w:cs="Times New Roman"/>
          <w:bCs/>
          <w:i/>
          <w:iCs/>
          <w:color w:val="000000" w:themeColor="text1"/>
          <w:kern w:val="0"/>
          <w:sz w:val="28"/>
          <w:szCs w:val="28"/>
          <w:lang w:val="it-IT"/>
          <w14:ligatures w14:val="none"/>
        </w:rPr>
        <w:t>“Điều khoản tham chiếu" bao gồm những nội dung chủ yếu sau:</w:t>
      </w:r>
    </w:p>
    <w:p w14:paraId="6F65451C"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color w:val="000000" w:themeColor="text1"/>
          <w:kern w:val="0"/>
          <w:sz w:val="28"/>
          <w:szCs w:val="28"/>
          <w:lang w:val="it-IT"/>
          <w14:ligatures w14:val="none"/>
        </w:rPr>
      </w:pPr>
      <w:r w:rsidRPr="00D512DA">
        <w:rPr>
          <w:rFonts w:ascii="Times New Roman" w:eastAsia="Times New Roman" w:hAnsi="Times New Roman" w:cs="Times New Roman"/>
          <w:b/>
          <w:color w:val="000000" w:themeColor="text1"/>
          <w:kern w:val="0"/>
          <w:sz w:val="28"/>
          <w:szCs w:val="28"/>
          <w:lang w:val="it-IT"/>
          <w14:ligatures w14:val="none"/>
        </w:rPr>
        <w:t>I. Giới thiệu:</w:t>
      </w:r>
    </w:p>
    <w:p w14:paraId="1B194062"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iCs/>
          <w:color w:val="000000" w:themeColor="text1"/>
          <w:kern w:val="0"/>
          <w:sz w:val="28"/>
          <w:szCs w:val="28"/>
          <w:lang w:val="it-IT"/>
          <w14:ligatures w14:val="none"/>
        </w:rPr>
      </w:pPr>
      <w:r w:rsidRPr="00D512DA">
        <w:rPr>
          <w:rFonts w:ascii="Times New Roman" w:eastAsia="Times New Roman" w:hAnsi="Times New Roman" w:cs="Times New Roman"/>
          <w:b/>
          <w:bCs/>
          <w:iCs/>
          <w:color w:val="000000" w:themeColor="text1"/>
          <w:kern w:val="0"/>
          <w:sz w:val="28"/>
          <w:szCs w:val="28"/>
          <w:lang w:val="it-IT"/>
          <w14:ligatures w14:val="none"/>
        </w:rPr>
        <w:t>A. Thông tin về dự án:</w:t>
      </w:r>
    </w:p>
    <w:p w14:paraId="32C7A7B9"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1. Tên dự án: Trạm biến áp 220kV Phước Long và đấu nối.</w:t>
      </w:r>
    </w:p>
    <w:p w14:paraId="307A3FEC"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2. Chủ đầu tư: Tổng công ty truyền tải điện Quốc Gia (EVNNPT).</w:t>
      </w:r>
    </w:p>
    <w:p w14:paraId="5CF300CC"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3. Quản lý thực hiện dự án: Ban QLDA các công trình điện miền Nam (SPMB).</w:t>
      </w:r>
    </w:p>
    <w:p w14:paraId="7172778F"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4. Mục tiêu đầu tư xây dựng:</w:t>
      </w:r>
    </w:p>
    <w:p w14:paraId="4F61A6E7" w14:textId="77777777" w:rsidR="00D512DA" w:rsidRPr="00D512DA" w:rsidRDefault="00D512DA" w:rsidP="00D512DA">
      <w:pPr>
        <w:spacing w:before="60" w:after="60" w:line="240" w:lineRule="auto"/>
        <w:ind w:firstLine="720"/>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Trạm biến áp 220kV Phước Long và đấu nối được xây dựng với các mục đích sau:</w:t>
      </w:r>
    </w:p>
    <w:p w14:paraId="704CD2CB"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Đảm bảo an toàn vận hành, nâng cao độ tin cậy nhằm đáp ứng nhu cầu cung cấp điện cho phụ tải khu vực Huyện Phú Riềng và lân cận;</w:t>
      </w:r>
    </w:p>
    <w:p w14:paraId="4E3F9EA5"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Cung cấp điện cho khu vực huyện Phú Riềng, thị xã Phước Long và các huyện lân cận phục vụ cho mục tiêu phát triển kinh tế - xã hội của khu vực nói riêng và tỉnh Bình Phước nói chung;</w:t>
      </w:r>
    </w:p>
    <w:p w14:paraId="79B6052B"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Hỗ trợ cung cấp điện cho các TBA 110 kV hiện hữu và các TBA 110 kV xây dựng mới trong khu vực;</w:t>
      </w:r>
    </w:p>
    <w:p w14:paraId="56F12BAB"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San sẻ phụ tải với TBA 220 kV Bình Long 2 chống quá tải trạm biến áp này, đảm bảo vận hành an toàn, giảm tổn thất điện năng và ổn định hệ thống điện.</w:t>
      </w:r>
    </w:p>
    <w:p w14:paraId="7D25326F"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Phù hợp với Quy hoạch phát triển điện lực quốc gia thời kỳ 2021-2030, tầm nhìn đến năm 2050, đã được Thủ tướng Chính phủ phê duyệt tại Quyết định số 500/QĐ-TTg ngày 15 tháng 5 năm 2023; Quy hoạch tỉnh Bình Phước thời kỳ 2021-2030, tầm nhìn đến năm 2050 theo Quyết định số 1489/QĐ-TTg ngày 24 tháng 11 năm 2023 của Thủ Tướng Chính phủ.</w:t>
      </w:r>
    </w:p>
    <w:p w14:paraId="170CBB12"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5. Địa điểm xây dựng:</w:t>
      </w:r>
    </w:p>
    <w:p w14:paraId="5E7166FF" w14:textId="77777777" w:rsidR="00D512DA" w:rsidRPr="00D512DA" w:rsidRDefault="00D512DA" w:rsidP="00D512DA">
      <w:pPr>
        <w:spacing w:before="60" w:after="60" w:line="240" w:lineRule="auto"/>
        <w:ind w:firstLine="720"/>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Trạm biến áp 220 kV Phước Long và đấu nối được xây dựng trên khu đất thuộc thôn Tân Long, xã Bù Nho, huyện Phú Riềng, tỉnh Bình Phước – nay là xã Phú Riềng, tỉnh Đồng Nai. Vị trí địa lý khu vực xây dựng trạm biến áp được xác định như sau: Từ trung tâm xã Bù Nho theo ĐT.741, tại Km 95+200, xác định vị trí trạm bên tay phải cách ĐT.741 khoảng 100 m.</w:t>
      </w:r>
    </w:p>
    <w:p w14:paraId="3F892D16"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 xml:space="preserve">6. Quy mô đầu tư xây dựng: </w:t>
      </w:r>
    </w:p>
    <w:p w14:paraId="0C9386C7" w14:textId="77777777" w:rsidR="00D512DA" w:rsidRPr="00D512DA" w:rsidRDefault="00D512DA" w:rsidP="00D512DA">
      <w:pPr>
        <w:spacing w:before="60" w:after="60" w:line="240" w:lineRule="auto"/>
        <w:ind w:firstLine="720"/>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Trạm biến áp 220kV Phước Long và đấu nối có các đặc điểm chính như sau:</w:t>
      </w:r>
    </w:p>
    <w:p w14:paraId="12A63558"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Phần trạm biến áp 220 kV Phước Long: Xây dựng mới trạm biến áp 220/110 kV với quy mô:</w:t>
      </w:r>
    </w:p>
    <w:p w14:paraId="0D593B87" w14:textId="77777777" w:rsidR="00D512DA" w:rsidRPr="00D512DA" w:rsidRDefault="00D512DA" w:rsidP="00D512DA">
      <w:pPr>
        <w:numPr>
          <w:ilvl w:val="0"/>
          <w:numId w:val="2"/>
        </w:numPr>
        <w:spacing w:before="60" w:after="60" w:line="240" w:lineRule="auto"/>
        <w:ind w:left="1135"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lastRenderedPageBreak/>
        <w:t xml:space="preserve">Xây  dựng  mới  TBA  220kV  Phước  Long  kiểu  ngoài  trời  với  quy  mô  02  MBA 220/110/22kV - 250MVA, giai đoạn này lắp 1x250MVA: </w:t>
      </w:r>
    </w:p>
    <w:p w14:paraId="334D5341" w14:textId="77777777" w:rsidR="00D512DA" w:rsidRPr="00D512DA" w:rsidRDefault="00D512DA" w:rsidP="00D512DA">
      <w:pPr>
        <w:numPr>
          <w:ilvl w:val="0"/>
          <w:numId w:val="2"/>
        </w:numPr>
        <w:spacing w:before="60" w:after="60" w:line="240" w:lineRule="auto"/>
        <w:ind w:left="1135"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 xml:space="preserve">HTPP 220kV với 10 ngăn lộ bố trí theo sơ đồ hai hệ thống thanh cái có thanh cái đường vòng, giai đoạn này vận hành theo sơ đồ tam giác.  </w:t>
      </w:r>
    </w:p>
    <w:p w14:paraId="387FBAB5" w14:textId="77777777" w:rsidR="00D512DA" w:rsidRPr="00D512DA" w:rsidRDefault="00D512DA" w:rsidP="00D512DA">
      <w:pPr>
        <w:numPr>
          <w:ilvl w:val="0"/>
          <w:numId w:val="2"/>
        </w:numPr>
        <w:spacing w:before="60" w:after="60" w:line="240" w:lineRule="auto"/>
        <w:ind w:left="1135"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HTPP 110kV với 16 ngăn lộ bố trí theo sơ đồ hệ thống hai thanh cái có thanh cái đường vòng.</w:t>
      </w:r>
    </w:p>
    <w:p w14:paraId="172A8048" w14:textId="77777777" w:rsidR="00D512DA" w:rsidRPr="00D512DA" w:rsidRDefault="00D512DA" w:rsidP="00D512DA">
      <w:pPr>
        <w:numPr>
          <w:ilvl w:val="0"/>
          <w:numId w:val="2"/>
        </w:numPr>
        <w:spacing w:before="60" w:after="60" w:line="240" w:lineRule="auto"/>
        <w:ind w:left="1135"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Phía 22 kV: thiết bị ngoài trời bố trí theo sơ đồ khối;</w:t>
      </w:r>
    </w:p>
    <w:p w14:paraId="54880B6B" w14:textId="77777777" w:rsidR="00D512DA" w:rsidRPr="00D512DA" w:rsidRDefault="00D512DA" w:rsidP="00D512DA">
      <w:pPr>
        <w:numPr>
          <w:ilvl w:val="0"/>
          <w:numId w:val="2"/>
        </w:numPr>
        <w:spacing w:before="60" w:after="60" w:line="240" w:lineRule="auto"/>
        <w:ind w:left="1135"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Hệ thống điều khiển, bảo vệ và đo lường, thông tin liên lạc và SCADA: được trang bị phù hợp quy định của EVN, EVNNPT, tuân thủ quy phạm và các quy định hiện hành.</w:t>
      </w:r>
    </w:p>
    <w:p w14:paraId="022AE9BB"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 xml:space="preserve">Phần đường dây 220 kV đấu nối: </w:t>
      </w:r>
    </w:p>
    <w:p w14:paraId="435566F4" w14:textId="77777777" w:rsidR="00D512DA" w:rsidRPr="00D512DA" w:rsidRDefault="00D512DA" w:rsidP="00D512DA">
      <w:pPr>
        <w:numPr>
          <w:ilvl w:val="0"/>
          <w:numId w:val="2"/>
        </w:numPr>
        <w:spacing w:before="60" w:after="60" w:line="240" w:lineRule="auto"/>
        <w:ind w:left="1135"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 xml:space="preserve">Xây dựng đường dây 220kV mạch kép dài khoảng 155m, dây dẫn 3xACSR-330/43 (phân pha 3) đấu nối transit trên 01 mạch đường dây 220kV Đăk Nông – Bình Long hiện  có. </w:t>
      </w:r>
    </w:p>
    <w:p w14:paraId="3E5B6513" w14:textId="77777777" w:rsidR="00D512DA" w:rsidRPr="00D512DA" w:rsidRDefault="00D512DA" w:rsidP="00D512DA">
      <w:pPr>
        <w:numPr>
          <w:ilvl w:val="0"/>
          <w:numId w:val="2"/>
        </w:numPr>
        <w:spacing w:before="60" w:after="60" w:line="240" w:lineRule="auto"/>
        <w:ind w:left="1135"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Xây dựng 01 đường dây 01 mạch 22kV dài khoảng 227m, dây dẫn ACX-50 để cấp điện thi công - tự dùng cho trạm.</w:t>
      </w:r>
    </w:p>
    <w:p w14:paraId="534170DA"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7. Cấp công trình: Công trình năng lượng cấp I, nhóm B.</w:t>
      </w:r>
    </w:p>
    <w:p w14:paraId="10934B11"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8. Tổng mức đầu tư Dự án</w:t>
      </w:r>
    </w:p>
    <w:p w14:paraId="7DB385EB" w14:textId="77777777" w:rsidR="00D512DA" w:rsidRPr="00D512DA" w:rsidRDefault="00D512DA" w:rsidP="00D512DA">
      <w:pPr>
        <w:spacing w:before="60" w:after="60" w:line="240" w:lineRule="auto"/>
        <w:ind w:firstLine="720"/>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Tổng mức đầu tư của dự án: 266.681.000.000 đồng theo Quyết định phê duyệt số 1049/QĐ-EVNNPT ngày 24/8/2021 của EVNNPT về việc phê duyệt Dự án đầu tư xây dựng công trình Trạm biến áp 220 kV Phước Long và đấu nối. Trong đó:</w:t>
      </w:r>
    </w:p>
    <w:p w14:paraId="6B2571CB"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Chi phí BTGPMB, tái định cư</w:t>
      </w:r>
      <w:r w:rsidRPr="00D512DA">
        <w:rPr>
          <w:rFonts w:ascii="Times New Roman" w:eastAsia="Times New Roman" w:hAnsi="Times New Roman" w:cs="Times New Roman"/>
          <w:iCs/>
          <w:color w:val="000000" w:themeColor="text1"/>
          <w:kern w:val="0"/>
          <w:sz w:val="28"/>
          <w:szCs w:val="28"/>
          <w:lang w:val="it-IT"/>
          <w14:ligatures w14:val="none"/>
        </w:rPr>
        <w:tab/>
        <w:t>:</w:t>
      </w:r>
      <w:r w:rsidRPr="00D512DA">
        <w:rPr>
          <w:rFonts w:ascii="Times New Roman" w:eastAsia="Times New Roman" w:hAnsi="Times New Roman" w:cs="Times New Roman"/>
          <w:iCs/>
          <w:color w:val="000000" w:themeColor="text1"/>
          <w:kern w:val="0"/>
          <w:sz w:val="28"/>
          <w:szCs w:val="28"/>
          <w:lang w:val="it-IT"/>
          <w14:ligatures w14:val="none"/>
        </w:rPr>
        <w:tab/>
        <w:t>12.576.000.000 đồng</w:t>
      </w:r>
    </w:p>
    <w:p w14:paraId="168B6878"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Chi phí xây dựng</w:t>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t>:</w:t>
      </w:r>
      <w:r w:rsidRPr="00D512DA">
        <w:rPr>
          <w:rFonts w:ascii="Times New Roman" w:eastAsia="Times New Roman" w:hAnsi="Times New Roman" w:cs="Times New Roman"/>
          <w:iCs/>
          <w:color w:val="000000" w:themeColor="text1"/>
          <w:kern w:val="0"/>
          <w:sz w:val="28"/>
          <w:szCs w:val="28"/>
          <w:lang w:val="it-IT"/>
          <w14:ligatures w14:val="none"/>
        </w:rPr>
        <w:tab/>
        <w:t>78.738.000.000 đồng</w:t>
      </w:r>
    </w:p>
    <w:p w14:paraId="7D337079"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Chi phí thiết bị</w:t>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t>:</w:t>
      </w:r>
      <w:r w:rsidRPr="00D512DA">
        <w:rPr>
          <w:rFonts w:ascii="Times New Roman" w:eastAsia="Times New Roman" w:hAnsi="Times New Roman" w:cs="Times New Roman"/>
          <w:iCs/>
          <w:color w:val="000000" w:themeColor="text1"/>
          <w:kern w:val="0"/>
          <w:sz w:val="28"/>
          <w:szCs w:val="28"/>
          <w:lang w:val="it-IT"/>
          <w14:ligatures w14:val="none"/>
        </w:rPr>
        <w:tab/>
        <w:t>117.335.000.000 đồng</w:t>
      </w:r>
    </w:p>
    <w:p w14:paraId="396ECA98"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Chi phí quản lý dự án</w:t>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t>:</w:t>
      </w:r>
      <w:r w:rsidRPr="00D512DA">
        <w:rPr>
          <w:rFonts w:ascii="Times New Roman" w:eastAsia="Times New Roman" w:hAnsi="Times New Roman" w:cs="Times New Roman"/>
          <w:iCs/>
          <w:color w:val="000000" w:themeColor="text1"/>
          <w:kern w:val="0"/>
          <w:sz w:val="28"/>
          <w:szCs w:val="28"/>
          <w:lang w:val="it-IT"/>
          <w14:ligatures w14:val="none"/>
        </w:rPr>
        <w:tab/>
        <w:t>2.612.000.000 đồng</w:t>
      </w:r>
    </w:p>
    <w:p w14:paraId="6A5EEDC7"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Chi phí tư vấn ĐTXD</w:t>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t>:</w:t>
      </w:r>
      <w:r w:rsidRPr="00D512DA">
        <w:rPr>
          <w:rFonts w:ascii="Times New Roman" w:eastAsia="Times New Roman" w:hAnsi="Times New Roman" w:cs="Times New Roman"/>
          <w:iCs/>
          <w:color w:val="000000" w:themeColor="text1"/>
          <w:kern w:val="0"/>
          <w:sz w:val="28"/>
          <w:szCs w:val="28"/>
          <w:lang w:val="it-IT"/>
          <w14:ligatures w14:val="none"/>
        </w:rPr>
        <w:tab/>
        <w:t>10.042.000.000 đồng</w:t>
      </w:r>
    </w:p>
    <w:p w14:paraId="56D4CCD9"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Chi phí khác</w:t>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t>:</w:t>
      </w:r>
      <w:r w:rsidRPr="00D512DA">
        <w:rPr>
          <w:rFonts w:ascii="Times New Roman" w:eastAsia="Times New Roman" w:hAnsi="Times New Roman" w:cs="Times New Roman"/>
          <w:iCs/>
          <w:color w:val="000000" w:themeColor="text1"/>
          <w:kern w:val="0"/>
          <w:sz w:val="28"/>
          <w:szCs w:val="28"/>
          <w:lang w:val="it-IT"/>
          <w14:ligatures w14:val="none"/>
        </w:rPr>
        <w:tab/>
        <w:t>15.851.000.000 đồng</w:t>
      </w:r>
    </w:p>
    <w:p w14:paraId="3CC38DB4"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Dự phòng</w:t>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r>
      <w:r w:rsidRPr="00D512DA">
        <w:rPr>
          <w:rFonts w:ascii="Times New Roman" w:eastAsia="Times New Roman" w:hAnsi="Times New Roman" w:cs="Times New Roman"/>
          <w:iCs/>
          <w:color w:val="000000" w:themeColor="text1"/>
          <w:kern w:val="0"/>
          <w:sz w:val="28"/>
          <w:szCs w:val="28"/>
          <w:lang w:val="it-IT"/>
          <w14:ligatures w14:val="none"/>
        </w:rPr>
        <w:tab/>
        <w:t>:</w:t>
      </w:r>
      <w:r w:rsidRPr="00D512DA">
        <w:rPr>
          <w:rFonts w:ascii="Times New Roman" w:eastAsia="Times New Roman" w:hAnsi="Times New Roman" w:cs="Times New Roman"/>
          <w:iCs/>
          <w:color w:val="000000" w:themeColor="text1"/>
          <w:kern w:val="0"/>
          <w:sz w:val="28"/>
          <w:szCs w:val="28"/>
          <w:lang w:val="it-IT"/>
          <w14:ligatures w14:val="none"/>
        </w:rPr>
        <w:tab/>
        <w:t>29.528.000.000 đồng</w:t>
      </w:r>
    </w:p>
    <w:p w14:paraId="3520094F"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9. Nguồn vốn đầu tư: sử dụng nguồn vốn EVNNPT huy động và vốn tự có EVNNPT phân bổ theo kế hoạch.</w:t>
      </w:r>
    </w:p>
    <w:p w14:paraId="2911EA27"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10. Hình thức quản lý dự án:</w:t>
      </w:r>
    </w:p>
    <w:p w14:paraId="2F509477"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Tổng công ty Truyền tải điện Quốc gia làm chủ đầu tư dự án.</w:t>
      </w:r>
    </w:p>
    <w:p w14:paraId="415C58D8"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Giao ban QLDA các công trình điện miền Nam đại diện cho chủ đầu tư trực tiếp quản lý thực hiện dự án.</w:t>
      </w:r>
    </w:p>
    <w:p w14:paraId="0EC9387A"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11.</w:t>
      </w:r>
      <w:r w:rsidRPr="00D512DA">
        <w:rPr>
          <w:rFonts w:ascii="Times New Roman" w:eastAsia="Times New Roman" w:hAnsi="Times New Roman" w:cs="Times New Roman"/>
          <w:iCs/>
          <w:color w:val="000000" w:themeColor="text1"/>
          <w:kern w:val="0"/>
          <w:sz w:val="28"/>
          <w:szCs w:val="28"/>
          <w:lang w:val="it-IT"/>
          <w14:ligatures w14:val="none"/>
        </w:rPr>
        <w:tab/>
        <w:t>Thời gian thực hiện dự án: năm 2019 - 2024.</w:t>
      </w:r>
    </w:p>
    <w:p w14:paraId="58886A46"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iCs/>
          <w:color w:val="000000" w:themeColor="text1"/>
          <w:kern w:val="0"/>
          <w:sz w:val="28"/>
          <w:szCs w:val="28"/>
          <w:lang w:val="it-IT"/>
          <w14:ligatures w14:val="none"/>
        </w:rPr>
      </w:pPr>
      <w:r w:rsidRPr="00D512DA">
        <w:rPr>
          <w:rFonts w:ascii="Times New Roman" w:eastAsia="Times New Roman" w:hAnsi="Times New Roman" w:cs="Times New Roman"/>
          <w:b/>
          <w:bCs/>
          <w:iCs/>
          <w:color w:val="000000" w:themeColor="text1"/>
          <w:kern w:val="0"/>
          <w:sz w:val="28"/>
          <w:szCs w:val="28"/>
          <w:lang w:val="it-IT"/>
          <w14:ligatures w14:val="none"/>
        </w:rPr>
        <w:t>B. Mô tả mục đích tuyển chọn nhà thầu.</w:t>
      </w:r>
    </w:p>
    <w:p w14:paraId="0461E3FD"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1.</w:t>
      </w:r>
      <w:r w:rsidRPr="00D512DA">
        <w:rPr>
          <w:rFonts w:ascii="Times New Roman" w:eastAsia="Times New Roman" w:hAnsi="Times New Roman" w:cs="Times New Roman"/>
          <w:iCs/>
          <w:color w:val="000000" w:themeColor="text1"/>
          <w:kern w:val="0"/>
          <w:sz w:val="28"/>
          <w:szCs w:val="28"/>
          <w:lang w:val="it-IT"/>
          <w14:ligatures w14:val="none"/>
        </w:rPr>
        <w:tab/>
        <w:t xml:space="preserve">Trên cơ sở nhiệm vụ của dự án và các thông tin đã nêu ở trên, mục đích của tuyển chọn tư vấn là: Lựa chọn một nhà thầu tư vấn có kinh nghiệm và khả </w:t>
      </w:r>
      <w:r w:rsidRPr="00D512DA">
        <w:rPr>
          <w:rFonts w:ascii="Times New Roman" w:eastAsia="Times New Roman" w:hAnsi="Times New Roman" w:cs="Times New Roman"/>
          <w:iCs/>
          <w:color w:val="000000" w:themeColor="text1"/>
          <w:kern w:val="0"/>
          <w:sz w:val="28"/>
          <w:szCs w:val="28"/>
          <w:lang w:val="it-IT"/>
          <w14:ligatures w14:val="none"/>
        </w:rPr>
        <w:lastRenderedPageBreak/>
        <w:t>năng thực hiện các nội dung sau đây với chi phí thấp nhất và tiêu chuẩn chất lượng đảm bảo, hoàn thành hợp đồng đúng hạn. Nhà thầu kiểm toán khi thực hiện kiểm toán quyết toán dự án này phải tuân thủ Chuẩn mực Kiểm toán Việt Nam số 1000 Kiểm toán báo cáo quyết toán dự án hoàn thành ban hành kèm theo thông tư số 67/2015/TT-BTC ngày 08/05/2015 của Bộ Tài chính.</w:t>
      </w:r>
    </w:p>
    <w:p w14:paraId="3A740B3F"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2.</w:t>
      </w:r>
      <w:r w:rsidRPr="00D512DA">
        <w:rPr>
          <w:rFonts w:ascii="Times New Roman" w:eastAsia="Times New Roman" w:hAnsi="Times New Roman" w:cs="Times New Roman"/>
          <w:iCs/>
          <w:color w:val="000000" w:themeColor="text1"/>
          <w:kern w:val="0"/>
          <w:sz w:val="28"/>
          <w:szCs w:val="28"/>
          <w:lang w:val="it-IT"/>
          <w14:ligatures w14:val="none"/>
        </w:rPr>
        <w:tab/>
        <w:t>Kiểm toán Dự án theo các hướng dẫn hiện hành của các cơ quan có thẩm quyền và  các quy định của Nhà nước.</w:t>
      </w:r>
    </w:p>
    <w:p w14:paraId="10E03B6B"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b/>
          <w:bCs/>
          <w:iCs/>
          <w:color w:val="000000" w:themeColor="text1"/>
          <w:kern w:val="0"/>
          <w:sz w:val="28"/>
          <w:szCs w:val="28"/>
          <w:lang w:val="it-IT"/>
          <w14:ligatures w14:val="none"/>
        </w:rPr>
      </w:pPr>
      <w:r w:rsidRPr="00D512DA">
        <w:rPr>
          <w:rFonts w:ascii="Times New Roman" w:eastAsia="Times New Roman" w:hAnsi="Times New Roman" w:cs="Times New Roman"/>
          <w:b/>
          <w:bCs/>
          <w:iCs/>
          <w:color w:val="000000" w:themeColor="text1"/>
          <w:kern w:val="0"/>
          <w:sz w:val="28"/>
          <w:szCs w:val="28"/>
          <w:lang w:val="it-IT"/>
          <w14:ligatures w14:val="none"/>
        </w:rPr>
        <w:t>C. Thông tin về gói thầu</w:t>
      </w:r>
    </w:p>
    <w:p w14:paraId="05542EF3" w14:textId="04FA6717" w:rsidR="00D512DA" w:rsidRPr="00D512DA" w:rsidRDefault="00D512DA" w:rsidP="00D512DA">
      <w:pPr>
        <w:spacing w:before="60" w:after="60" w:line="240" w:lineRule="auto"/>
        <w:ind w:firstLine="720"/>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 xml:space="preserve">Theo Quyết định số </w:t>
      </w:r>
      <w:r w:rsidRPr="00B80652">
        <w:rPr>
          <w:rFonts w:ascii="Times New Roman" w:hAnsi="Times New Roman" w:cs="Times New Roman"/>
          <w:iCs/>
          <w:color w:val="000000" w:themeColor="text1"/>
          <w:sz w:val="28"/>
          <w:szCs w:val="28"/>
        </w:rPr>
        <w:t>1963</w:t>
      </w:r>
      <w:r w:rsidRPr="00B80652">
        <w:rPr>
          <w:rFonts w:ascii="Times New Roman" w:hAnsi="Times New Roman" w:cs="Times New Roman"/>
          <w:iCs/>
          <w:color w:val="000000" w:themeColor="text1"/>
          <w:sz w:val="28"/>
          <w:szCs w:val="28"/>
          <w:lang w:val="it-IT"/>
        </w:rPr>
        <w:t>/QĐ-EVNNPT ngày 06/10/2025</w:t>
      </w:r>
      <w:r w:rsidRPr="00B80652">
        <w:rPr>
          <w:rFonts w:ascii="Times New Roman" w:hAnsi="Times New Roman" w:cs="Times New Roman"/>
          <w:iCs/>
          <w:color w:val="000000" w:themeColor="text1"/>
          <w:sz w:val="28"/>
          <w:szCs w:val="28"/>
        </w:rPr>
        <w:t xml:space="preserve"> của EVNNPT về việc phê duyệt điều chỉnh Kế hoạch lựa chọn nhà thầu đợt 3 (gói thầu số 13) cho Dự án</w:t>
      </w:r>
      <w:r w:rsidRPr="00D512DA">
        <w:rPr>
          <w:rFonts w:ascii="Times New Roman" w:eastAsia="Times New Roman" w:hAnsi="Times New Roman" w:cs="Times New Roman"/>
          <w:iCs/>
          <w:color w:val="000000" w:themeColor="text1"/>
          <w:kern w:val="0"/>
          <w:sz w:val="28"/>
          <w:szCs w:val="28"/>
          <w:lang w:val="it-IT"/>
          <w14:ligatures w14:val="none"/>
        </w:rPr>
        <w:t>, Quyết định số 7785/QĐ-SPMB ngày 19/7/2023 của Ban quản lý dự án các công trình điện miền Nam về việc phê duyệt dự toán Gói thầu số 13: Kiểm toán báo cáo quyết toán dự án hoàn thành Dự án: Trạm biến áp 220kV Phước Long và đường dây đấu nối, các thông tin chính về gói thầu như sau:</w:t>
      </w:r>
    </w:p>
    <w:p w14:paraId="75E7444C" w14:textId="77777777" w:rsidR="00D512DA" w:rsidRPr="00B80652" w:rsidRDefault="00D512DA" w:rsidP="00D512DA">
      <w:pPr>
        <w:widowControl w:val="0"/>
        <w:spacing w:after="60" w:line="240" w:lineRule="auto"/>
        <w:ind w:firstLine="562"/>
        <w:jc w:val="both"/>
        <w:rPr>
          <w:rFonts w:ascii="Times New Roman" w:hAnsi="Times New Roman" w:cs="Times New Roman"/>
          <w:color w:val="000000" w:themeColor="text1"/>
          <w:sz w:val="28"/>
          <w:szCs w:val="28"/>
          <w:lang w:val="pt-BR"/>
        </w:rPr>
      </w:pPr>
      <w:r w:rsidRPr="00B80652">
        <w:rPr>
          <w:rFonts w:ascii="Times New Roman" w:hAnsi="Times New Roman" w:cs="Times New Roman"/>
          <w:color w:val="000000" w:themeColor="text1"/>
          <w:sz w:val="28"/>
          <w:szCs w:val="28"/>
          <w:lang w:val="pt-BR"/>
        </w:rPr>
        <w:t xml:space="preserve">- Tên gói thầu: </w:t>
      </w:r>
      <w:r w:rsidRPr="00B80652">
        <w:rPr>
          <w:rFonts w:ascii="Times New Roman" w:hAnsi="Times New Roman" w:cs="Times New Roman"/>
          <w:bCs/>
          <w:color w:val="000000" w:themeColor="text1"/>
          <w:sz w:val="28"/>
          <w:szCs w:val="28"/>
        </w:rPr>
        <w:t>Gói thầu số 13: Kiểm toán báo cáo quyết toán dự án hoàn thành</w:t>
      </w:r>
      <w:r w:rsidRPr="00B80652">
        <w:rPr>
          <w:rFonts w:ascii="Times New Roman" w:hAnsi="Times New Roman" w:cs="Times New Roman"/>
          <w:color w:val="000000" w:themeColor="text1"/>
          <w:sz w:val="28"/>
          <w:szCs w:val="28"/>
          <w:lang w:val="pt-BR"/>
        </w:rPr>
        <w:t>;</w:t>
      </w:r>
    </w:p>
    <w:p w14:paraId="44342094" w14:textId="7C66AEE3" w:rsidR="00D512DA" w:rsidRPr="00B80652" w:rsidRDefault="00D512DA" w:rsidP="00D512DA">
      <w:pPr>
        <w:widowControl w:val="0"/>
        <w:spacing w:after="60" w:line="240" w:lineRule="auto"/>
        <w:ind w:firstLine="562"/>
        <w:jc w:val="both"/>
        <w:rPr>
          <w:rFonts w:ascii="Times New Roman" w:hAnsi="Times New Roman" w:cs="Times New Roman"/>
          <w:color w:val="000000" w:themeColor="text1"/>
          <w:sz w:val="28"/>
          <w:szCs w:val="28"/>
          <w:lang w:val="pt-BR"/>
        </w:rPr>
      </w:pPr>
      <w:r w:rsidRPr="00B80652">
        <w:rPr>
          <w:rFonts w:ascii="Times New Roman" w:hAnsi="Times New Roman" w:cs="Times New Roman"/>
          <w:color w:val="000000" w:themeColor="text1"/>
          <w:sz w:val="28"/>
          <w:szCs w:val="28"/>
          <w:lang w:val="pt-BR"/>
        </w:rPr>
        <w:t xml:space="preserve">- Giá gói thầu: </w:t>
      </w:r>
      <w:r w:rsidRPr="00B80652">
        <w:rPr>
          <w:rFonts w:ascii="Times New Roman" w:hAnsi="Times New Roman" w:cs="Times New Roman"/>
          <w:color w:val="000000" w:themeColor="text1"/>
          <w:sz w:val="28"/>
          <w:szCs w:val="28"/>
        </w:rPr>
        <w:t>670.96</w:t>
      </w:r>
      <w:r w:rsidRPr="00B80652">
        <w:rPr>
          <w:rFonts w:ascii="Times New Roman" w:hAnsi="Times New Roman" w:cs="Times New Roman"/>
          <w:bCs/>
          <w:color w:val="000000" w:themeColor="text1"/>
          <w:sz w:val="28"/>
          <w:szCs w:val="28"/>
        </w:rPr>
        <w:t>7</w:t>
      </w:r>
      <w:r w:rsidRPr="00B80652">
        <w:rPr>
          <w:rFonts w:ascii="Times New Roman" w:hAnsi="Times New Roman" w:cs="Times New Roman"/>
          <w:bCs/>
          <w:color w:val="000000" w:themeColor="text1"/>
          <w:sz w:val="28"/>
          <w:szCs w:val="28"/>
        </w:rPr>
        <w:t>.</w:t>
      </w:r>
      <w:r w:rsidRPr="00B80652">
        <w:rPr>
          <w:rFonts w:ascii="Times New Roman" w:hAnsi="Times New Roman" w:cs="Times New Roman"/>
          <w:color w:val="000000" w:themeColor="text1"/>
          <w:sz w:val="28"/>
          <w:szCs w:val="28"/>
          <w:lang w:val="pt-BR"/>
        </w:rPr>
        <w:t xml:space="preserve">000 đồng (theo </w:t>
      </w:r>
      <w:r w:rsidRPr="00B80652">
        <w:rPr>
          <w:rFonts w:ascii="Times New Roman" w:hAnsi="Times New Roman" w:cs="Times New Roman"/>
          <w:color w:val="000000" w:themeColor="text1"/>
          <w:sz w:val="28"/>
          <w:szCs w:val="28"/>
          <w:lang w:val="vi-VN"/>
        </w:rPr>
        <w:t xml:space="preserve">Quyết định </w:t>
      </w:r>
      <w:r w:rsidRPr="00B80652">
        <w:rPr>
          <w:rFonts w:ascii="Times New Roman" w:hAnsi="Times New Roman" w:cs="Times New Roman"/>
          <w:color w:val="000000" w:themeColor="text1"/>
          <w:sz w:val="28"/>
          <w:szCs w:val="28"/>
          <w:lang w:val="de-DE"/>
        </w:rPr>
        <w:t xml:space="preserve">số </w:t>
      </w:r>
      <w:r w:rsidRPr="00B80652">
        <w:rPr>
          <w:rFonts w:ascii="Times New Roman" w:hAnsi="Times New Roman" w:cs="Times New Roman"/>
          <w:color w:val="000000" w:themeColor="text1"/>
          <w:sz w:val="28"/>
          <w:szCs w:val="28"/>
        </w:rPr>
        <w:t>7785/QĐ-SPMB ngày 19/07/2023</w:t>
      </w:r>
      <w:r w:rsidRPr="00B80652">
        <w:rPr>
          <w:rFonts w:ascii="Times New Roman" w:hAnsi="Times New Roman" w:cs="Times New Roman"/>
          <w:color w:val="000000" w:themeColor="text1"/>
          <w:sz w:val="28"/>
          <w:szCs w:val="28"/>
          <w:lang w:val="vi-VN"/>
        </w:rPr>
        <w:t xml:space="preserve"> của </w:t>
      </w:r>
      <w:r w:rsidRPr="00B80652">
        <w:rPr>
          <w:rFonts w:ascii="Times New Roman" w:hAnsi="Times New Roman" w:cs="Times New Roman"/>
          <w:color w:val="000000" w:themeColor="text1"/>
          <w:sz w:val="28"/>
          <w:szCs w:val="28"/>
        </w:rPr>
        <w:t>SPMB)</w:t>
      </w:r>
      <w:r w:rsidRPr="00B80652">
        <w:rPr>
          <w:rFonts w:ascii="Times New Roman" w:hAnsi="Times New Roman" w:cs="Times New Roman"/>
          <w:color w:val="000000" w:themeColor="text1"/>
          <w:sz w:val="28"/>
          <w:szCs w:val="28"/>
          <w:lang w:val="pt-BR"/>
        </w:rPr>
        <w:t>;</w:t>
      </w:r>
    </w:p>
    <w:p w14:paraId="1ED2A91B" w14:textId="77777777" w:rsidR="00D512DA" w:rsidRPr="00B80652" w:rsidRDefault="00D512DA" w:rsidP="00D512DA">
      <w:pPr>
        <w:widowControl w:val="0"/>
        <w:spacing w:after="60" w:line="240" w:lineRule="auto"/>
        <w:ind w:firstLine="562"/>
        <w:jc w:val="both"/>
        <w:rPr>
          <w:rFonts w:ascii="Times New Roman" w:hAnsi="Times New Roman" w:cs="Times New Roman"/>
          <w:color w:val="000000" w:themeColor="text1"/>
          <w:sz w:val="28"/>
          <w:szCs w:val="28"/>
          <w:lang w:val="pt-BR"/>
        </w:rPr>
      </w:pPr>
      <w:r w:rsidRPr="00B80652">
        <w:rPr>
          <w:rFonts w:ascii="Times New Roman" w:hAnsi="Times New Roman" w:cs="Times New Roman"/>
          <w:color w:val="000000" w:themeColor="text1"/>
          <w:sz w:val="28"/>
          <w:szCs w:val="28"/>
          <w:lang w:val="pt-BR"/>
        </w:rPr>
        <w:t>- Nguồn vốn: Vốn vay và vốn EVNNPT;</w:t>
      </w:r>
    </w:p>
    <w:p w14:paraId="12AE3466" w14:textId="77777777" w:rsidR="00D512DA" w:rsidRPr="00B80652" w:rsidRDefault="00D512DA" w:rsidP="00D512DA">
      <w:pPr>
        <w:widowControl w:val="0"/>
        <w:spacing w:after="60" w:line="240" w:lineRule="auto"/>
        <w:ind w:firstLine="562"/>
        <w:jc w:val="both"/>
        <w:rPr>
          <w:rFonts w:ascii="Times New Roman" w:hAnsi="Times New Roman" w:cs="Times New Roman"/>
          <w:color w:val="000000" w:themeColor="text1"/>
          <w:sz w:val="28"/>
          <w:szCs w:val="28"/>
          <w:lang w:val="pt-BR"/>
        </w:rPr>
      </w:pPr>
      <w:r w:rsidRPr="00B80652">
        <w:rPr>
          <w:rFonts w:ascii="Times New Roman" w:hAnsi="Times New Roman" w:cs="Times New Roman"/>
          <w:color w:val="000000" w:themeColor="text1"/>
          <w:sz w:val="28"/>
          <w:szCs w:val="28"/>
          <w:lang w:val="pt-BR"/>
        </w:rPr>
        <w:t>- Thời gian tổ chức lựa chọn nhà thầu: 40 ngày;</w:t>
      </w:r>
    </w:p>
    <w:p w14:paraId="401CDA63" w14:textId="77777777" w:rsidR="00D512DA" w:rsidRPr="00B80652" w:rsidRDefault="00D512DA" w:rsidP="00D512DA">
      <w:pPr>
        <w:widowControl w:val="0"/>
        <w:spacing w:after="60" w:line="240" w:lineRule="auto"/>
        <w:ind w:firstLine="562"/>
        <w:jc w:val="both"/>
        <w:rPr>
          <w:rFonts w:ascii="Times New Roman" w:hAnsi="Times New Roman" w:cs="Times New Roman"/>
          <w:color w:val="000000" w:themeColor="text1"/>
          <w:sz w:val="28"/>
          <w:szCs w:val="28"/>
          <w:lang w:val="pt-BR"/>
        </w:rPr>
      </w:pPr>
      <w:r w:rsidRPr="00B80652">
        <w:rPr>
          <w:rFonts w:ascii="Times New Roman" w:hAnsi="Times New Roman" w:cs="Times New Roman"/>
          <w:color w:val="000000" w:themeColor="text1"/>
          <w:sz w:val="28"/>
          <w:szCs w:val="28"/>
          <w:lang w:val="pt-BR"/>
        </w:rPr>
        <w:t>- Thời gian bắt đầu tổ chức lựa chọn nhà thầu: Tháng 10/2025;</w:t>
      </w:r>
    </w:p>
    <w:p w14:paraId="2DF2DDAF" w14:textId="77777777" w:rsidR="00D512DA" w:rsidRPr="00B80652" w:rsidRDefault="00D512DA" w:rsidP="00D512DA">
      <w:pPr>
        <w:widowControl w:val="0"/>
        <w:spacing w:after="60" w:line="240" w:lineRule="auto"/>
        <w:ind w:firstLine="562"/>
        <w:jc w:val="both"/>
        <w:rPr>
          <w:rFonts w:ascii="Times New Roman" w:hAnsi="Times New Roman" w:cs="Times New Roman"/>
          <w:color w:val="000000" w:themeColor="text1"/>
          <w:sz w:val="28"/>
          <w:szCs w:val="28"/>
          <w:lang w:val="pt-BR"/>
        </w:rPr>
      </w:pPr>
      <w:r w:rsidRPr="00B80652">
        <w:rPr>
          <w:rFonts w:ascii="Times New Roman" w:hAnsi="Times New Roman" w:cs="Times New Roman"/>
          <w:color w:val="000000" w:themeColor="text1"/>
          <w:sz w:val="28"/>
          <w:szCs w:val="28"/>
          <w:lang w:val="pt-BR"/>
        </w:rPr>
        <w:t xml:space="preserve">- Hình thức, phương thức lựa chọn nhà thầu: </w:t>
      </w:r>
      <w:r w:rsidRPr="00B80652">
        <w:rPr>
          <w:rFonts w:ascii="Times New Roman" w:hAnsi="Times New Roman" w:cs="Times New Roman"/>
          <w:bCs/>
          <w:color w:val="000000" w:themeColor="text1"/>
          <w:sz w:val="28"/>
          <w:szCs w:val="28"/>
          <w:lang w:val="pt-BR"/>
        </w:rPr>
        <w:t>đấu thầu rộng rãi trong nước (LCNT qua mạng), một giai đoạn hai túi hồ sơ</w:t>
      </w:r>
      <w:r w:rsidRPr="00B80652">
        <w:rPr>
          <w:rFonts w:ascii="Times New Roman" w:hAnsi="Times New Roman" w:cs="Times New Roman"/>
          <w:color w:val="000000" w:themeColor="text1"/>
          <w:sz w:val="28"/>
          <w:szCs w:val="28"/>
          <w:lang w:val="pt-BR"/>
        </w:rPr>
        <w:t>;</w:t>
      </w:r>
    </w:p>
    <w:p w14:paraId="592F549F" w14:textId="77777777" w:rsidR="00D512DA" w:rsidRPr="00B80652" w:rsidRDefault="00D512DA" w:rsidP="00D512DA">
      <w:pPr>
        <w:widowControl w:val="0"/>
        <w:spacing w:after="60" w:line="240" w:lineRule="auto"/>
        <w:ind w:firstLine="562"/>
        <w:jc w:val="both"/>
        <w:rPr>
          <w:rFonts w:ascii="Times New Roman" w:hAnsi="Times New Roman" w:cs="Times New Roman"/>
          <w:color w:val="000000" w:themeColor="text1"/>
          <w:sz w:val="28"/>
          <w:szCs w:val="28"/>
          <w:lang w:val="pt-BR"/>
        </w:rPr>
      </w:pPr>
      <w:r w:rsidRPr="00B80652">
        <w:rPr>
          <w:rFonts w:ascii="Times New Roman" w:hAnsi="Times New Roman" w:cs="Times New Roman"/>
          <w:color w:val="000000" w:themeColor="text1"/>
          <w:sz w:val="28"/>
          <w:szCs w:val="28"/>
          <w:lang w:val="pt-BR"/>
        </w:rPr>
        <w:t xml:space="preserve">- Loại hợp đồng: Trọn gói; </w:t>
      </w:r>
    </w:p>
    <w:p w14:paraId="07CE2DA2" w14:textId="77777777" w:rsidR="00D512DA" w:rsidRPr="00B80652" w:rsidRDefault="00D512DA" w:rsidP="00D512DA">
      <w:pPr>
        <w:widowControl w:val="0"/>
        <w:spacing w:after="60" w:line="240" w:lineRule="auto"/>
        <w:ind w:firstLine="562"/>
        <w:jc w:val="both"/>
        <w:rPr>
          <w:rFonts w:ascii="Times New Roman" w:hAnsi="Times New Roman" w:cs="Times New Roman"/>
          <w:color w:val="000000" w:themeColor="text1"/>
          <w:sz w:val="28"/>
          <w:szCs w:val="28"/>
          <w:lang w:val="pt-BR"/>
        </w:rPr>
      </w:pPr>
      <w:r w:rsidRPr="00B80652">
        <w:rPr>
          <w:rFonts w:ascii="Times New Roman" w:hAnsi="Times New Roman" w:cs="Times New Roman"/>
          <w:color w:val="000000" w:themeColor="text1"/>
          <w:sz w:val="28"/>
          <w:szCs w:val="28"/>
          <w:lang w:val="pt-BR"/>
        </w:rPr>
        <w:t>- Thời gian thực hiện gói thầu: 60 ngày;</w:t>
      </w:r>
    </w:p>
    <w:p w14:paraId="0BB9597A" w14:textId="77777777" w:rsidR="00D512DA" w:rsidRPr="00B80652" w:rsidRDefault="00D512DA" w:rsidP="00D512DA">
      <w:pPr>
        <w:widowControl w:val="0"/>
        <w:spacing w:after="60" w:line="240" w:lineRule="auto"/>
        <w:ind w:firstLine="562"/>
        <w:jc w:val="both"/>
        <w:rPr>
          <w:rFonts w:ascii="Times New Roman" w:hAnsi="Times New Roman" w:cs="Times New Roman"/>
          <w:i/>
          <w:color w:val="000000" w:themeColor="text1"/>
          <w:sz w:val="28"/>
          <w:szCs w:val="28"/>
          <w:lang w:val="pt-BR"/>
        </w:rPr>
      </w:pPr>
      <w:r w:rsidRPr="00B80652">
        <w:rPr>
          <w:rFonts w:ascii="Times New Roman" w:hAnsi="Times New Roman" w:cs="Times New Roman"/>
          <w:color w:val="000000" w:themeColor="text1"/>
          <w:sz w:val="28"/>
          <w:szCs w:val="28"/>
          <w:lang w:val="pt-BR"/>
        </w:rPr>
        <w:t>- Tùy chọn mua thêm (nếu có): Không có.</w:t>
      </w:r>
    </w:p>
    <w:p w14:paraId="36E935B2"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color w:val="000000" w:themeColor="text1"/>
          <w:kern w:val="0"/>
          <w:sz w:val="28"/>
          <w:szCs w:val="28"/>
          <w:lang w:val="it-IT"/>
          <w14:ligatures w14:val="none"/>
        </w:rPr>
      </w:pPr>
      <w:r w:rsidRPr="00D512DA">
        <w:rPr>
          <w:rFonts w:ascii="Times New Roman" w:eastAsia="Times New Roman" w:hAnsi="Times New Roman" w:cs="Times New Roman"/>
          <w:b/>
          <w:color w:val="000000" w:themeColor="text1"/>
          <w:kern w:val="0"/>
          <w:sz w:val="28"/>
          <w:szCs w:val="28"/>
          <w:lang w:val="it-IT"/>
          <w14:ligatures w14:val="none"/>
        </w:rPr>
        <w:t xml:space="preserve">II. Phạm </w:t>
      </w:r>
      <w:r w:rsidRPr="00D512DA">
        <w:rPr>
          <w:rFonts w:ascii="Times New Roman" w:eastAsia="Times New Roman" w:hAnsi="Times New Roman" w:cs="Times New Roman"/>
          <w:b/>
          <w:bCs/>
          <w:iCs/>
          <w:color w:val="000000" w:themeColor="text1"/>
          <w:kern w:val="0"/>
          <w:sz w:val="28"/>
          <w:szCs w:val="28"/>
          <w:lang w:val="it-IT"/>
          <w14:ligatures w14:val="none"/>
        </w:rPr>
        <w:t>vi</w:t>
      </w:r>
      <w:r w:rsidRPr="00D512DA">
        <w:rPr>
          <w:rFonts w:ascii="Times New Roman" w:eastAsia="Times New Roman" w:hAnsi="Times New Roman" w:cs="Times New Roman"/>
          <w:b/>
          <w:color w:val="000000" w:themeColor="text1"/>
          <w:kern w:val="0"/>
          <w:sz w:val="28"/>
          <w:szCs w:val="28"/>
          <w:lang w:val="it-IT"/>
          <w14:ligatures w14:val="none"/>
        </w:rPr>
        <w:t xml:space="preserve"> công việc:</w:t>
      </w:r>
    </w:p>
    <w:p w14:paraId="2BBDADF4"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1. Việc kiểm toán báo cáo quyết toán vốn đầu tư dự án hoàn thành được thực hiện theo quy định của Thông tư số 99/2021/NĐ-CP ngày 11/11/2021 của Bộ Tài Chính về việc hướng dẫn Quyết toán dự án hoàn thành thuộc nguồn vốn Nhà nước; và Văn bản số 1197/EVNNPT-TCKT+PC+ĐT ngày 07/04/2022 của EVNNPT về việc công tác kiểm toán, thẩm tra phê duyệt quyết toán dự án ĐTXD hoàn thành.</w:t>
      </w:r>
    </w:p>
    <w:p w14:paraId="26C73DA3"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2. Nội dung công việc cụ thể của báo cáo kiểm toán bao gồm:</w:t>
      </w:r>
    </w:p>
    <w:p w14:paraId="44946171"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hồ sơ pháp lý của dự án;</w:t>
      </w:r>
    </w:p>
    <w:p w14:paraId="0B6B13FB"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toán nguồn vốn đầu tư của dự án, gồm: Kế hoạch Nguồn vốn của Dự án, số vốn Bên A đã nhận được đến ngày lập quyết toán, Nguồn vốn đầu tư thực hiện dự án đến ngày lập quyết toán;</w:t>
      </w:r>
    </w:p>
    <w:p w14:paraId="25EA3530"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lastRenderedPageBreak/>
        <w:t>Kiểm tra giá trị khối lượng xây lắp hoàn thành các hạng mục công trình và toàn bộ dự án;</w:t>
      </w:r>
    </w:p>
    <w:p w14:paraId="25074456"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giá trị khối lượng thiết bị hoàn thành;</w:t>
      </w:r>
    </w:p>
    <w:p w14:paraId="22D55F2D" w14:textId="1E4043DF"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chi phí đầu tư;</w:t>
      </w:r>
      <w:r w:rsidR="00B80652" w:rsidRPr="00B80652">
        <w:rPr>
          <w:rFonts w:ascii="Times New Roman" w:eastAsia="Times New Roman" w:hAnsi="Times New Roman" w:cs="Times New Roman"/>
          <w:iCs/>
          <w:color w:val="000000" w:themeColor="text1"/>
          <w:kern w:val="0"/>
          <w:sz w:val="28"/>
          <w:szCs w:val="28"/>
          <w:lang w:val="it-IT"/>
          <w14:ligatures w14:val="none"/>
        </w:rPr>
        <w:t xml:space="preserve"> </w:t>
      </w:r>
      <w:r w:rsidR="00B80652" w:rsidRPr="00B80652">
        <w:rPr>
          <w:rFonts w:ascii="Times New Roman" w:eastAsia="Times New Roman" w:hAnsi="Times New Roman" w:cs="Times New Roman"/>
          <w:iCs/>
          <w:color w:val="000000" w:themeColor="text1"/>
          <w:kern w:val="0"/>
          <w:sz w:val="28"/>
          <w:szCs w:val="28"/>
          <w:lang w:val="it-IT"/>
          <w14:ligatures w14:val="none"/>
        </w:rPr>
        <w:t>Kiểm tra các khoản chi phí khác, việc phân bổ chi phí này cho các hạng mục công trình;</w:t>
      </w:r>
    </w:p>
    <w:p w14:paraId="6EB10335"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chi phí đầu tư không tính vào tài sản bàn giao;</w:t>
      </w:r>
    </w:p>
    <w:p w14:paraId="17D4FB7F"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tài sản hoàn thành qua bàn giao;</w:t>
      </w:r>
    </w:p>
    <w:p w14:paraId="60C0F8B3" w14:textId="77777777" w:rsidR="00D512DA" w:rsidRPr="00B80652"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tình hình công nợ và vật tư, thiết bị tồn đọng sau quyết toán;</w:t>
      </w:r>
    </w:p>
    <w:p w14:paraId="0E5555B8" w14:textId="7AC63494" w:rsidR="00B80652" w:rsidRPr="00D512DA" w:rsidRDefault="00B80652"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B80652">
        <w:rPr>
          <w:rFonts w:ascii="Times New Roman" w:eastAsia="Times New Roman" w:hAnsi="Times New Roman" w:cs="Times New Roman"/>
          <w:iCs/>
          <w:color w:val="000000" w:themeColor="text1"/>
          <w:kern w:val="0"/>
          <w:sz w:val="28"/>
          <w:szCs w:val="28"/>
          <w:lang w:val="it-IT"/>
          <w14:ligatures w14:val="none"/>
        </w:rPr>
        <w:t>Kiểm tra xác định số lượng, giá trị còn lại của các tài sản của SPMB, tiền mặt, tiền gửi Ngân hàng.</w:t>
      </w:r>
    </w:p>
    <w:p w14:paraId="6611C264" w14:textId="15F696F6"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Xem xét việc thực hiện kết luận của cơ quan thanh tra, kiểm tra (nếu có);</w:t>
      </w:r>
      <w:r w:rsidR="00B80652" w:rsidRPr="00B80652">
        <w:rPr>
          <w:rFonts w:ascii="Times New Roman" w:eastAsia="Times New Roman" w:hAnsi="Times New Roman" w:cs="Times New Roman"/>
          <w:iCs/>
          <w:color w:val="000000" w:themeColor="text1"/>
          <w:kern w:val="0"/>
          <w:sz w:val="28"/>
          <w:szCs w:val="28"/>
          <w:lang w:val="it-IT"/>
          <w14:ligatures w14:val="none"/>
        </w:rPr>
        <w:t xml:space="preserve"> </w:t>
      </w:r>
    </w:p>
    <w:p w14:paraId="525B6E96"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Xem xét các kiến nghị của Bên A (nếu có).</w:t>
      </w:r>
    </w:p>
    <w:p w14:paraId="18AE5ECA"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color w:val="000000" w:themeColor="text1"/>
          <w:kern w:val="0"/>
          <w:sz w:val="28"/>
          <w:szCs w:val="28"/>
          <w:lang w:val="it-IT"/>
          <w14:ligatures w14:val="none"/>
        </w:rPr>
        <w:t>3. Dự kiến thời gian chuyên gia bắt đầu thực hiện DVTV: tháng 11/2025</w:t>
      </w:r>
    </w:p>
    <w:p w14:paraId="74772D3E"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color w:val="000000" w:themeColor="text1"/>
          <w:kern w:val="0"/>
          <w:sz w:val="28"/>
          <w:szCs w:val="28"/>
          <w:lang w:val="it-IT"/>
          <w14:ligatures w14:val="none"/>
        </w:rPr>
      </w:pPr>
      <w:r w:rsidRPr="00D512DA">
        <w:rPr>
          <w:rFonts w:ascii="Times New Roman" w:eastAsia="Times New Roman" w:hAnsi="Times New Roman" w:cs="Times New Roman"/>
          <w:b/>
          <w:color w:val="000000" w:themeColor="text1"/>
          <w:kern w:val="0"/>
          <w:sz w:val="28"/>
          <w:szCs w:val="28"/>
          <w:lang w:val="it-IT"/>
          <w14:ligatures w14:val="none"/>
        </w:rPr>
        <w:t xml:space="preserve">III. Báo </w:t>
      </w:r>
      <w:r w:rsidRPr="00D512DA">
        <w:rPr>
          <w:rFonts w:ascii="Times New Roman" w:eastAsia="Times New Roman" w:hAnsi="Times New Roman" w:cs="Times New Roman"/>
          <w:b/>
          <w:bCs/>
          <w:iCs/>
          <w:color w:val="000000" w:themeColor="text1"/>
          <w:kern w:val="0"/>
          <w:sz w:val="28"/>
          <w:szCs w:val="28"/>
          <w:lang w:val="it-IT"/>
          <w14:ligatures w14:val="none"/>
        </w:rPr>
        <w:t>cáo</w:t>
      </w:r>
      <w:r w:rsidRPr="00D512DA">
        <w:rPr>
          <w:rFonts w:ascii="Times New Roman" w:eastAsia="Times New Roman" w:hAnsi="Times New Roman" w:cs="Times New Roman"/>
          <w:b/>
          <w:color w:val="000000" w:themeColor="text1"/>
          <w:kern w:val="0"/>
          <w:sz w:val="28"/>
          <w:szCs w:val="28"/>
          <w:lang w:val="it-IT"/>
          <w14:ligatures w14:val="none"/>
        </w:rPr>
        <w:t xml:space="preserve"> và thời gian thực hiện:</w:t>
      </w:r>
    </w:p>
    <w:p w14:paraId="1B0F96C4" w14:textId="77777777" w:rsidR="00D512DA" w:rsidRPr="00B80652"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Nhà thầu phải nộp các báo cáo Kiểm toán đã thực hiện hằng tuần cho Bên mời thầu. Thời gian nộp báo cáo là thứ sáu hằng tuần. Ngoài ra, tùy theo tình hình công việc đột xuất liên quan đến kiểm toán, Bên mời thầu có quyền yêu cầu nhà thầu báo cáo các công việc liên quan mà không đòi hỏi bất kỳ quyền lợi nào.</w:t>
      </w:r>
    </w:p>
    <w:p w14:paraId="1BB75FCE" w14:textId="2867AA19" w:rsidR="00D512DA" w:rsidRPr="00B80652"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B80652">
        <w:rPr>
          <w:rFonts w:ascii="Times New Roman" w:eastAsia="Times New Roman" w:hAnsi="Times New Roman" w:cs="Times New Roman"/>
          <w:iCs/>
          <w:color w:val="000000" w:themeColor="text1"/>
          <w:kern w:val="0"/>
          <w:sz w:val="28"/>
          <w:szCs w:val="28"/>
          <w:lang w:val="it-IT"/>
          <w14:ligatures w14:val="none"/>
        </w:rPr>
        <w:t>Thời gian thực hiện gói thầu: 60 ngày. Trong đó, Lần nhà thầu nộp báo cáo kiểm toán đợt 1 trong vòng 20 ngày kể từ khi ký hợp đồng, Các đợt tiếp theo sẽ được cụ thể khi thương thảo.</w:t>
      </w:r>
    </w:p>
    <w:p w14:paraId="149CB24B" w14:textId="5A709ED7" w:rsidR="00D512DA" w:rsidRPr="00B80652"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 xml:space="preserve">Thời gian thực hiện hợp đồng: </w:t>
      </w:r>
      <w:r w:rsidRPr="00B80652">
        <w:rPr>
          <w:rFonts w:ascii="Times New Roman" w:hAnsi="Times New Roman"/>
          <w:color w:val="000000" w:themeColor="text1"/>
          <w:sz w:val="28"/>
          <w:szCs w:val="28"/>
        </w:rPr>
        <w:t>tính từ ngày hợp đồng có hiệu lực cho đến khi các bên đã hoàn thành các nghĩa vụ theo hợp đồng đã ký</w:t>
      </w:r>
    </w:p>
    <w:p w14:paraId="40179EC4" w14:textId="14266BBE" w:rsidR="00D512DA" w:rsidRPr="00D512DA" w:rsidRDefault="00D512DA" w:rsidP="00D512DA">
      <w:pPr>
        <w:spacing w:before="120" w:after="120" w:line="240" w:lineRule="auto"/>
        <w:ind w:left="851"/>
        <w:contextualSpacing/>
        <w:jc w:val="both"/>
        <w:rPr>
          <w:rFonts w:ascii="Times New Roman" w:eastAsia="Times New Roman" w:hAnsi="Times New Roman" w:cs="Times New Roman"/>
          <w:iCs/>
          <w:color w:val="000000" w:themeColor="text1"/>
          <w:kern w:val="0"/>
          <w:sz w:val="28"/>
          <w:szCs w:val="28"/>
          <w:lang w:val="it-IT"/>
          <w14:ligatures w14:val="none"/>
        </w:rPr>
      </w:pPr>
    </w:p>
    <w:p w14:paraId="65329C91"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color w:val="000000" w:themeColor="text1"/>
          <w:kern w:val="0"/>
          <w:sz w:val="28"/>
          <w:szCs w:val="28"/>
          <w:lang w:val="it-IT"/>
          <w14:ligatures w14:val="none"/>
        </w:rPr>
      </w:pPr>
      <w:r w:rsidRPr="00D512DA">
        <w:rPr>
          <w:rFonts w:ascii="Times New Roman" w:eastAsia="Times New Roman" w:hAnsi="Times New Roman" w:cs="Times New Roman"/>
          <w:b/>
          <w:color w:val="000000" w:themeColor="text1"/>
          <w:kern w:val="0"/>
          <w:sz w:val="28"/>
          <w:szCs w:val="28"/>
          <w:lang w:val="it-IT"/>
          <w14:ligatures w14:val="none"/>
        </w:rPr>
        <w:t xml:space="preserve">IV. Kinh </w:t>
      </w:r>
      <w:r w:rsidRPr="00D512DA">
        <w:rPr>
          <w:rFonts w:ascii="Times New Roman" w:eastAsia="Times New Roman" w:hAnsi="Times New Roman" w:cs="Times New Roman"/>
          <w:b/>
          <w:bCs/>
          <w:iCs/>
          <w:color w:val="000000" w:themeColor="text1"/>
          <w:kern w:val="0"/>
          <w:sz w:val="28"/>
          <w:szCs w:val="28"/>
          <w:lang w:val="it-IT"/>
          <w14:ligatures w14:val="none"/>
        </w:rPr>
        <w:t>nghiệm</w:t>
      </w:r>
      <w:r w:rsidRPr="00D512DA">
        <w:rPr>
          <w:rFonts w:ascii="Times New Roman" w:eastAsia="Times New Roman" w:hAnsi="Times New Roman" w:cs="Times New Roman"/>
          <w:b/>
          <w:color w:val="000000" w:themeColor="text1"/>
          <w:kern w:val="0"/>
          <w:sz w:val="28"/>
          <w:szCs w:val="28"/>
          <w:lang w:val="it-IT"/>
          <w14:ligatures w14:val="none"/>
        </w:rPr>
        <w:t xml:space="preserve"> và nhân sự của nhà thầu:</w:t>
      </w:r>
    </w:p>
    <w:p w14:paraId="61AD5EEF"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Đáp ứng yêu cầu tại Chương II: Bảng dữ liệu đấu thầu và Chương III: Tiêu chuẩn đánh giá E-HSDT.</w:t>
      </w:r>
    </w:p>
    <w:p w14:paraId="531FE51E"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Nêu rõ tất cả các thành viên tham gia dự án kể cả các thành viên thực hiện kiểm tra, soát xét. Năng lực các Nhân sự tham gia phải đảm bảo yêu cầu trong hồ sơ mời thầu và Hồ sơ dự thầu.</w:t>
      </w:r>
    </w:p>
    <w:p w14:paraId="09A59821"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Kinh nghiệm phải nêu rõ các thành viên này tham gia thực hiện công đoạn nào trong quá trình kiểm toán (Trường hợp Nhân sự tham gia không đúng hồ sơ mời thầu hoặc khi triển khai thực tế không đúng Nhân sự trong hợp đồng thì nhà thầu vi phạm hợp đồng).</w:t>
      </w:r>
    </w:p>
    <w:p w14:paraId="30C9D081"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color w:val="000000" w:themeColor="text1"/>
          <w:kern w:val="0"/>
          <w:sz w:val="28"/>
          <w:szCs w:val="28"/>
          <w:lang w:val="it-IT"/>
          <w14:ligatures w14:val="none"/>
        </w:rPr>
      </w:pPr>
      <w:r w:rsidRPr="00D512DA">
        <w:rPr>
          <w:rFonts w:ascii="Times New Roman" w:eastAsia="Times New Roman" w:hAnsi="Times New Roman" w:cs="Times New Roman"/>
          <w:b/>
          <w:color w:val="000000" w:themeColor="text1"/>
          <w:kern w:val="0"/>
          <w:sz w:val="28"/>
          <w:szCs w:val="28"/>
          <w:lang w:val="it-IT"/>
          <w14:ligatures w14:val="none"/>
        </w:rPr>
        <w:t xml:space="preserve">V. Trách </w:t>
      </w:r>
      <w:r w:rsidRPr="00D512DA">
        <w:rPr>
          <w:rFonts w:ascii="Times New Roman" w:eastAsia="Times New Roman" w:hAnsi="Times New Roman" w:cs="Times New Roman"/>
          <w:b/>
          <w:bCs/>
          <w:iCs/>
          <w:color w:val="000000" w:themeColor="text1"/>
          <w:kern w:val="0"/>
          <w:sz w:val="28"/>
          <w:szCs w:val="28"/>
          <w:lang w:val="it-IT"/>
          <w14:ligatures w14:val="none"/>
        </w:rPr>
        <w:t>nhiệm</w:t>
      </w:r>
      <w:r w:rsidRPr="00D512DA">
        <w:rPr>
          <w:rFonts w:ascii="Times New Roman" w:eastAsia="Times New Roman" w:hAnsi="Times New Roman" w:cs="Times New Roman"/>
          <w:b/>
          <w:color w:val="000000" w:themeColor="text1"/>
          <w:kern w:val="0"/>
          <w:sz w:val="28"/>
          <w:szCs w:val="28"/>
          <w:lang w:val="it-IT"/>
          <w14:ligatures w14:val="none"/>
        </w:rPr>
        <w:t xml:space="preserve"> của chủ đầu tư:</w:t>
      </w:r>
    </w:p>
    <w:p w14:paraId="4950A647"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Tạo điều kiện, giúp đỡ đơn vị Tư vấn trong quá trình kiểm toán dự án.</w:t>
      </w:r>
    </w:p>
    <w:p w14:paraId="3607BB39"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Cung cấp các tài liệu liên quan của dự án hiện có.</w:t>
      </w:r>
    </w:p>
    <w:p w14:paraId="61A653D8"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iCs/>
          <w:color w:val="000000" w:themeColor="text1"/>
          <w:kern w:val="0"/>
          <w:sz w:val="28"/>
          <w:szCs w:val="28"/>
          <w:lang w:val="it-IT"/>
          <w14:ligatures w14:val="none"/>
        </w:rPr>
      </w:pPr>
      <w:r w:rsidRPr="00D512DA">
        <w:rPr>
          <w:rFonts w:ascii="Times New Roman" w:eastAsia="Times New Roman" w:hAnsi="Times New Roman" w:cs="Times New Roman"/>
          <w:b/>
          <w:bCs/>
          <w:iCs/>
          <w:color w:val="000000" w:themeColor="text1"/>
          <w:kern w:val="0"/>
          <w:sz w:val="28"/>
          <w:szCs w:val="28"/>
          <w:lang w:val="it-IT"/>
          <w14:ligatures w14:val="none"/>
        </w:rPr>
        <w:t>VI. Trách nhiệm của nhà thầu kiểm toán:</w:t>
      </w:r>
    </w:p>
    <w:p w14:paraId="44EB7304"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lastRenderedPageBreak/>
        <w:t>Bảo đảm tuân thủ các chuẩn mực kiểm toán hiện hành.</w:t>
      </w:r>
    </w:p>
    <w:p w14:paraId="17A8295C"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Chịu trách nhiệm trước pháp luật và chủ đầu tư về nội dung và tính đúng đắn của số liệu trong báo cáo kiểm toán trên cơ sở hồ sơ quyết toán do chủ đầu tư cung cấp.</w:t>
      </w:r>
    </w:p>
    <w:p w14:paraId="29477E26"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Cùng bên mời thầu làm việc với các bên hữu quan, với cơ quan thẩm tra phê duyệt báo cáo quyết toán (khi có yêu cầu của bên mời thầu) và đề xuất các giải pháp liên quan đến kết quả của cuộc kiểm toán.</w:t>
      </w:r>
    </w:p>
    <w:p w14:paraId="503D4FF9" w14:textId="77777777" w:rsidR="00ED7B75" w:rsidRDefault="00ED7B75"/>
    <w:sectPr w:rsidR="00ED7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3502"/>
    <w:multiLevelType w:val="hybridMultilevel"/>
    <w:tmpl w:val="9508BC44"/>
    <w:lvl w:ilvl="0" w:tplc="7E8671E6">
      <w:start w:val="1"/>
      <w:numFmt w:val="bullet"/>
      <w:lvlText w:val="-"/>
      <w:lvlJc w:val="left"/>
      <w:pPr>
        <w:ind w:left="1440" w:hanging="360"/>
      </w:pPr>
      <w:rPr>
        <w:rFonts w:ascii="Times New Roman" w:hAnsi="Times New Roman" w:cs="Times New Roman" w:hint="default"/>
        <w:b w:val="0"/>
        <w:i w:val="0"/>
        <w:caps w:val="0"/>
        <w:strike w:val="0"/>
        <w:dstrike w:val="0"/>
        <w:vanish w:val="0"/>
        <w:color w:val="000000"/>
        <w:sz w:val="26"/>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9017ED9"/>
    <w:multiLevelType w:val="hybridMultilevel"/>
    <w:tmpl w:val="371EC852"/>
    <w:lvl w:ilvl="0" w:tplc="641882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696672">
    <w:abstractNumId w:val="0"/>
  </w:num>
  <w:num w:numId="2" w16cid:durableId="128145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98"/>
    <w:rsid w:val="001332A5"/>
    <w:rsid w:val="00136115"/>
    <w:rsid w:val="002A7EA9"/>
    <w:rsid w:val="00312698"/>
    <w:rsid w:val="00495B74"/>
    <w:rsid w:val="0055571B"/>
    <w:rsid w:val="00B80652"/>
    <w:rsid w:val="00D512DA"/>
    <w:rsid w:val="00E028E6"/>
    <w:rsid w:val="00E6343A"/>
    <w:rsid w:val="00ED7B75"/>
    <w:rsid w:val="00FA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CDFB"/>
  <w15:chartTrackingRefBased/>
  <w15:docId w15:val="{69FDD496-1B55-40B4-8858-F15479E5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698"/>
    <w:rPr>
      <w:rFonts w:eastAsiaTheme="majorEastAsia" w:cstheme="majorBidi"/>
      <w:color w:val="272727" w:themeColor="text1" w:themeTint="D8"/>
    </w:rPr>
  </w:style>
  <w:style w:type="paragraph" w:styleId="Title">
    <w:name w:val="Title"/>
    <w:basedOn w:val="Normal"/>
    <w:next w:val="Normal"/>
    <w:link w:val="TitleChar"/>
    <w:uiPriority w:val="10"/>
    <w:qFormat/>
    <w:rsid w:val="00312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698"/>
    <w:pPr>
      <w:spacing w:before="160"/>
      <w:jc w:val="center"/>
    </w:pPr>
    <w:rPr>
      <w:i/>
      <w:iCs/>
      <w:color w:val="404040" w:themeColor="text1" w:themeTint="BF"/>
    </w:rPr>
  </w:style>
  <w:style w:type="character" w:customStyle="1" w:styleId="QuoteChar">
    <w:name w:val="Quote Char"/>
    <w:basedOn w:val="DefaultParagraphFont"/>
    <w:link w:val="Quote"/>
    <w:uiPriority w:val="29"/>
    <w:rsid w:val="00312698"/>
    <w:rPr>
      <w:i/>
      <w:iCs/>
      <w:color w:val="404040" w:themeColor="text1" w:themeTint="BF"/>
    </w:rPr>
  </w:style>
  <w:style w:type="paragraph" w:styleId="ListParagraph">
    <w:name w:val="List Paragraph"/>
    <w:basedOn w:val="Normal"/>
    <w:uiPriority w:val="34"/>
    <w:qFormat/>
    <w:rsid w:val="00312698"/>
    <w:pPr>
      <w:ind w:left="720"/>
      <w:contextualSpacing/>
    </w:pPr>
  </w:style>
  <w:style w:type="character" w:styleId="IntenseEmphasis">
    <w:name w:val="Intense Emphasis"/>
    <w:basedOn w:val="DefaultParagraphFont"/>
    <w:uiPriority w:val="21"/>
    <w:qFormat/>
    <w:rsid w:val="00312698"/>
    <w:rPr>
      <w:i/>
      <w:iCs/>
      <w:color w:val="0F4761" w:themeColor="accent1" w:themeShade="BF"/>
    </w:rPr>
  </w:style>
  <w:style w:type="paragraph" w:styleId="IntenseQuote">
    <w:name w:val="Intense Quote"/>
    <w:basedOn w:val="Normal"/>
    <w:next w:val="Normal"/>
    <w:link w:val="IntenseQuoteChar"/>
    <w:uiPriority w:val="30"/>
    <w:qFormat/>
    <w:rsid w:val="00312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698"/>
    <w:rPr>
      <w:i/>
      <w:iCs/>
      <w:color w:val="0F4761" w:themeColor="accent1" w:themeShade="BF"/>
    </w:rPr>
  </w:style>
  <w:style w:type="character" w:styleId="IntenseReference">
    <w:name w:val="Intense Reference"/>
    <w:basedOn w:val="DefaultParagraphFont"/>
    <w:uiPriority w:val="32"/>
    <w:qFormat/>
    <w:rsid w:val="003126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1290</Words>
  <Characters>7357</Characters>
  <Application>Microsoft Office Word</Application>
  <DocSecurity>0</DocSecurity>
  <Lines>61</Lines>
  <Paragraphs>17</Paragraphs>
  <ScaleCrop>false</ScaleCrop>
  <Company>HP</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2025-10-14T15:35:00Z</dcterms:created>
  <dcterms:modified xsi:type="dcterms:W3CDTF">2025-10-14T15:44:00Z</dcterms:modified>
</cp:coreProperties>
</file>