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F51" w:rsidRPr="00972805" w:rsidRDefault="00B84F51" w:rsidP="00B84F51">
      <w:pPr>
        <w:pStyle w:val="Heading1"/>
        <w:shd w:val="clear" w:color="auto" w:fill="FFFFFF"/>
        <w:rPr>
          <w:sz w:val="26"/>
          <w:szCs w:val="26"/>
          <w:lang w:val="es-ES"/>
        </w:rPr>
      </w:pPr>
      <w:bookmarkStart w:id="0" w:name="_Toc154510932"/>
      <w:r w:rsidRPr="00972805">
        <w:rPr>
          <w:sz w:val="26"/>
          <w:szCs w:val="26"/>
          <w:lang w:val="it-IT"/>
        </w:rPr>
        <w:t xml:space="preserve">PHẦN 2. ĐIỀU </w:t>
      </w:r>
      <w:r w:rsidRPr="00972805">
        <w:rPr>
          <w:sz w:val="26"/>
          <w:szCs w:val="26"/>
          <w:lang w:val="es-ES"/>
        </w:rPr>
        <w:t>KHOẢN THAM CHIẾU</w:t>
      </w:r>
      <w:bookmarkEnd w:id="0"/>
    </w:p>
    <w:p w:rsidR="00B84F51" w:rsidRPr="00972805" w:rsidRDefault="00B84F51" w:rsidP="00B84F51">
      <w:pPr>
        <w:pStyle w:val="Heading1"/>
        <w:shd w:val="clear" w:color="auto" w:fill="FFFFFF"/>
        <w:rPr>
          <w:sz w:val="26"/>
          <w:szCs w:val="26"/>
          <w:lang w:val="es-ES"/>
        </w:rPr>
      </w:pPr>
      <w:bookmarkStart w:id="1" w:name="_Toc154510933"/>
      <w:r w:rsidRPr="00972805">
        <w:rPr>
          <w:sz w:val="26"/>
          <w:szCs w:val="26"/>
          <w:lang w:val="es-ES"/>
        </w:rPr>
        <w:t>CHƯƠNG V. ĐIỀU KHOẢN THAM CHIẾU</w:t>
      </w:r>
      <w:bookmarkEnd w:id="1"/>
    </w:p>
    <w:p w:rsidR="00B84F51" w:rsidRPr="00972805" w:rsidRDefault="00B84F51" w:rsidP="00B84F51">
      <w:pPr>
        <w:shd w:val="clear" w:color="auto" w:fill="FFFFFF"/>
        <w:spacing w:before="60" w:after="60"/>
        <w:ind w:firstLine="720"/>
        <w:rPr>
          <w:bCs/>
          <w:i/>
          <w:iCs/>
          <w:sz w:val="26"/>
          <w:szCs w:val="26"/>
          <w:lang w:val="it-IT"/>
        </w:rPr>
      </w:pPr>
    </w:p>
    <w:p w:rsidR="00B84F51" w:rsidRPr="0059154B" w:rsidRDefault="00B84F51" w:rsidP="0059154B">
      <w:pPr>
        <w:shd w:val="clear" w:color="auto" w:fill="FFFFFF"/>
        <w:spacing w:before="120"/>
        <w:ind w:firstLine="284"/>
        <w:rPr>
          <w:b/>
          <w:bCs/>
          <w:sz w:val="26"/>
          <w:szCs w:val="26"/>
          <w:lang w:val="it-IT"/>
        </w:rPr>
      </w:pPr>
      <w:r w:rsidRPr="0059154B">
        <w:rPr>
          <w:b/>
          <w:sz w:val="26"/>
          <w:szCs w:val="26"/>
          <w:lang w:val="it-IT"/>
        </w:rPr>
        <w:t>I. Giới thiệu:</w:t>
      </w:r>
    </w:p>
    <w:p w:rsidR="00B84F51" w:rsidRPr="0059154B" w:rsidRDefault="00B84F51" w:rsidP="0059154B">
      <w:pPr>
        <w:numPr>
          <w:ilvl w:val="0"/>
          <w:numId w:val="5"/>
        </w:numPr>
        <w:tabs>
          <w:tab w:val="left" w:pos="851"/>
        </w:tabs>
        <w:spacing w:before="120"/>
        <w:rPr>
          <w:sz w:val="26"/>
          <w:szCs w:val="26"/>
          <w:lang w:val="it-IT"/>
        </w:rPr>
      </w:pPr>
      <w:bookmarkStart w:id="2" w:name="OLE_LINK50"/>
      <w:bookmarkStart w:id="3" w:name="OLE_LINK51"/>
      <w:bookmarkStart w:id="4" w:name="OLE_LINK6"/>
      <w:r w:rsidRPr="0059154B">
        <w:rPr>
          <w:sz w:val="26"/>
          <w:szCs w:val="26"/>
          <w:lang w:val="it-IT"/>
        </w:rPr>
        <w:t xml:space="preserve">Tên dự án: </w:t>
      </w:r>
      <w:r w:rsidR="00972805" w:rsidRPr="0059154B">
        <w:rPr>
          <w:sz w:val="26"/>
          <w:szCs w:val="26"/>
          <w:lang w:val="it-IT"/>
        </w:rPr>
        <w:t>Khu tái định cư phục vụ Khu công nghiệp huyện Vĩnh Thạnh (giai đoạn 1)</w:t>
      </w:r>
      <w:r w:rsidRPr="0059154B">
        <w:rPr>
          <w:sz w:val="26"/>
          <w:szCs w:val="26"/>
          <w:lang w:val="it-IT"/>
        </w:rPr>
        <w:t>.</w:t>
      </w:r>
    </w:p>
    <w:p w:rsidR="00B84F51" w:rsidRPr="0059154B" w:rsidRDefault="00B84F51" w:rsidP="0059154B">
      <w:pPr>
        <w:numPr>
          <w:ilvl w:val="0"/>
          <w:numId w:val="5"/>
        </w:numPr>
        <w:tabs>
          <w:tab w:val="left" w:pos="851"/>
        </w:tabs>
        <w:spacing w:before="120"/>
        <w:rPr>
          <w:sz w:val="26"/>
          <w:szCs w:val="26"/>
          <w:lang w:val="it-IT"/>
        </w:rPr>
      </w:pPr>
      <w:r w:rsidRPr="0059154B">
        <w:rPr>
          <w:sz w:val="26"/>
          <w:szCs w:val="26"/>
          <w:lang w:val="it-IT"/>
        </w:rPr>
        <w:t xml:space="preserve">Chủ đầu tư: </w:t>
      </w:r>
      <w:r w:rsidR="00972805" w:rsidRPr="0059154B">
        <w:rPr>
          <w:sz w:val="26"/>
          <w:szCs w:val="26"/>
          <w:lang w:val="it-IT"/>
        </w:rPr>
        <w:t>Ban quản lý dự án đầu tư xây dựng khu vực Vĩnh Thạnh</w:t>
      </w:r>
      <w:r w:rsidRPr="0059154B">
        <w:rPr>
          <w:sz w:val="26"/>
          <w:szCs w:val="26"/>
          <w:lang w:val="it-IT"/>
        </w:rPr>
        <w:t>.</w:t>
      </w:r>
    </w:p>
    <w:p w:rsidR="00B84F51" w:rsidRPr="0059154B" w:rsidRDefault="00B84F51" w:rsidP="0059154B">
      <w:pPr>
        <w:numPr>
          <w:ilvl w:val="0"/>
          <w:numId w:val="5"/>
        </w:numPr>
        <w:tabs>
          <w:tab w:val="left" w:pos="851"/>
        </w:tabs>
        <w:spacing w:before="120"/>
        <w:rPr>
          <w:sz w:val="26"/>
          <w:szCs w:val="26"/>
          <w:lang w:val="it-IT"/>
        </w:rPr>
      </w:pPr>
      <w:r w:rsidRPr="0059154B">
        <w:rPr>
          <w:sz w:val="26"/>
          <w:szCs w:val="26"/>
          <w:lang w:val="it-IT"/>
        </w:rPr>
        <w:t xml:space="preserve">Quản lý thực hiện dự án: </w:t>
      </w:r>
      <w:r w:rsidR="00972805" w:rsidRPr="0059154B">
        <w:rPr>
          <w:sz w:val="26"/>
          <w:szCs w:val="26"/>
          <w:lang w:val="it-IT"/>
        </w:rPr>
        <w:t>Ban quản lý dự án đầu tư xây dựng khu vực Vĩnh Thạnh</w:t>
      </w:r>
      <w:r w:rsidRPr="0059154B">
        <w:rPr>
          <w:sz w:val="26"/>
          <w:szCs w:val="26"/>
          <w:lang w:val="it-IT"/>
        </w:rPr>
        <w:t>.</w:t>
      </w:r>
    </w:p>
    <w:p w:rsidR="00B84F51" w:rsidRPr="0059154B" w:rsidRDefault="00B84F51" w:rsidP="0059154B">
      <w:pPr>
        <w:numPr>
          <w:ilvl w:val="0"/>
          <w:numId w:val="5"/>
        </w:numPr>
        <w:tabs>
          <w:tab w:val="left" w:pos="851"/>
        </w:tabs>
        <w:spacing w:before="120"/>
        <w:rPr>
          <w:sz w:val="26"/>
          <w:szCs w:val="26"/>
          <w:lang w:val="it-IT"/>
        </w:rPr>
      </w:pPr>
      <w:r w:rsidRPr="0059154B">
        <w:rPr>
          <w:sz w:val="26"/>
          <w:szCs w:val="26"/>
          <w:lang w:val="it-IT"/>
        </w:rPr>
        <w:t>Mục tiêu đầu tư xây dựng:</w:t>
      </w:r>
    </w:p>
    <w:p w:rsidR="00972805" w:rsidRPr="0059154B" w:rsidRDefault="00972805" w:rsidP="0059154B">
      <w:pPr>
        <w:numPr>
          <w:ilvl w:val="0"/>
          <w:numId w:val="1"/>
        </w:numPr>
        <w:tabs>
          <w:tab w:val="left" w:pos="851"/>
        </w:tabs>
        <w:spacing w:before="120"/>
        <w:rPr>
          <w:sz w:val="26"/>
          <w:szCs w:val="26"/>
          <w:lang w:val="it-IT"/>
        </w:rPr>
      </w:pPr>
      <w:r w:rsidRPr="0059154B">
        <w:rPr>
          <w:sz w:val="26"/>
          <w:szCs w:val="26"/>
          <w:lang w:val="it-IT"/>
        </w:rPr>
        <w:t xml:space="preserve">Đầu tư khu đất quy hoạch Khu tái định cư phục vụ khu công nghiệp huyện Vĩnh Thạnh tương đương: 522.897m2, giai đoạn 1 thực hiện khoảng: 225.461m2, đầu cơ sở hạ tầng, bố trí 547 nền, khu nhà ở công nhân, khu đất thương mại dịch vụ, công trình công cộng, phúc lợi xã hội, giao thông, công viên – cây xanh, hạ tầng kỹ thuật..., với dân số dự kiến khoảng: 4.000 người. </w:t>
      </w:r>
    </w:p>
    <w:p w:rsidR="00CB3427" w:rsidRPr="0059154B" w:rsidRDefault="00972805" w:rsidP="0059154B">
      <w:pPr>
        <w:numPr>
          <w:ilvl w:val="0"/>
          <w:numId w:val="1"/>
        </w:numPr>
        <w:tabs>
          <w:tab w:val="left" w:pos="851"/>
        </w:tabs>
        <w:spacing w:before="120"/>
        <w:rPr>
          <w:sz w:val="26"/>
          <w:szCs w:val="26"/>
          <w:lang w:val="it-IT"/>
        </w:rPr>
      </w:pPr>
      <w:r w:rsidRPr="0059154B">
        <w:rPr>
          <w:sz w:val="26"/>
          <w:szCs w:val="26"/>
          <w:lang w:val="it-IT"/>
        </w:rPr>
        <w:t>Xây dựng khu Tái định cư đầy đủ hệ thống hạ tầng kỹ thuật gồm: san lấp mặt bằng; hệ thống đường giao thông; công viên, cây xanh; hệ thống cấp điện; hệ thống chiếu sáng; hệ thống cấp nước, PCCC; hệ thống thoát nước mưa; hệ thống thu gom và xử lý nước thải.</w:t>
      </w:r>
    </w:p>
    <w:p w:rsidR="00B84F51" w:rsidRPr="0059154B" w:rsidRDefault="00B84F51" w:rsidP="0059154B">
      <w:pPr>
        <w:numPr>
          <w:ilvl w:val="0"/>
          <w:numId w:val="5"/>
        </w:numPr>
        <w:tabs>
          <w:tab w:val="left" w:pos="851"/>
        </w:tabs>
        <w:spacing w:before="120"/>
        <w:rPr>
          <w:sz w:val="26"/>
          <w:szCs w:val="26"/>
          <w:lang w:val="it-IT"/>
        </w:rPr>
      </w:pPr>
      <w:r w:rsidRPr="0059154B">
        <w:rPr>
          <w:sz w:val="26"/>
          <w:szCs w:val="26"/>
          <w:lang w:val="it-IT"/>
        </w:rPr>
        <w:t>Địa điểm xây dựng:</w:t>
      </w:r>
    </w:p>
    <w:p w:rsidR="00CB3427" w:rsidRPr="0059154B" w:rsidRDefault="00972805" w:rsidP="0059154B">
      <w:pPr>
        <w:numPr>
          <w:ilvl w:val="0"/>
          <w:numId w:val="1"/>
        </w:numPr>
        <w:tabs>
          <w:tab w:val="left" w:pos="851"/>
        </w:tabs>
        <w:spacing w:before="120"/>
        <w:ind w:left="851" w:hanging="284"/>
        <w:rPr>
          <w:sz w:val="26"/>
          <w:szCs w:val="26"/>
          <w:lang w:val="it-IT"/>
        </w:rPr>
      </w:pPr>
      <w:r w:rsidRPr="0059154B">
        <w:rPr>
          <w:sz w:val="26"/>
          <w:szCs w:val="26"/>
          <w:lang w:val="it-IT"/>
        </w:rPr>
        <w:t>Thành phố Cần Thơ</w:t>
      </w:r>
      <w:r w:rsidR="00CB3427" w:rsidRPr="0059154B">
        <w:rPr>
          <w:sz w:val="26"/>
          <w:szCs w:val="26"/>
          <w:lang w:val="it-IT"/>
        </w:rPr>
        <w:t>.</w:t>
      </w:r>
    </w:p>
    <w:p w:rsidR="00B84F51" w:rsidRPr="0059154B" w:rsidRDefault="00B84F51" w:rsidP="0059154B">
      <w:pPr>
        <w:numPr>
          <w:ilvl w:val="0"/>
          <w:numId w:val="5"/>
        </w:numPr>
        <w:tabs>
          <w:tab w:val="left" w:pos="851"/>
        </w:tabs>
        <w:spacing w:before="120"/>
        <w:rPr>
          <w:sz w:val="26"/>
          <w:szCs w:val="26"/>
          <w:lang w:val="it-IT"/>
        </w:rPr>
      </w:pPr>
      <w:r w:rsidRPr="0059154B">
        <w:rPr>
          <w:sz w:val="26"/>
          <w:szCs w:val="26"/>
          <w:lang w:val="it-IT"/>
        </w:rPr>
        <w:t xml:space="preserve">Loại và cấp công trình: </w:t>
      </w:r>
      <w:r w:rsidR="00972805" w:rsidRPr="0059154B">
        <w:rPr>
          <w:sz w:val="26"/>
          <w:szCs w:val="26"/>
          <w:lang w:val="nb-NO"/>
        </w:rPr>
        <w:t>Công trình Hạ tầng kỹ thuật, cấp III, nhóm B</w:t>
      </w:r>
      <w:r w:rsidRPr="0059154B">
        <w:rPr>
          <w:sz w:val="26"/>
          <w:szCs w:val="26"/>
          <w:lang w:val="it-IT"/>
        </w:rPr>
        <w:t>.</w:t>
      </w:r>
    </w:p>
    <w:p w:rsidR="00B84F51" w:rsidRPr="0059154B" w:rsidRDefault="00B84F51" w:rsidP="0059154B">
      <w:pPr>
        <w:numPr>
          <w:ilvl w:val="0"/>
          <w:numId w:val="5"/>
        </w:numPr>
        <w:tabs>
          <w:tab w:val="left" w:pos="851"/>
        </w:tabs>
        <w:spacing w:before="120"/>
        <w:rPr>
          <w:sz w:val="26"/>
          <w:szCs w:val="26"/>
          <w:lang w:val="it-IT"/>
        </w:rPr>
      </w:pPr>
      <w:r w:rsidRPr="0059154B">
        <w:rPr>
          <w:sz w:val="26"/>
          <w:szCs w:val="26"/>
          <w:lang w:val="it-IT"/>
        </w:rPr>
        <w:t>Quy mô đầu tư</w:t>
      </w:r>
    </w:p>
    <w:p w:rsidR="00C84486" w:rsidRPr="0059154B" w:rsidRDefault="00C84486" w:rsidP="0059154B">
      <w:pPr>
        <w:tabs>
          <w:tab w:val="left" w:pos="851"/>
        </w:tabs>
        <w:spacing w:before="120"/>
        <w:ind w:left="927"/>
        <w:rPr>
          <w:sz w:val="26"/>
          <w:szCs w:val="26"/>
          <w:lang w:val="it-IT"/>
        </w:rPr>
      </w:pPr>
      <w:r w:rsidRPr="0059154B">
        <w:rPr>
          <w:sz w:val="26"/>
          <w:szCs w:val="26"/>
          <w:lang w:val="it-IT"/>
        </w:rPr>
        <w:t>7.</w:t>
      </w:r>
      <w:r w:rsidRPr="0059154B">
        <w:rPr>
          <w:sz w:val="26"/>
          <w:szCs w:val="26"/>
          <w:lang w:val="it-IT"/>
        </w:rPr>
        <w:t xml:space="preserve">1. </w:t>
      </w:r>
      <w:r w:rsidRPr="0059154B">
        <w:rPr>
          <w:sz w:val="26"/>
          <w:szCs w:val="26"/>
          <w:lang w:val="it-IT"/>
        </w:rPr>
        <w:tab/>
        <w:t>San lấp mặt bằng:</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Diện tích san lấp trong ranh quy hoạch: 213.320m2.</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Diện tích kênh thuỷ lợi không san lấp: 6.434m2.</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Phần công viên giáp ranh dự án, nằm cặp bên kênh thuỷ lợi được đắp đất 5.707m2.</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Cao độ san lấp theo quy hoạch: +2.95m (Hệ cao độ Quốc gia, Hòn Dấu). San lấp mặt bằng bằng cát đen, cát san lấp đầm chặt K&gt;0.90.</w:t>
      </w:r>
    </w:p>
    <w:p w:rsidR="00C84486" w:rsidRPr="0059154B" w:rsidRDefault="00C84486" w:rsidP="0059154B">
      <w:pPr>
        <w:tabs>
          <w:tab w:val="left" w:pos="851"/>
        </w:tabs>
        <w:spacing w:before="120"/>
        <w:ind w:left="927"/>
        <w:rPr>
          <w:sz w:val="26"/>
          <w:szCs w:val="26"/>
          <w:lang w:val="it-IT"/>
        </w:rPr>
      </w:pPr>
      <w:r w:rsidRPr="0059154B">
        <w:rPr>
          <w:sz w:val="26"/>
          <w:szCs w:val="26"/>
          <w:lang w:val="it-IT"/>
        </w:rPr>
        <w:t>7.</w:t>
      </w:r>
      <w:r w:rsidRPr="0059154B">
        <w:rPr>
          <w:sz w:val="26"/>
          <w:szCs w:val="26"/>
          <w:lang w:val="it-IT"/>
        </w:rPr>
        <w:t xml:space="preserve">2. </w:t>
      </w:r>
      <w:r w:rsidRPr="0059154B">
        <w:rPr>
          <w:sz w:val="26"/>
          <w:szCs w:val="26"/>
          <w:lang w:val="it-IT"/>
        </w:rPr>
        <w:tab/>
        <w:t xml:space="preserve">Hệ thống đường giao thông: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ab/>
        <w:t>- Bố trí trục chính của Khu tái định cư là đường số 1, đường số 2 có lộ giới 23m (4,5m-14,0m-4,5m), đấu nối vào tuyến đường vào khu công nghiệp.</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Các tuyến đường giao thông nội bộ còn lại có lộ giới 15m (4m-7m-4m); đây là các tuyến đường kết nối với hệ thống giao thông đối nội của khu quy hoạch.</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xml:space="preserve">- Đường giao thông; đường cấp cao A1 (Mặt đường bê tông nhựa nóng BTNC).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Loại mặt đường: cấp cao A1 (Mặt đường bê tông nhựa nóng BTNC).</w:t>
      </w:r>
    </w:p>
    <w:p w:rsidR="00C84486" w:rsidRPr="0059154B" w:rsidRDefault="00C84486" w:rsidP="0059154B">
      <w:pPr>
        <w:tabs>
          <w:tab w:val="left" w:pos="851"/>
        </w:tabs>
        <w:spacing w:before="120"/>
        <w:ind w:left="927"/>
        <w:rPr>
          <w:sz w:val="26"/>
          <w:szCs w:val="26"/>
          <w:lang w:val="it-IT"/>
        </w:rPr>
      </w:pPr>
      <w:r w:rsidRPr="0059154B">
        <w:rPr>
          <w:sz w:val="26"/>
          <w:szCs w:val="26"/>
          <w:lang w:val="it-IT"/>
        </w:rPr>
        <w:lastRenderedPageBreak/>
        <w:t>+ Cao độ thiết kế mép đường:  +2.95 (Hệ cao độ Quốc gia, Hòn Dấu).</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Cao độ đỉnh gờ bó vỉa:  +3.10 (Hệ cao độ Quốc gia, Hòn Dấu).</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Bó vỉa đường (dọc theo vỉa hè các tuyến đường): Sử dụng bó vỉa bằng bê tông đá 1x2 M250 đổ tại chỗ, khe nhiệt 3m/khe.</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Vỉa hè 2 bên đường.</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xml:space="preserve">+ Cao độ đỉnh gờ bó vỉa, mép vỉa hè hoàn thiện: +3.10 (Hệ cao độ Quốc gia, Hòn Dấu).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Vỉa hè lát gạch Terrazzo (40x40x3cm), độ bền uốn &gt;5MPa.</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Vỉa hè trồng cây xanh; có độ dốc 1,5%.</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Hẻm kỹ thuật BTCT đá 1x2 M250 (đối với các hẻm kỹ thuật có bề rộng 4,0m).</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Bãi đỗ xe:</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Diện tích: 3.852,3m2</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Kết cấu: mặt BTCT đá 1x2 M250</w:t>
      </w:r>
    </w:p>
    <w:p w:rsidR="00C84486" w:rsidRPr="0059154B" w:rsidRDefault="00C84486" w:rsidP="0059154B">
      <w:pPr>
        <w:tabs>
          <w:tab w:val="left" w:pos="851"/>
        </w:tabs>
        <w:spacing w:before="120"/>
        <w:ind w:left="927"/>
        <w:rPr>
          <w:sz w:val="26"/>
          <w:szCs w:val="26"/>
          <w:lang w:val="it-IT"/>
        </w:rPr>
      </w:pPr>
      <w:r w:rsidRPr="0059154B">
        <w:rPr>
          <w:sz w:val="26"/>
          <w:szCs w:val="26"/>
          <w:lang w:val="it-IT"/>
        </w:rPr>
        <w:t>7.</w:t>
      </w:r>
      <w:r w:rsidRPr="0059154B">
        <w:rPr>
          <w:sz w:val="26"/>
          <w:szCs w:val="26"/>
          <w:lang w:val="it-IT"/>
        </w:rPr>
        <w:t xml:space="preserve">3. </w:t>
      </w:r>
      <w:r w:rsidRPr="0059154B">
        <w:rPr>
          <w:sz w:val="26"/>
          <w:szCs w:val="26"/>
          <w:lang w:val="it-IT"/>
        </w:rPr>
        <w:tab/>
        <w:t xml:space="preserve">Công viên, cây xanh: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Tổng diện tích công viên, cây xanh, hành lang an toàn lưới điện: 28.448m2.</w:t>
      </w:r>
    </w:p>
    <w:p w:rsidR="00C84486" w:rsidRPr="0059154B" w:rsidRDefault="00C84486" w:rsidP="0059154B">
      <w:pPr>
        <w:tabs>
          <w:tab w:val="left" w:pos="851"/>
        </w:tabs>
        <w:spacing w:before="120"/>
        <w:ind w:left="927"/>
        <w:rPr>
          <w:sz w:val="26"/>
          <w:szCs w:val="26"/>
          <w:lang w:val="it-IT"/>
        </w:rPr>
      </w:pPr>
      <w:r w:rsidRPr="0059154B">
        <w:rPr>
          <w:sz w:val="26"/>
          <w:szCs w:val="26"/>
          <w:lang w:val="it-IT"/>
        </w:rPr>
        <w:t>-</w:t>
      </w:r>
      <w:r w:rsidRPr="0059154B">
        <w:rPr>
          <w:sz w:val="26"/>
          <w:szCs w:val="26"/>
          <w:lang w:val="it-IT"/>
        </w:rPr>
        <w:tab/>
        <w:t>Diện tích công viên, cây xanh khoảng 20.521m2.</w:t>
      </w:r>
    </w:p>
    <w:p w:rsidR="00C84486" w:rsidRPr="0059154B" w:rsidRDefault="00C84486" w:rsidP="0059154B">
      <w:pPr>
        <w:tabs>
          <w:tab w:val="left" w:pos="851"/>
        </w:tabs>
        <w:spacing w:before="120"/>
        <w:ind w:left="927"/>
        <w:rPr>
          <w:sz w:val="26"/>
          <w:szCs w:val="26"/>
          <w:lang w:val="it-IT"/>
        </w:rPr>
      </w:pPr>
      <w:r w:rsidRPr="0059154B">
        <w:rPr>
          <w:sz w:val="26"/>
          <w:szCs w:val="26"/>
          <w:lang w:val="it-IT"/>
        </w:rPr>
        <w:t>-</w:t>
      </w:r>
      <w:r w:rsidRPr="0059154B">
        <w:rPr>
          <w:sz w:val="26"/>
          <w:szCs w:val="26"/>
          <w:lang w:val="it-IT"/>
        </w:rPr>
        <w:tab/>
        <w:t>Diện tích cây xanh hành lang an toàn lưới điện 7.927m2.</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Bố trí công viên vườn hoa, cây xanh, sân tập thể dục thể thao, lối đi lại theo quy hoạch nhằm tạo không gian thông thoáng, góp phần cân bằng sinh thái, cải tạo môi trường vi khí hậu và tạo cảnh quan đô thị trong khu ở.</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Dọc trên vìa hè các tuyến đường trồng cây xanh để tạo cảnh quan, bóng mát, không khí trong lành, cây được bố trí trồng trên vìa hè với khoảng cách bình quân 8-10m/cây.</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Cây xanh, thảm cỏ để tạo cảnh quan, bóng mát, không khí trong lành cho khu tái định cư.</w:t>
      </w:r>
    </w:p>
    <w:p w:rsidR="00C84486" w:rsidRPr="0059154B" w:rsidRDefault="00C84486" w:rsidP="0059154B">
      <w:pPr>
        <w:tabs>
          <w:tab w:val="left" w:pos="851"/>
        </w:tabs>
        <w:spacing w:before="120"/>
        <w:ind w:left="927"/>
        <w:rPr>
          <w:sz w:val="26"/>
          <w:szCs w:val="26"/>
          <w:lang w:val="it-IT"/>
        </w:rPr>
      </w:pPr>
      <w:r w:rsidRPr="0059154B">
        <w:rPr>
          <w:sz w:val="26"/>
          <w:szCs w:val="26"/>
          <w:lang w:val="it-IT"/>
        </w:rPr>
        <w:t>7.</w:t>
      </w:r>
      <w:r w:rsidRPr="0059154B">
        <w:rPr>
          <w:sz w:val="26"/>
          <w:szCs w:val="26"/>
          <w:lang w:val="it-IT"/>
        </w:rPr>
        <w:t xml:space="preserve">4. </w:t>
      </w:r>
      <w:r w:rsidRPr="0059154B">
        <w:rPr>
          <w:sz w:val="26"/>
          <w:szCs w:val="26"/>
          <w:lang w:val="it-IT"/>
        </w:rPr>
        <w:tab/>
        <w:t xml:space="preserve">Hệ thống cấp điện: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Giải pháp thiết kế cấp điện:</w:t>
      </w:r>
    </w:p>
    <w:p w:rsidR="00C84486" w:rsidRPr="0059154B" w:rsidRDefault="00C84486" w:rsidP="0059154B">
      <w:pPr>
        <w:tabs>
          <w:tab w:val="left" w:pos="851"/>
        </w:tabs>
        <w:spacing w:before="120"/>
        <w:ind w:left="927"/>
        <w:rPr>
          <w:sz w:val="26"/>
          <w:szCs w:val="26"/>
          <w:lang w:val="it-IT"/>
        </w:rPr>
      </w:pPr>
      <w:r w:rsidRPr="0059154B">
        <w:rPr>
          <w:sz w:val="26"/>
          <w:szCs w:val="26"/>
          <w:lang w:val="it-IT"/>
        </w:rPr>
        <w:t>Nguồn điện: Nguồn cấp điện trung thế trên khu vực trên đường vào khu công nghiệp, hạ trạm biến áp, cấp điện cho Khu tái định cư (nguồn điện thỏa thuận với điện lực địa phương theo quy định).</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xml:space="preserve">* Tuyến trung áp: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Tuyến trung áp đi ngầm để đảm bảo mỹ quan, cấp điện cho trạm biến áp công trình, bố trí trên vỉa hè dọc theo các tuyến đường, hạ trạm có công suất tính toán phù hợp để cấp cho các khối công trình, chiều dài tuyến trung áp khoảng: 700m.</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xml:space="preserve">* Tuyến hạ áp: </w:t>
      </w:r>
    </w:p>
    <w:p w:rsidR="00C84486" w:rsidRPr="0059154B" w:rsidRDefault="00C84486" w:rsidP="0059154B">
      <w:pPr>
        <w:tabs>
          <w:tab w:val="left" w:pos="851"/>
        </w:tabs>
        <w:spacing w:before="120"/>
        <w:ind w:left="927"/>
        <w:rPr>
          <w:sz w:val="26"/>
          <w:szCs w:val="26"/>
          <w:lang w:val="it-IT"/>
        </w:rPr>
      </w:pPr>
      <w:r w:rsidRPr="0059154B">
        <w:rPr>
          <w:sz w:val="26"/>
          <w:szCs w:val="26"/>
          <w:lang w:val="it-IT"/>
        </w:rPr>
        <w:lastRenderedPageBreak/>
        <w:t xml:space="preserve">Tuyến hạ áp đi nổi trên các trụ BTLT 8.5m dọc theo vĩa hè của khu tái định cư cấp điện cho công trình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xml:space="preserve">+ Trạm Biến áp: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Thiết kế trạm có dung lượng đảm bảo mọi hoạt động cho Khu tái định cư phục vụ khu công nghiệp huyện Vĩnh Thạnh. Dự kiến hạ 3 trạm biến áp: 630kva + Tủ RMU</w:t>
      </w:r>
    </w:p>
    <w:p w:rsidR="00C84486" w:rsidRPr="0059154B" w:rsidRDefault="00C84486" w:rsidP="0059154B">
      <w:pPr>
        <w:tabs>
          <w:tab w:val="left" w:pos="851"/>
        </w:tabs>
        <w:spacing w:before="120"/>
        <w:ind w:left="927"/>
        <w:rPr>
          <w:sz w:val="26"/>
          <w:szCs w:val="26"/>
          <w:lang w:val="it-IT"/>
        </w:rPr>
      </w:pPr>
      <w:r w:rsidRPr="0059154B">
        <w:rPr>
          <w:sz w:val="26"/>
          <w:szCs w:val="26"/>
          <w:lang w:val="it-IT"/>
        </w:rPr>
        <w:t>7.</w:t>
      </w:r>
      <w:r w:rsidRPr="0059154B">
        <w:rPr>
          <w:sz w:val="26"/>
          <w:szCs w:val="26"/>
          <w:lang w:val="it-IT"/>
        </w:rPr>
        <w:t xml:space="preserve">5. Hệ thống chiếu sáng: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Hệ thống chiếu sáng: chiếu sáng cho đường nội bộ và các lối đi trong toàn Khu tái định cư.</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xml:space="preserve">- Chiếu sáng đường phố bằng đèn led có công suât từ 150W. Hệ thống chiếu sáng phải đảm bảo độ rọi tối thiểu trên mặt đường lớn hơn 5(lux) và độ rọi trên vỉa hè lớn hơn hoặc bằng 3(lux).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Các đèn chiếu sáng được lắp chung trên các trụ BTLT hạ áp.</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Đèn chiếu sáng được sử dụng hoạt động theo hai chế độ: tự động và đóng bằng tay.</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Chiều dài tuyến chiếu sáng khoảng: 4.000m.</w:t>
      </w:r>
    </w:p>
    <w:p w:rsidR="00C84486" w:rsidRPr="0059154B" w:rsidRDefault="00C84486" w:rsidP="0059154B">
      <w:pPr>
        <w:tabs>
          <w:tab w:val="left" w:pos="851"/>
        </w:tabs>
        <w:spacing w:before="120"/>
        <w:ind w:left="927"/>
        <w:rPr>
          <w:sz w:val="26"/>
          <w:szCs w:val="26"/>
          <w:lang w:val="it-IT"/>
        </w:rPr>
      </w:pPr>
      <w:r w:rsidRPr="0059154B">
        <w:rPr>
          <w:sz w:val="26"/>
          <w:szCs w:val="26"/>
          <w:lang w:val="it-IT"/>
        </w:rPr>
        <w:t>7.</w:t>
      </w:r>
      <w:r w:rsidRPr="0059154B">
        <w:rPr>
          <w:sz w:val="26"/>
          <w:szCs w:val="26"/>
          <w:lang w:val="it-IT"/>
        </w:rPr>
        <w:t xml:space="preserve">6.Hệ thống cấp nước nước, PCCC: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Hệ thống cấp nước:</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Nguồn cấp nước: Nguồn nước phục vụ khu quy hoạch được lấy từ nhà máy nước đang được đầu tư trên địa bàn xã và được dẫn vào khu quy hoạch qua đường vào khu công nghiệp. Nước cung cấp đảm bảo tiêu chuẩn sinh hoạt, đủ lưu lượng, đáp ứng yêu cầu đúng qui định hiện hành.</w:t>
      </w:r>
    </w:p>
    <w:p w:rsidR="00C84486" w:rsidRPr="0059154B" w:rsidRDefault="00C84486" w:rsidP="0059154B">
      <w:pPr>
        <w:tabs>
          <w:tab w:val="left" w:pos="851"/>
        </w:tabs>
        <w:spacing w:before="120"/>
        <w:ind w:left="927"/>
        <w:rPr>
          <w:sz w:val="26"/>
          <w:szCs w:val="26"/>
          <w:lang w:val="it-IT"/>
        </w:rPr>
      </w:pPr>
      <w:r w:rsidRPr="0059154B">
        <w:rPr>
          <w:sz w:val="26"/>
          <w:szCs w:val="26"/>
          <w:lang w:val="it-IT"/>
        </w:rPr>
        <w:tab/>
        <w:t xml:space="preserve">- Tuyến cấp nước chính sử dụng ống HDPE </w:t>
      </w:r>
      <w:r w:rsidRPr="0059154B">
        <w:rPr>
          <w:sz w:val="26"/>
          <w:szCs w:val="26"/>
          <w:lang w:val="it-IT"/>
        </w:rPr>
        <w:t xml:space="preserve">160, </w:t>
      </w:r>
      <w:r w:rsidRPr="0059154B">
        <w:rPr>
          <w:sz w:val="26"/>
          <w:szCs w:val="26"/>
          <w:lang w:val="it-IT"/>
        </w:rPr>
        <w:t>110 tùy theo tuyến, bố trí dọc 2 bên vỉa hè các tuyến đường để cấp nước cho các công trình, hộ dân, công trình dịch vụ, công cộng… theo quy hoạch.</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Hình thức bố trí: Mạng lưới cấp nước là mạng lưới vòng kết hợp mạng lưới phân nhánh được. Được bố trí dọc dưới vỉa hè đường giao thông.</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Hệ thống PCCC</w:t>
      </w:r>
    </w:p>
    <w:p w:rsidR="00C84486" w:rsidRPr="0059154B" w:rsidRDefault="00C84486" w:rsidP="0059154B">
      <w:pPr>
        <w:tabs>
          <w:tab w:val="left" w:pos="851"/>
        </w:tabs>
        <w:spacing w:before="120"/>
        <w:ind w:left="927"/>
        <w:rPr>
          <w:sz w:val="26"/>
          <w:szCs w:val="26"/>
          <w:lang w:val="it-IT"/>
        </w:rPr>
      </w:pPr>
      <w:r w:rsidRPr="0059154B">
        <w:rPr>
          <w:sz w:val="26"/>
          <w:szCs w:val="26"/>
          <w:lang w:val="it-IT"/>
        </w:rPr>
        <w:tab/>
        <w:t xml:space="preserve">Trên tuyến đường ống cấp nước HDPE </w:t>
      </w:r>
      <w:r w:rsidRPr="0059154B">
        <w:rPr>
          <w:sz w:val="26"/>
          <w:szCs w:val="26"/>
          <w:lang w:val="it-IT"/>
        </w:rPr>
        <w:t>110 bố trí các trụ cấp nước cứu hỏa để các xe lấy nước cứu hỏa khi xảy ra cháy (khoảng cách giữa các trụ không quá 150m).</w:t>
      </w:r>
    </w:p>
    <w:p w:rsidR="00C84486" w:rsidRPr="0059154B" w:rsidRDefault="00C84486" w:rsidP="0059154B">
      <w:pPr>
        <w:tabs>
          <w:tab w:val="left" w:pos="851"/>
        </w:tabs>
        <w:spacing w:before="120"/>
        <w:ind w:left="927"/>
        <w:rPr>
          <w:sz w:val="26"/>
          <w:szCs w:val="26"/>
          <w:lang w:val="it-IT"/>
        </w:rPr>
      </w:pPr>
      <w:r w:rsidRPr="0059154B">
        <w:rPr>
          <w:sz w:val="26"/>
          <w:szCs w:val="26"/>
          <w:lang w:val="it-IT"/>
        </w:rPr>
        <w:t>7.</w:t>
      </w:r>
      <w:r w:rsidRPr="0059154B">
        <w:rPr>
          <w:sz w:val="26"/>
          <w:szCs w:val="26"/>
          <w:lang w:val="it-IT"/>
        </w:rPr>
        <w:t xml:space="preserve">7 Hệ thống thoát nước mưa: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Tổng diện tích khu vực tính toán thu nước mưa của Khu tái định cư phục vụ khu công nghiệp huyện Vĩnh Thạnh (giai đoạn 1): 225.461m2. Nước mưa được thu gom tại các miệng thu, hố ga…. và thoát nước theo phương pháp tự chảy, nước chạy theo độ dốc và thoát xuống kênh rạch xung quanh.</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Các tuyến cống thoát nước mưa được thiết kế theo nguyên tắc tự chảy, được bố trí trên cơ sở tận dụng tối đa độ dốc của địa hình, sao cho chiều dài tuyến hướng thoát về miệng xả tại vị trí các kênh T1, kênh Thủy lợi là ngắn nhất.</w:t>
      </w:r>
    </w:p>
    <w:p w:rsidR="00C84486" w:rsidRPr="0059154B" w:rsidRDefault="00C84486" w:rsidP="0059154B">
      <w:pPr>
        <w:tabs>
          <w:tab w:val="left" w:pos="851"/>
        </w:tabs>
        <w:spacing w:before="120"/>
        <w:ind w:left="927"/>
        <w:rPr>
          <w:sz w:val="26"/>
          <w:szCs w:val="26"/>
          <w:lang w:val="it-IT"/>
        </w:rPr>
      </w:pPr>
      <w:r w:rsidRPr="0059154B">
        <w:rPr>
          <w:sz w:val="26"/>
          <w:szCs w:val="26"/>
          <w:lang w:val="it-IT"/>
        </w:rPr>
        <w:lastRenderedPageBreak/>
        <w:t xml:space="preserve">- Độ dốc cống thoát nước mưa đảm bảo theo nguyên tắc tự chảy Imin &gt;= 1/D. </w:t>
      </w:r>
    </w:p>
    <w:p w:rsidR="00C84486" w:rsidRPr="0059154B" w:rsidRDefault="00C84486" w:rsidP="0059154B">
      <w:pPr>
        <w:tabs>
          <w:tab w:val="left" w:pos="851"/>
        </w:tabs>
        <w:spacing w:before="120"/>
        <w:ind w:left="927"/>
        <w:rPr>
          <w:sz w:val="26"/>
          <w:szCs w:val="26"/>
          <w:lang w:val="it-IT"/>
        </w:rPr>
      </w:pPr>
      <w:r w:rsidRPr="0059154B">
        <w:rPr>
          <w:sz w:val="26"/>
          <w:szCs w:val="26"/>
          <w:lang w:val="it-IT"/>
        </w:rPr>
        <w:t xml:space="preserve">- Đường ống thoát nước sử dụng mương thu nước, đường ống BTLT </w:t>
      </w:r>
      <w:r w:rsidRPr="0059154B">
        <w:rPr>
          <w:sz w:val="26"/>
          <w:szCs w:val="26"/>
          <w:lang w:val="it-IT"/>
        </w:rPr>
        <w:t xml:space="preserve">400, </w:t>
      </w:r>
      <w:r w:rsidRPr="0059154B">
        <w:rPr>
          <w:sz w:val="26"/>
          <w:szCs w:val="26"/>
          <w:lang w:val="it-IT"/>
        </w:rPr>
        <w:t xml:space="preserve">600, </w:t>
      </w:r>
      <w:r w:rsidRPr="0059154B">
        <w:rPr>
          <w:sz w:val="26"/>
          <w:szCs w:val="26"/>
          <w:lang w:val="it-IT"/>
        </w:rPr>
        <w:t xml:space="preserve">800, </w:t>
      </w:r>
      <w:r w:rsidRPr="0059154B">
        <w:rPr>
          <w:sz w:val="26"/>
          <w:szCs w:val="26"/>
          <w:lang w:val="it-IT"/>
        </w:rPr>
        <w:t>1.000 bố trí hẻm kỹ thuật phía sau, dọc theo vỉa hè 2 bên đường, bố trí các hố ga, miệng thu nước với khoảng cách bình quân khoảng 30m để thu nước mặt đường..</w:t>
      </w:r>
    </w:p>
    <w:p w:rsidR="00C84486" w:rsidRPr="0059154B" w:rsidRDefault="00C84486" w:rsidP="0059154B">
      <w:pPr>
        <w:tabs>
          <w:tab w:val="left" w:pos="851"/>
        </w:tabs>
        <w:spacing w:before="120"/>
        <w:ind w:left="927"/>
        <w:rPr>
          <w:sz w:val="26"/>
          <w:szCs w:val="26"/>
          <w:lang w:val="it-IT"/>
        </w:rPr>
      </w:pPr>
      <w:r w:rsidRPr="0059154B">
        <w:rPr>
          <w:sz w:val="26"/>
          <w:szCs w:val="26"/>
          <w:lang w:val="it-IT"/>
        </w:rPr>
        <w:t>7.</w:t>
      </w:r>
      <w:r w:rsidRPr="0059154B">
        <w:rPr>
          <w:sz w:val="26"/>
          <w:szCs w:val="26"/>
          <w:lang w:val="it-IT"/>
        </w:rPr>
        <w:t>8. Hệ thống thu gom nước thải</w:t>
      </w:r>
    </w:p>
    <w:p w:rsidR="00C84486" w:rsidRPr="0059154B" w:rsidRDefault="00C84486" w:rsidP="0059154B">
      <w:pPr>
        <w:tabs>
          <w:tab w:val="left" w:pos="851"/>
        </w:tabs>
        <w:spacing w:before="120"/>
        <w:ind w:left="927"/>
        <w:rPr>
          <w:sz w:val="26"/>
          <w:szCs w:val="26"/>
          <w:lang w:val="it-IT"/>
        </w:rPr>
      </w:pPr>
      <w:r w:rsidRPr="0059154B">
        <w:rPr>
          <w:sz w:val="26"/>
          <w:szCs w:val="26"/>
          <w:lang w:val="it-IT"/>
        </w:rPr>
        <w:t>Bố trí đường ống thoát nước thải sử dụng ống HDPE D250, D315 bố trí hẻm kỹ thuật phía sau, dọc theo vỉa hè 2 bên đường, bố trí các hố ga, với khoảng cách bình quân khoảng 25m để dẫn nước tập trung về bể xử lý nước thải.</w:t>
      </w:r>
    </w:p>
    <w:p w:rsidR="00C84486" w:rsidRPr="0059154B" w:rsidRDefault="00C84486" w:rsidP="0059154B">
      <w:pPr>
        <w:tabs>
          <w:tab w:val="left" w:pos="851"/>
        </w:tabs>
        <w:spacing w:before="120"/>
        <w:ind w:left="927"/>
        <w:rPr>
          <w:sz w:val="26"/>
          <w:szCs w:val="26"/>
          <w:lang w:val="it-IT"/>
        </w:rPr>
      </w:pPr>
      <w:r w:rsidRPr="0059154B">
        <w:rPr>
          <w:sz w:val="26"/>
          <w:szCs w:val="26"/>
          <w:lang w:val="it-IT"/>
        </w:rPr>
        <w:t>7.</w:t>
      </w:r>
      <w:r w:rsidRPr="0059154B">
        <w:rPr>
          <w:sz w:val="26"/>
          <w:szCs w:val="26"/>
          <w:lang w:val="it-IT"/>
        </w:rPr>
        <w:t>9. Hệ thống xử lý nước thải</w:t>
      </w:r>
    </w:p>
    <w:p w:rsidR="00C84486" w:rsidRPr="0059154B" w:rsidRDefault="00C84486" w:rsidP="0059154B">
      <w:pPr>
        <w:tabs>
          <w:tab w:val="left" w:pos="851"/>
        </w:tabs>
        <w:spacing w:before="120"/>
        <w:ind w:left="927"/>
        <w:rPr>
          <w:sz w:val="26"/>
          <w:szCs w:val="26"/>
          <w:lang w:val="it-IT"/>
        </w:rPr>
      </w:pPr>
      <w:r w:rsidRPr="0059154B">
        <w:rPr>
          <w:sz w:val="26"/>
          <w:szCs w:val="26"/>
          <w:lang w:val="it-IT"/>
        </w:rPr>
        <w:t>Tổng diện tích khu vực tính toán thu nước thải sinh hoạt của Khu tái định cư phục vụ khu công nghiệp huyện Vĩnh Thạnh (giai đoạn 1) 225.461m2. Tổng số lô nền 547 nền, khu nhà ở công nhân, khu đất thương mại dịch vụ, công trình công cộng, phúc lợi xã hội, giao thông, công viên – cây xanh, hạ tầng kỹ thuật..., với dân số dự kiến khoảng 4.000 người</w:t>
      </w:r>
    </w:p>
    <w:p w:rsidR="00C84486" w:rsidRPr="0059154B" w:rsidRDefault="00C84486" w:rsidP="0059154B">
      <w:pPr>
        <w:tabs>
          <w:tab w:val="left" w:pos="851"/>
        </w:tabs>
        <w:spacing w:before="120"/>
        <w:ind w:left="927"/>
        <w:rPr>
          <w:sz w:val="26"/>
          <w:szCs w:val="26"/>
          <w:lang w:val="it-IT"/>
        </w:rPr>
      </w:pPr>
      <w:r w:rsidRPr="0059154B">
        <w:rPr>
          <w:sz w:val="26"/>
          <w:szCs w:val="26"/>
          <w:lang w:val="it-IT"/>
        </w:rPr>
        <w:t>Nước thải của Khu tái định cư được dẫn về bể xử lý nước thải….Tại đây nước thải được xử lý đạt quy chuẩn kỹ thuật về nước thải sinh hoạt, cột A với hệ số k=1 trước khi thải ra môi trường bên ngoài.</w:t>
      </w:r>
    </w:p>
    <w:p w:rsidR="00C84486" w:rsidRPr="0059154B" w:rsidRDefault="00C84486" w:rsidP="0059154B">
      <w:pPr>
        <w:tabs>
          <w:tab w:val="left" w:pos="851"/>
        </w:tabs>
        <w:spacing w:before="120"/>
        <w:ind w:left="927"/>
        <w:rPr>
          <w:sz w:val="26"/>
          <w:szCs w:val="26"/>
          <w:lang w:val="it-IT"/>
        </w:rPr>
      </w:pPr>
      <w:r w:rsidRPr="0059154B">
        <w:rPr>
          <w:sz w:val="26"/>
          <w:szCs w:val="26"/>
          <w:lang w:val="it-IT"/>
        </w:rPr>
        <w:t>7.</w:t>
      </w:r>
      <w:r w:rsidRPr="0059154B">
        <w:rPr>
          <w:sz w:val="26"/>
          <w:szCs w:val="26"/>
          <w:lang w:val="it-IT"/>
        </w:rPr>
        <w:t>10 Thiết bị (Đính kèm phụ lụ</w:t>
      </w:r>
      <w:bookmarkStart w:id="5" w:name="_GoBack"/>
      <w:bookmarkEnd w:id="5"/>
      <w:r w:rsidRPr="0059154B">
        <w:rPr>
          <w:sz w:val="26"/>
          <w:szCs w:val="26"/>
          <w:lang w:val="it-IT"/>
        </w:rPr>
        <w:t>c I)</w:t>
      </w:r>
    </w:p>
    <w:p w:rsidR="00507074" w:rsidRDefault="00B84F51" w:rsidP="0059154B">
      <w:pPr>
        <w:numPr>
          <w:ilvl w:val="0"/>
          <w:numId w:val="5"/>
        </w:numPr>
        <w:tabs>
          <w:tab w:val="left" w:pos="851"/>
        </w:tabs>
        <w:spacing w:before="120"/>
        <w:rPr>
          <w:sz w:val="26"/>
          <w:szCs w:val="26"/>
          <w:lang w:val="it-IT"/>
        </w:rPr>
      </w:pPr>
      <w:r w:rsidRPr="0059154B">
        <w:rPr>
          <w:sz w:val="26"/>
          <w:szCs w:val="26"/>
          <w:lang w:val="it-IT"/>
        </w:rPr>
        <w:t>Tổng mức đầu tư Dự án</w:t>
      </w:r>
      <w:r w:rsidR="00883486" w:rsidRPr="0059154B">
        <w:rPr>
          <w:sz w:val="26"/>
          <w:szCs w:val="26"/>
          <w:lang w:val="it-IT"/>
        </w:rPr>
        <w:t xml:space="preserve">: </w:t>
      </w:r>
      <w:r w:rsidRPr="0059154B">
        <w:rPr>
          <w:sz w:val="26"/>
          <w:szCs w:val="26"/>
          <w:lang w:val="it-IT"/>
        </w:rPr>
        <w:t xml:space="preserve">Tổng mức đầu tư của dự án: </w:t>
      </w:r>
      <w:r w:rsidR="00C84486" w:rsidRPr="0059154B">
        <w:rPr>
          <w:b/>
          <w:sz w:val="26"/>
          <w:szCs w:val="26"/>
          <w:lang w:val="it-IT"/>
        </w:rPr>
        <w:t>513.902.422.552</w:t>
      </w:r>
      <w:r w:rsidR="00CB3427" w:rsidRPr="0059154B">
        <w:rPr>
          <w:b/>
          <w:sz w:val="26"/>
          <w:szCs w:val="26"/>
          <w:lang w:val="it-IT"/>
        </w:rPr>
        <w:t xml:space="preserve"> tỷ</w:t>
      </w:r>
      <w:r w:rsidR="00CB3427" w:rsidRPr="0059154B">
        <w:rPr>
          <w:sz w:val="26"/>
          <w:szCs w:val="26"/>
          <w:lang w:val="it-IT"/>
        </w:rPr>
        <w:t xml:space="preserve"> đồng</w:t>
      </w:r>
      <w:r w:rsidRPr="0059154B">
        <w:rPr>
          <w:sz w:val="26"/>
          <w:szCs w:val="26"/>
          <w:lang w:val="it-IT"/>
        </w:rPr>
        <w:t xml:space="preserve">. </w:t>
      </w:r>
    </w:p>
    <w:p w:rsidR="00B84F51" w:rsidRDefault="00B84F51" w:rsidP="00507074">
      <w:pPr>
        <w:tabs>
          <w:tab w:val="left" w:pos="851"/>
        </w:tabs>
        <w:spacing w:before="120"/>
        <w:ind w:left="927"/>
        <w:rPr>
          <w:sz w:val="26"/>
          <w:szCs w:val="26"/>
          <w:lang w:val="fr-FR"/>
        </w:rPr>
      </w:pPr>
      <w:r w:rsidRPr="0059154B">
        <w:rPr>
          <w:sz w:val="26"/>
          <w:szCs w:val="26"/>
          <w:lang w:val="fr-FR"/>
        </w:rPr>
        <w:t>Trong đó:</w:t>
      </w:r>
    </w:p>
    <w:p w:rsidR="00507074" w:rsidRPr="0059154B" w:rsidRDefault="00507074" w:rsidP="00507074">
      <w:pPr>
        <w:tabs>
          <w:tab w:val="left" w:pos="851"/>
        </w:tabs>
        <w:spacing w:before="120"/>
        <w:ind w:left="927"/>
        <w:rPr>
          <w:sz w:val="26"/>
          <w:szCs w:val="26"/>
          <w:lang w:val="it-IT"/>
        </w:rPr>
      </w:pPr>
    </w:p>
    <w:tbl>
      <w:tblPr>
        <w:tblW w:w="8221"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4678"/>
        <w:gridCol w:w="2551"/>
      </w:tblGrid>
      <w:tr w:rsidR="00CB3427" w:rsidRPr="0059154B" w:rsidTr="00507074">
        <w:trPr>
          <w:tblHeader/>
        </w:trPr>
        <w:tc>
          <w:tcPr>
            <w:tcW w:w="992" w:type="dxa"/>
            <w:shd w:val="clear" w:color="auto" w:fill="auto"/>
            <w:tcMar>
              <w:top w:w="15" w:type="dxa"/>
              <w:left w:w="108" w:type="dxa"/>
              <w:bottom w:w="0" w:type="dxa"/>
              <w:right w:w="108" w:type="dxa"/>
            </w:tcMar>
            <w:vAlign w:val="center"/>
            <w:hideMark/>
          </w:tcPr>
          <w:p w:rsidR="00CB3427" w:rsidRPr="0059154B" w:rsidRDefault="00CB3427" w:rsidP="0059154B">
            <w:pPr>
              <w:spacing w:before="120"/>
              <w:jc w:val="center"/>
              <w:rPr>
                <w:b/>
                <w:sz w:val="26"/>
                <w:szCs w:val="26"/>
                <w:lang w:val="vi-VN" w:eastAsia="vi-VN"/>
              </w:rPr>
            </w:pPr>
            <w:r w:rsidRPr="0059154B">
              <w:rPr>
                <w:b/>
                <w:sz w:val="26"/>
                <w:szCs w:val="26"/>
                <w:lang w:val="vi-VN" w:eastAsia="vi-VN"/>
              </w:rPr>
              <w:t>STT</w:t>
            </w:r>
          </w:p>
        </w:tc>
        <w:tc>
          <w:tcPr>
            <w:tcW w:w="4678" w:type="dxa"/>
            <w:shd w:val="clear" w:color="auto" w:fill="auto"/>
            <w:tcMar>
              <w:top w:w="15" w:type="dxa"/>
              <w:left w:w="108" w:type="dxa"/>
              <w:bottom w:w="0" w:type="dxa"/>
              <w:right w:w="108" w:type="dxa"/>
            </w:tcMar>
            <w:vAlign w:val="center"/>
            <w:hideMark/>
          </w:tcPr>
          <w:p w:rsidR="00CB3427" w:rsidRPr="0059154B" w:rsidRDefault="00CB3427" w:rsidP="0059154B">
            <w:pPr>
              <w:spacing w:before="120"/>
              <w:jc w:val="center"/>
              <w:rPr>
                <w:b/>
                <w:sz w:val="26"/>
                <w:szCs w:val="26"/>
                <w:lang w:val="vi-VN" w:eastAsia="vi-VN"/>
              </w:rPr>
            </w:pPr>
            <w:r w:rsidRPr="0059154B">
              <w:rPr>
                <w:b/>
                <w:sz w:val="26"/>
                <w:szCs w:val="26"/>
                <w:lang w:val="vi-VN" w:eastAsia="vi-VN"/>
              </w:rPr>
              <w:t>KHOẢN MỤC CHI PHÍ</w:t>
            </w:r>
          </w:p>
        </w:tc>
        <w:tc>
          <w:tcPr>
            <w:tcW w:w="2551" w:type="dxa"/>
            <w:shd w:val="clear" w:color="auto" w:fill="auto"/>
            <w:tcMar>
              <w:top w:w="15" w:type="dxa"/>
              <w:left w:w="108" w:type="dxa"/>
              <w:bottom w:w="0" w:type="dxa"/>
              <w:right w:w="108" w:type="dxa"/>
            </w:tcMar>
            <w:vAlign w:val="center"/>
            <w:hideMark/>
          </w:tcPr>
          <w:p w:rsidR="00CB3427" w:rsidRPr="0059154B" w:rsidRDefault="00CB3427" w:rsidP="0059154B">
            <w:pPr>
              <w:spacing w:before="120"/>
              <w:jc w:val="center"/>
              <w:rPr>
                <w:b/>
                <w:sz w:val="26"/>
                <w:szCs w:val="26"/>
                <w:lang w:eastAsia="vi-VN"/>
              </w:rPr>
            </w:pPr>
            <w:r w:rsidRPr="0059154B">
              <w:rPr>
                <w:b/>
                <w:sz w:val="26"/>
                <w:szCs w:val="26"/>
                <w:lang w:eastAsia="vi-VN"/>
              </w:rPr>
              <w:t>GIÁ TRỊ</w:t>
            </w:r>
            <w:r w:rsidR="00E74690" w:rsidRPr="0059154B">
              <w:rPr>
                <w:b/>
                <w:sz w:val="26"/>
                <w:szCs w:val="26"/>
                <w:lang w:eastAsia="vi-VN"/>
              </w:rPr>
              <w:t xml:space="preserve"> (VNĐ)</w:t>
            </w:r>
          </w:p>
        </w:tc>
      </w:tr>
      <w:tr w:rsidR="00CB3427" w:rsidRPr="0059154B" w:rsidTr="00507074">
        <w:tc>
          <w:tcPr>
            <w:tcW w:w="992" w:type="dxa"/>
            <w:shd w:val="clear" w:color="auto" w:fill="auto"/>
            <w:tcMar>
              <w:top w:w="15" w:type="dxa"/>
              <w:left w:w="108" w:type="dxa"/>
              <w:bottom w:w="0" w:type="dxa"/>
              <w:right w:w="108" w:type="dxa"/>
            </w:tcMar>
            <w:vAlign w:val="center"/>
            <w:hideMark/>
          </w:tcPr>
          <w:p w:rsidR="00CB3427" w:rsidRPr="0059154B" w:rsidRDefault="00CB3427" w:rsidP="0059154B">
            <w:pPr>
              <w:spacing w:before="120"/>
              <w:jc w:val="center"/>
              <w:rPr>
                <w:sz w:val="26"/>
                <w:szCs w:val="26"/>
                <w:lang w:val="vi-VN" w:eastAsia="vi-VN"/>
              </w:rPr>
            </w:pPr>
            <w:r w:rsidRPr="0059154B">
              <w:rPr>
                <w:sz w:val="26"/>
                <w:szCs w:val="26"/>
                <w:lang w:val="vi-VN" w:eastAsia="vi-VN"/>
              </w:rPr>
              <w:t>I</w:t>
            </w:r>
          </w:p>
        </w:tc>
        <w:tc>
          <w:tcPr>
            <w:tcW w:w="4678" w:type="dxa"/>
            <w:shd w:val="clear" w:color="auto" w:fill="auto"/>
            <w:tcMar>
              <w:top w:w="15" w:type="dxa"/>
              <w:left w:w="108" w:type="dxa"/>
              <w:bottom w:w="0" w:type="dxa"/>
              <w:right w:w="108" w:type="dxa"/>
            </w:tcMar>
            <w:vAlign w:val="center"/>
          </w:tcPr>
          <w:p w:rsidR="00CB3427" w:rsidRPr="0059154B" w:rsidRDefault="00CB3427" w:rsidP="0059154B">
            <w:pPr>
              <w:spacing w:before="120"/>
              <w:rPr>
                <w:sz w:val="26"/>
                <w:szCs w:val="26"/>
                <w:lang w:val="vi-VN" w:eastAsia="vi-VN"/>
              </w:rPr>
            </w:pPr>
            <w:r w:rsidRPr="0059154B">
              <w:rPr>
                <w:sz w:val="26"/>
                <w:szCs w:val="26"/>
                <w:lang w:val="vi-VN" w:eastAsia="vi-VN"/>
              </w:rPr>
              <w:t>Chi phí bồi thường, hỗ trợ và tái định cư</w:t>
            </w:r>
          </w:p>
        </w:tc>
        <w:tc>
          <w:tcPr>
            <w:tcW w:w="2551" w:type="dxa"/>
            <w:shd w:val="clear" w:color="auto" w:fill="auto"/>
            <w:tcMar>
              <w:top w:w="15" w:type="dxa"/>
              <w:left w:w="108" w:type="dxa"/>
              <w:bottom w:w="0" w:type="dxa"/>
              <w:right w:w="108" w:type="dxa"/>
            </w:tcMar>
            <w:vAlign w:val="center"/>
          </w:tcPr>
          <w:p w:rsidR="00CB3427" w:rsidRPr="0059154B" w:rsidRDefault="00C84486" w:rsidP="0059154B">
            <w:pPr>
              <w:spacing w:before="120"/>
              <w:jc w:val="right"/>
              <w:rPr>
                <w:sz w:val="26"/>
                <w:szCs w:val="26"/>
              </w:rPr>
            </w:pPr>
            <w:r w:rsidRPr="0059154B">
              <w:rPr>
                <w:sz w:val="26"/>
                <w:szCs w:val="26"/>
              </w:rPr>
              <w:t>155.719.628.756</w:t>
            </w:r>
          </w:p>
        </w:tc>
      </w:tr>
      <w:tr w:rsidR="00CB3427" w:rsidRPr="0059154B" w:rsidTr="00507074">
        <w:tc>
          <w:tcPr>
            <w:tcW w:w="992" w:type="dxa"/>
            <w:shd w:val="clear" w:color="auto" w:fill="auto"/>
            <w:tcMar>
              <w:top w:w="15" w:type="dxa"/>
              <w:left w:w="108" w:type="dxa"/>
              <w:bottom w:w="0" w:type="dxa"/>
              <w:right w:w="108" w:type="dxa"/>
            </w:tcMar>
            <w:vAlign w:val="center"/>
            <w:hideMark/>
          </w:tcPr>
          <w:p w:rsidR="00CB3427" w:rsidRPr="0059154B" w:rsidRDefault="00CB3427" w:rsidP="0059154B">
            <w:pPr>
              <w:spacing w:before="120"/>
              <w:jc w:val="center"/>
              <w:rPr>
                <w:sz w:val="26"/>
                <w:szCs w:val="26"/>
                <w:lang w:val="vi-VN" w:eastAsia="vi-VN"/>
              </w:rPr>
            </w:pPr>
            <w:r w:rsidRPr="0059154B">
              <w:rPr>
                <w:sz w:val="26"/>
                <w:szCs w:val="26"/>
                <w:lang w:val="vi-VN" w:eastAsia="vi-VN"/>
              </w:rPr>
              <w:t>II</w:t>
            </w:r>
          </w:p>
        </w:tc>
        <w:tc>
          <w:tcPr>
            <w:tcW w:w="4678" w:type="dxa"/>
            <w:shd w:val="clear" w:color="auto" w:fill="auto"/>
            <w:tcMar>
              <w:top w:w="15" w:type="dxa"/>
              <w:left w:w="108" w:type="dxa"/>
              <w:bottom w:w="0" w:type="dxa"/>
              <w:right w:w="108" w:type="dxa"/>
            </w:tcMar>
            <w:vAlign w:val="center"/>
          </w:tcPr>
          <w:p w:rsidR="00CB3427" w:rsidRPr="0059154B" w:rsidRDefault="00CB3427" w:rsidP="0059154B">
            <w:pPr>
              <w:spacing w:before="120"/>
              <w:rPr>
                <w:sz w:val="26"/>
                <w:szCs w:val="26"/>
                <w:lang w:eastAsia="vi-VN"/>
              </w:rPr>
            </w:pPr>
            <w:r w:rsidRPr="0059154B">
              <w:rPr>
                <w:sz w:val="26"/>
                <w:szCs w:val="26"/>
                <w:lang w:eastAsia="vi-VN"/>
              </w:rPr>
              <w:t>Chi phí xây dựng</w:t>
            </w:r>
          </w:p>
        </w:tc>
        <w:tc>
          <w:tcPr>
            <w:tcW w:w="2551" w:type="dxa"/>
            <w:shd w:val="clear" w:color="auto" w:fill="auto"/>
            <w:tcMar>
              <w:top w:w="15" w:type="dxa"/>
              <w:left w:w="108" w:type="dxa"/>
              <w:bottom w:w="0" w:type="dxa"/>
              <w:right w:w="108" w:type="dxa"/>
            </w:tcMar>
            <w:vAlign w:val="center"/>
          </w:tcPr>
          <w:p w:rsidR="00CB3427" w:rsidRPr="0059154B" w:rsidRDefault="00C84486" w:rsidP="0059154B">
            <w:pPr>
              <w:spacing w:before="120"/>
              <w:jc w:val="right"/>
              <w:rPr>
                <w:sz w:val="26"/>
                <w:szCs w:val="26"/>
              </w:rPr>
            </w:pPr>
            <w:r w:rsidRPr="0059154B">
              <w:rPr>
                <w:sz w:val="26"/>
                <w:szCs w:val="26"/>
              </w:rPr>
              <w:t>298.611.751.890</w:t>
            </w:r>
          </w:p>
        </w:tc>
      </w:tr>
      <w:tr w:rsidR="00CB3427" w:rsidRPr="0059154B" w:rsidTr="00507074">
        <w:tc>
          <w:tcPr>
            <w:tcW w:w="992" w:type="dxa"/>
            <w:shd w:val="clear" w:color="auto" w:fill="auto"/>
            <w:tcMar>
              <w:top w:w="15" w:type="dxa"/>
              <w:left w:w="108" w:type="dxa"/>
              <w:bottom w:w="0" w:type="dxa"/>
              <w:right w:w="108" w:type="dxa"/>
            </w:tcMar>
            <w:vAlign w:val="center"/>
            <w:hideMark/>
          </w:tcPr>
          <w:p w:rsidR="00CB3427" w:rsidRPr="0059154B" w:rsidRDefault="00CB3427" w:rsidP="0059154B">
            <w:pPr>
              <w:spacing w:before="120"/>
              <w:jc w:val="center"/>
              <w:rPr>
                <w:sz w:val="26"/>
                <w:szCs w:val="26"/>
                <w:lang w:val="vi-VN" w:eastAsia="vi-VN"/>
              </w:rPr>
            </w:pPr>
            <w:r w:rsidRPr="0059154B">
              <w:rPr>
                <w:sz w:val="26"/>
                <w:szCs w:val="26"/>
                <w:lang w:val="vi-VN" w:eastAsia="vi-VN"/>
              </w:rPr>
              <w:t>III</w:t>
            </w:r>
          </w:p>
        </w:tc>
        <w:tc>
          <w:tcPr>
            <w:tcW w:w="4678" w:type="dxa"/>
            <w:shd w:val="clear" w:color="auto" w:fill="auto"/>
            <w:tcMar>
              <w:top w:w="15" w:type="dxa"/>
              <w:left w:w="108" w:type="dxa"/>
              <w:bottom w:w="0" w:type="dxa"/>
              <w:right w:w="108" w:type="dxa"/>
            </w:tcMar>
            <w:vAlign w:val="center"/>
          </w:tcPr>
          <w:p w:rsidR="00CB3427" w:rsidRPr="0059154B" w:rsidRDefault="00CB3427" w:rsidP="0059154B">
            <w:pPr>
              <w:spacing w:before="120"/>
              <w:rPr>
                <w:sz w:val="26"/>
                <w:szCs w:val="26"/>
                <w:lang w:eastAsia="vi-VN"/>
              </w:rPr>
            </w:pPr>
            <w:r w:rsidRPr="0059154B">
              <w:rPr>
                <w:sz w:val="26"/>
                <w:szCs w:val="26"/>
                <w:lang w:eastAsia="vi-VN"/>
              </w:rPr>
              <w:t>Chi phí thiết bị</w:t>
            </w:r>
          </w:p>
        </w:tc>
        <w:tc>
          <w:tcPr>
            <w:tcW w:w="2551" w:type="dxa"/>
            <w:shd w:val="clear" w:color="auto" w:fill="auto"/>
            <w:tcMar>
              <w:top w:w="15" w:type="dxa"/>
              <w:left w:w="108" w:type="dxa"/>
              <w:bottom w:w="0" w:type="dxa"/>
              <w:right w:w="108" w:type="dxa"/>
            </w:tcMar>
            <w:vAlign w:val="center"/>
          </w:tcPr>
          <w:p w:rsidR="00CB3427" w:rsidRPr="0059154B" w:rsidRDefault="00C84486" w:rsidP="0059154B">
            <w:pPr>
              <w:spacing w:before="120"/>
              <w:jc w:val="right"/>
              <w:rPr>
                <w:sz w:val="26"/>
                <w:szCs w:val="26"/>
              </w:rPr>
            </w:pPr>
            <w:r w:rsidRPr="0059154B">
              <w:rPr>
                <w:sz w:val="26"/>
                <w:szCs w:val="26"/>
              </w:rPr>
              <w:t>7.762.012.705</w:t>
            </w:r>
          </w:p>
        </w:tc>
      </w:tr>
      <w:tr w:rsidR="00CB3427" w:rsidRPr="0059154B" w:rsidTr="00507074">
        <w:tc>
          <w:tcPr>
            <w:tcW w:w="992" w:type="dxa"/>
            <w:shd w:val="clear" w:color="auto" w:fill="auto"/>
            <w:tcMar>
              <w:top w:w="15" w:type="dxa"/>
              <w:left w:w="108" w:type="dxa"/>
              <w:bottom w:w="0" w:type="dxa"/>
              <w:right w:w="108" w:type="dxa"/>
            </w:tcMar>
            <w:vAlign w:val="center"/>
            <w:hideMark/>
          </w:tcPr>
          <w:p w:rsidR="00CB3427" w:rsidRPr="0059154B" w:rsidRDefault="00CB3427" w:rsidP="0059154B">
            <w:pPr>
              <w:spacing w:before="120"/>
              <w:jc w:val="center"/>
              <w:rPr>
                <w:sz w:val="26"/>
                <w:szCs w:val="26"/>
                <w:lang w:val="vi-VN" w:eastAsia="vi-VN"/>
              </w:rPr>
            </w:pPr>
            <w:r w:rsidRPr="0059154B">
              <w:rPr>
                <w:sz w:val="26"/>
                <w:szCs w:val="26"/>
                <w:lang w:val="vi-VN" w:eastAsia="vi-VN"/>
              </w:rPr>
              <w:t>IV</w:t>
            </w:r>
          </w:p>
        </w:tc>
        <w:tc>
          <w:tcPr>
            <w:tcW w:w="4678" w:type="dxa"/>
            <w:shd w:val="clear" w:color="auto" w:fill="auto"/>
            <w:tcMar>
              <w:top w:w="15" w:type="dxa"/>
              <w:left w:w="108" w:type="dxa"/>
              <w:bottom w:w="0" w:type="dxa"/>
              <w:right w:w="108" w:type="dxa"/>
            </w:tcMar>
            <w:vAlign w:val="center"/>
          </w:tcPr>
          <w:p w:rsidR="00CB3427" w:rsidRPr="0059154B" w:rsidRDefault="00CB3427" w:rsidP="0059154B">
            <w:pPr>
              <w:spacing w:before="120"/>
              <w:rPr>
                <w:sz w:val="26"/>
                <w:szCs w:val="26"/>
                <w:lang w:val="vi-VN" w:eastAsia="vi-VN"/>
              </w:rPr>
            </w:pPr>
            <w:r w:rsidRPr="0059154B">
              <w:rPr>
                <w:sz w:val="26"/>
                <w:szCs w:val="26"/>
                <w:lang w:val="vi-VN" w:eastAsia="vi-VN"/>
              </w:rPr>
              <w:t>Chi phí quản lý dự án</w:t>
            </w:r>
          </w:p>
        </w:tc>
        <w:tc>
          <w:tcPr>
            <w:tcW w:w="2551" w:type="dxa"/>
            <w:shd w:val="clear" w:color="auto" w:fill="auto"/>
            <w:tcMar>
              <w:top w:w="15" w:type="dxa"/>
              <w:left w:w="108" w:type="dxa"/>
              <w:bottom w:w="0" w:type="dxa"/>
              <w:right w:w="108" w:type="dxa"/>
            </w:tcMar>
            <w:vAlign w:val="center"/>
          </w:tcPr>
          <w:p w:rsidR="00CB3427" w:rsidRPr="0059154B" w:rsidRDefault="00C84486" w:rsidP="0059154B">
            <w:pPr>
              <w:spacing w:before="120"/>
              <w:jc w:val="right"/>
              <w:rPr>
                <w:sz w:val="26"/>
                <w:szCs w:val="26"/>
              </w:rPr>
            </w:pPr>
            <w:r w:rsidRPr="0059154B">
              <w:rPr>
                <w:sz w:val="26"/>
                <w:szCs w:val="26"/>
              </w:rPr>
              <w:t>4.136.045.822</w:t>
            </w:r>
          </w:p>
        </w:tc>
      </w:tr>
      <w:tr w:rsidR="00CB3427" w:rsidRPr="0059154B" w:rsidTr="00507074">
        <w:trPr>
          <w:trHeight w:val="384"/>
        </w:trPr>
        <w:tc>
          <w:tcPr>
            <w:tcW w:w="992" w:type="dxa"/>
            <w:shd w:val="clear" w:color="auto" w:fill="auto"/>
            <w:tcMar>
              <w:top w:w="15" w:type="dxa"/>
              <w:left w:w="108" w:type="dxa"/>
              <w:bottom w:w="0" w:type="dxa"/>
              <w:right w:w="108" w:type="dxa"/>
            </w:tcMar>
            <w:vAlign w:val="center"/>
            <w:hideMark/>
          </w:tcPr>
          <w:p w:rsidR="00CB3427" w:rsidRPr="0059154B" w:rsidRDefault="00CB3427" w:rsidP="0059154B">
            <w:pPr>
              <w:spacing w:before="120"/>
              <w:jc w:val="center"/>
              <w:rPr>
                <w:sz w:val="26"/>
                <w:szCs w:val="26"/>
                <w:lang w:val="vi-VN" w:eastAsia="vi-VN"/>
              </w:rPr>
            </w:pPr>
            <w:r w:rsidRPr="0059154B">
              <w:rPr>
                <w:sz w:val="26"/>
                <w:szCs w:val="26"/>
                <w:lang w:val="vi-VN" w:eastAsia="vi-VN"/>
              </w:rPr>
              <w:t>V</w:t>
            </w:r>
          </w:p>
        </w:tc>
        <w:tc>
          <w:tcPr>
            <w:tcW w:w="4678" w:type="dxa"/>
            <w:shd w:val="clear" w:color="auto" w:fill="auto"/>
            <w:tcMar>
              <w:top w:w="15" w:type="dxa"/>
              <w:left w:w="108" w:type="dxa"/>
              <w:bottom w:w="0" w:type="dxa"/>
              <w:right w:w="108" w:type="dxa"/>
            </w:tcMar>
            <w:vAlign w:val="center"/>
          </w:tcPr>
          <w:p w:rsidR="00CB3427" w:rsidRPr="0059154B" w:rsidRDefault="00CB3427" w:rsidP="0059154B">
            <w:pPr>
              <w:spacing w:before="120"/>
              <w:rPr>
                <w:sz w:val="26"/>
                <w:szCs w:val="26"/>
                <w:lang w:val="vi-VN" w:eastAsia="vi-VN"/>
              </w:rPr>
            </w:pPr>
            <w:r w:rsidRPr="0059154B">
              <w:rPr>
                <w:sz w:val="26"/>
                <w:szCs w:val="26"/>
                <w:lang w:val="vi-VN" w:eastAsia="vi-VN"/>
              </w:rPr>
              <w:t>Chi phí tư vấn đầu tư xây dựng</w:t>
            </w:r>
          </w:p>
        </w:tc>
        <w:tc>
          <w:tcPr>
            <w:tcW w:w="2551" w:type="dxa"/>
            <w:shd w:val="clear" w:color="auto" w:fill="auto"/>
            <w:tcMar>
              <w:top w:w="15" w:type="dxa"/>
              <w:left w:w="108" w:type="dxa"/>
              <w:bottom w:w="0" w:type="dxa"/>
              <w:right w:w="108" w:type="dxa"/>
            </w:tcMar>
            <w:vAlign w:val="center"/>
          </w:tcPr>
          <w:p w:rsidR="00CB3427" w:rsidRPr="0059154B" w:rsidRDefault="00C84486" w:rsidP="0059154B">
            <w:pPr>
              <w:spacing w:before="120"/>
              <w:jc w:val="right"/>
              <w:rPr>
                <w:sz w:val="26"/>
                <w:szCs w:val="26"/>
              </w:rPr>
            </w:pPr>
            <w:r w:rsidRPr="0059154B">
              <w:rPr>
                <w:sz w:val="26"/>
                <w:szCs w:val="26"/>
              </w:rPr>
              <w:t>8.524.435.205</w:t>
            </w:r>
          </w:p>
        </w:tc>
      </w:tr>
      <w:tr w:rsidR="00CB3427" w:rsidRPr="0059154B" w:rsidTr="00507074">
        <w:tc>
          <w:tcPr>
            <w:tcW w:w="992" w:type="dxa"/>
            <w:shd w:val="clear" w:color="auto" w:fill="auto"/>
            <w:tcMar>
              <w:top w:w="15" w:type="dxa"/>
              <w:left w:w="108" w:type="dxa"/>
              <w:bottom w:w="0" w:type="dxa"/>
              <w:right w:w="108" w:type="dxa"/>
            </w:tcMar>
            <w:vAlign w:val="center"/>
            <w:hideMark/>
          </w:tcPr>
          <w:p w:rsidR="00CB3427" w:rsidRPr="0059154B" w:rsidRDefault="00CB3427" w:rsidP="0059154B">
            <w:pPr>
              <w:spacing w:before="120"/>
              <w:jc w:val="center"/>
              <w:rPr>
                <w:sz w:val="26"/>
                <w:szCs w:val="26"/>
                <w:lang w:val="vi-VN" w:eastAsia="vi-VN"/>
              </w:rPr>
            </w:pPr>
            <w:r w:rsidRPr="0059154B">
              <w:rPr>
                <w:sz w:val="26"/>
                <w:szCs w:val="26"/>
                <w:lang w:val="vi-VN" w:eastAsia="vi-VN"/>
              </w:rPr>
              <w:t>VI</w:t>
            </w:r>
          </w:p>
        </w:tc>
        <w:tc>
          <w:tcPr>
            <w:tcW w:w="4678" w:type="dxa"/>
            <w:shd w:val="clear" w:color="auto" w:fill="auto"/>
            <w:tcMar>
              <w:top w:w="15" w:type="dxa"/>
              <w:left w:w="108" w:type="dxa"/>
              <w:bottom w:w="0" w:type="dxa"/>
              <w:right w:w="108" w:type="dxa"/>
            </w:tcMar>
            <w:vAlign w:val="center"/>
          </w:tcPr>
          <w:p w:rsidR="00CB3427" w:rsidRPr="0059154B" w:rsidRDefault="00CB3427" w:rsidP="0059154B">
            <w:pPr>
              <w:spacing w:before="120"/>
              <w:rPr>
                <w:sz w:val="26"/>
                <w:szCs w:val="26"/>
                <w:lang w:eastAsia="vi-VN"/>
              </w:rPr>
            </w:pPr>
            <w:r w:rsidRPr="0059154B">
              <w:rPr>
                <w:sz w:val="26"/>
                <w:szCs w:val="26"/>
                <w:lang w:eastAsia="vi-VN"/>
              </w:rPr>
              <w:t>Chi phí khác</w:t>
            </w:r>
          </w:p>
        </w:tc>
        <w:tc>
          <w:tcPr>
            <w:tcW w:w="2551" w:type="dxa"/>
            <w:shd w:val="clear" w:color="auto" w:fill="auto"/>
            <w:tcMar>
              <w:top w:w="15" w:type="dxa"/>
              <w:left w:w="108" w:type="dxa"/>
              <w:bottom w:w="0" w:type="dxa"/>
              <w:right w:w="108" w:type="dxa"/>
            </w:tcMar>
            <w:vAlign w:val="center"/>
          </w:tcPr>
          <w:p w:rsidR="00CB3427" w:rsidRPr="0059154B" w:rsidRDefault="00C84486" w:rsidP="0059154B">
            <w:pPr>
              <w:spacing w:before="120"/>
              <w:jc w:val="right"/>
              <w:rPr>
                <w:sz w:val="26"/>
                <w:szCs w:val="26"/>
              </w:rPr>
            </w:pPr>
            <w:r w:rsidRPr="0059154B">
              <w:rPr>
                <w:sz w:val="26"/>
                <w:szCs w:val="26"/>
              </w:rPr>
              <w:t>5.528.763.521</w:t>
            </w:r>
          </w:p>
        </w:tc>
      </w:tr>
      <w:tr w:rsidR="00CB3427" w:rsidRPr="0059154B" w:rsidTr="00507074">
        <w:tc>
          <w:tcPr>
            <w:tcW w:w="992" w:type="dxa"/>
            <w:shd w:val="clear" w:color="auto" w:fill="auto"/>
            <w:tcMar>
              <w:top w:w="15" w:type="dxa"/>
              <w:left w:w="108" w:type="dxa"/>
              <w:bottom w:w="0" w:type="dxa"/>
              <w:right w:w="108" w:type="dxa"/>
            </w:tcMar>
            <w:vAlign w:val="center"/>
          </w:tcPr>
          <w:p w:rsidR="00CB3427" w:rsidRPr="0059154B" w:rsidRDefault="00CB3427" w:rsidP="0059154B">
            <w:pPr>
              <w:spacing w:before="120"/>
              <w:jc w:val="center"/>
              <w:rPr>
                <w:sz w:val="26"/>
                <w:szCs w:val="26"/>
                <w:lang w:eastAsia="vi-VN"/>
              </w:rPr>
            </w:pPr>
            <w:r w:rsidRPr="0059154B">
              <w:rPr>
                <w:sz w:val="26"/>
                <w:szCs w:val="26"/>
                <w:lang w:eastAsia="vi-VN"/>
              </w:rPr>
              <w:t>VII</w:t>
            </w:r>
          </w:p>
        </w:tc>
        <w:tc>
          <w:tcPr>
            <w:tcW w:w="4678" w:type="dxa"/>
            <w:shd w:val="clear" w:color="auto" w:fill="auto"/>
            <w:tcMar>
              <w:top w:w="15" w:type="dxa"/>
              <w:left w:w="108" w:type="dxa"/>
              <w:bottom w:w="0" w:type="dxa"/>
              <w:right w:w="108" w:type="dxa"/>
            </w:tcMar>
            <w:vAlign w:val="center"/>
          </w:tcPr>
          <w:p w:rsidR="00CB3427" w:rsidRPr="0059154B" w:rsidRDefault="00CB3427" w:rsidP="0059154B">
            <w:pPr>
              <w:spacing w:before="120"/>
              <w:rPr>
                <w:sz w:val="26"/>
                <w:szCs w:val="26"/>
                <w:lang w:eastAsia="vi-VN"/>
              </w:rPr>
            </w:pPr>
            <w:r w:rsidRPr="0059154B">
              <w:rPr>
                <w:sz w:val="26"/>
                <w:szCs w:val="26"/>
                <w:lang w:eastAsia="vi-VN"/>
              </w:rPr>
              <w:t>Chi phí dự phòng</w:t>
            </w:r>
          </w:p>
        </w:tc>
        <w:tc>
          <w:tcPr>
            <w:tcW w:w="2551" w:type="dxa"/>
            <w:shd w:val="clear" w:color="auto" w:fill="auto"/>
            <w:tcMar>
              <w:top w:w="15" w:type="dxa"/>
              <w:left w:w="108" w:type="dxa"/>
              <w:bottom w:w="0" w:type="dxa"/>
              <w:right w:w="108" w:type="dxa"/>
            </w:tcMar>
            <w:vAlign w:val="center"/>
          </w:tcPr>
          <w:p w:rsidR="00CB3427" w:rsidRPr="0059154B" w:rsidRDefault="00C84486" w:rsidP="0059154B">
            <w:pPr>
              <w:spacing w:before="120"/>
              <w:jc w:val="right"/>
              <w:rPr>
                <w:sz w:val="26"/>
                <w:szCs w:val="26"/>
              </w:rPr>
            </w:pPr>
            <w:r w:rsidRPr="0059154B">
              <w:rPr>
                <w:sz w:val="26"/>
                <w:szCs w:val="26"/>
              </w:rPr>
              <w:t>33.619.784.653</w:t>
            </w:r>
          </w:p>
        </w:tc>
      </w:tr>
      <w:tr w:rsidR="00CB3427" w:rsidRPr="0059154B" w:rsidTr="00507074">
        <w:tc>
          <w:tcPr>
            <w:tcW w:w="992" w:type="dxa"/>
            <w:shd w:val="clear" w:color="auto" w:fill="auto"/>
            <w:tcMar>
              <w:top w:w="15" w:type="dxa"/>
              <w:left w:w="108" w:type="dxa"/>
              <w:bottom w:w="0" w:type="dxa"/>
              <w:right w:w="108" w:type="dxa"/>
            </w:tcMar>
            <w:vAlign w:val="center"/>
            <w:hideMark/>
          </w:tcPr>
          <w:p w:rsidR="00CB3427" w:rsidRPr="0059154B" w:rsidRDefault="00CB3427" w:rsidP="0059154B">
            <w:pPr>
              <w:spacing w:before="120"/>
              <w:rPr>
                <w:sz w:val="26"/>
                <w:szCs w:val="26"/>
              </w:rPr>
            </w:pPr>
          </w:p>
        </w:tc>
        <w:tc>
          <w:tcPr>
            <w:tcW w:w="4678" w:type="dxa"/>
            <w:shd w:val="clear" w:color="auto" w:fill="auto"/>
            <w:tcMar>
              <w:top w:w="15" w:type="dxa"/>
              <w:left w:w="108" w:type="dxa"/>
              <w:bottom w:w="0" w:type="dxa"/>
              <w:right w:w="108" w:type="dxa"/>
            </w:tcMar>
            <w:vAlign w:val="center"/>
            <w:hideMark/>
          </w:tcPr>
          <w:p w:rsidR="00CB3427" w:rsidRPr="0059154B" w:rsidRDefault="00CB3427" w:rsidP="0059154B">
            <w:pPr>
              <w:spacing w:before="120"/>
              <w:rPr>
                <w:b/>
                <w:sz w:val="26"/>
                <w:szCs w:val="26"/>
                <w:lang w:val="vi-VN" w:eastAsia="vi-VN"/>
              </w:rPr>
            </w:pPr>
            <w:r w:rsidRPr="0059154B">
              <w:rPr>
                <w:b/>
                <w:sz w:val="26"/>
                <w:szCs w:val="26"/>
                <w:lang w:eastAsia="vi-VN"/>
              </w:rPr>
              <w:t xml:space="preserve">TỔNG </w:t>
            </w:r>
            <w:r w:rsidRPr="0059154B">
              <w:rPr>
                <w:b/>
                <w:sz w:val="26"/>
                <w:szCs w:val="26"/>
                <w:lang w:val="vi-VN" w:eastAsia="vi-VN"/>
              </w:rPr>
              <w:t>CỘNG: (I+</w:t>
            </w:r>
            <w:r w:rsidRPr="0059154B">
              <w:rPr>
                <w:b/>
                <w:sz w:val="26"/>
                <w:szCs w:val="26"/>
                <w:lang w:eastAsia="vi-VN"/>
              </w:rPr>
              <w:t>II+</w:t>
            </w:r>
            <w:r w:rsidRPr="0059154B">
              <w:rPr>
                <w:b/>
                <w:sz w:val="26"/>
                <w:szCs w:val="26"/>
                <w:lang w:val="vi-VN" w:eastAsia="vi-VN"/>
              </w:rPr>
              <w:t>…+VI)</w:t>
            </w:r>
          </w:p>
        </w:tc>
        <w:tc>
          <w:tcPr>
            <w:tcW w:w="2551" w:type="dxa"/>
            <w:shd w:val="clear" w:color="auto" w:fill="auto"/>
            <w:tcMar>
              <w:top w:w="15" w:type="dxa"/>
              <w:left w:w="108" w:type="dxa"/>
              <w:bottom w:w="0" w:type="dxa"/>
              <w:right w:w="108" w:type="dxa"/>
            </w:tcMar>
            <w:vAlign w:val="center"/>
          </w:tcPr>
          <w:p w:rsidR="00CB3427" w:rsidRPr="0059154B" w:rsidRDefault="00C84486" w:rsidP="0059154B">
            <w:pPr>
              <w:spacing w:before="120"/>
              <w:jc w:val="right"/>
              <w:rPr>
                <w:rStyle w:val="fontstyle01"/>
                <w:b/>
              </w:rPr>
            </w:pPr>
            <w:r w:rsidRPr="0059154B">
              <w:rPr>
                <w:rStyle w:val="fontstyle01"/>
                <w:b/>
              </w:rPr>
              <w:t>513.902.422.552</w:t>
            </w:r>
          </w:p>
        </w:tc>
      </w:tr>
    </w:tbl>
    <w:p w:rsidR="00B84F51" w:rsidRPr="0059154B" w:rsidRDefault="00B84F51" w:rsidP="0059154B">
      <w:pPr>
        <w:numPr>
          <w:ilvl w:val="0"/>
          <w:numId w:val="5"/>
        </w:numPr>
        <w:tabs>
          <w:tab w:val="left" w:pos="851"/>
        </w:tabs>
        <w:spacing w:before="120"/>
        <w:rPr>
          <w:sz w:val="26"/>
          <w:szCs w:val="26"/>
        </w:rPr>
      </w:pPr>
      <w:r w:rsidRPr="0059154B">
        <w:rPr>
          <w:sz w:val="26"/>
          <w:szCs w:val="26"/>
        </w:rPr>
        <w:t xml:space="preserve">Nguồn vốn đầu tư: </w:t>
      </w:r>
      <w:r w:rsidR="007C4795" w:rsidRPr="0059154B">
        <w:rPr>
          <w:sz w:val="26"/>
          <w:szCs w:val="26"/>
        </w:rPr>
        <w:t>Ngân sách nhà nước</w:t>
      </w:r>
      <w:r w:rsidRPr="0059154B">
        <w:rPr>
          <w:sz w:val="26"/>
          <w:szCs w:val="26"/>
        </w:rPr>
        <w:t>.</w:t>
      </w:r>
    </w:p>
    <w:p w:rsidR="00B84F51" w:rsidRPr="0059154B" w:rsidRDefault="00B84F51" w:rsidP="0059154B">
      <w:pPr>
        <w:numPr>
          <w:ilvl w:val="0"/>
          <w:numId w:val="5"/>
        </w:numPr>
        <w:tabs>
          <w:tab w:val="left" w:pos="851"/>
        </w:tabs>
        <w:spacing w:before="120"/>
        <w:rPr>
          <w:sz w:val="26"/>
          <w:szCs w:val="26"/>
        </w:rPr>
      </w:pPr>
      <w:r w:rsidRPr="0059154B">
        <w:rPr>
          <w:sz w:val="26"/>
          <w:szCs w:val="26"/>
        </w:rPr>
        <w:t>Hình thức quản lý dự án: chủ đầu tư trực tiếp quản lý thực hiện dự án</w:t>
      </w:r>
    </w:p>
    <w:p w:rsidR="00B84F51" w:rsidRPr="0059154B" w:rsidRDefault="00B84F51" w:rsidP="0059154B">
      <w:pPr>
        <w:numPr>
          <w:ilvl w:val="0"/>
          <w:numId w:val="5"/>
        </w:numPr>
        <w:tabs>
          <w:tab w:val="left" w:pos="851"/>
        </w:tabs>
        <w:spacing w:before="120"/>
        <w:rPr>
          <w:sz w:val="26"/>
          <w:szCs w:val="26"/>
        </w:rPr>
      </w:pPr>
      <w:r w:rsidRPr="0059154B">
        <w:rPr>
          <w:sz w:val="26"/>
          <w:szCs w:val="26"/>
        </w:rPr>
        <w:t>Thời gian thực hiện dự án: năm 202</w:t>
      </w:r>
      <w:r w:rsidR="007C4795" w:rsidRPr="0059154B">
        <w:rPr>
          <w:sz w:val="26"/>
          <w:szCs w:val="26"/>
        </w:rPr>
        <w:t>3 - 2026</w:t>
      </w:r>
    </w:p>
    <w:bookmarkEnd w:id="2"/>
    <w:bookmarkEnd w:id="3"/>
    <w:bookmarkEnd w:id="4"/>
    <w:p w:rsidR="00B84F51" w:rsidRPr="0059154B" w:rsidRDefault="00B84F51" w:rsidP="0059154B">
      <w:pPr>
        <w:numPr>
          <w:ilvl w:val="0"/>
          <w:numId w:val="5"/>
        </w:numPr>
        <w:tabs>
          <w:tab w:val="left" w:pos="851"/>
        </w:tabs>
        <w:spacing w:before="120"/>
        <w:rPr>
          <w:bCs/>
          <w:sz w:val="26"/>
          <w:szCs w:val="26"/>
          <w:lang w:val="vi-VN"/>
        </w:rPr>
      </w:pPr>
      <w:r w:rsidRPr="0059154B">
        <w:rPr>
          <w:bCs/>
          <w:sz w:val="26"/>
          <w:szCs w:val="26"/>
          <w:lang w:val="vi-VN"/>
        </w:rPr>
        <w:t xml:space="preserve"> Mô tả mục đích tuyển chọn nhà thầu.</w:t>
      </w:r>
    </w:p>
    <w:p w:rsidR="00B84F51"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lastRenderedPageBreak/>
        <w:t>Trên cơ sở nhiệm vụ của dự án và các thông tin đã nêu ở trên, mục đích của tuyển chọn tư vấn là: Lựa chọn một nhà thầu tư vấn có kinh nghiệm và khả năng thực hiện các nội dung sau đây với chi phí thấp nhất và tiêu chuẩn chất lượng đảm bảo, hoàn thành hợp đồng đúng hạn. Nhà thầu kiểm toán khi thực hiện kiểm toán quyết toán dự án này phải tuân thủ Chuẩn mực kiểm toán báo cáo quyết toán vốn đầu tư hoàn thành do Bộ tài chính ban hành theo Thông tư số 214/2012/TT-BTC ngày 06/12/2012 của Bộ Tài Chính về việc ban hành chuẩn mực kiểm toán Việt Nam.</w:t>
      </w:r>
    </w:p>
    <w:p w:rsidR="00B84F51"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t>Kiểm toán Dự án theo các hướng dẫn hiện hành của các cơ quan có thẩm quyền và  các quy định của Nhà nước.</w:t>
      </w:r>
    </w:p>
    <w:p w:rsidR="00B84F51" w:rsidRPr="0059154B" w:rsidRDefault="00B84F51" w:rsidP="0059154B">
      <w:pPr>
        <w:shd w:val="clear" w:color="auto" w:fill="FFFFFF"/>
        <w:spacing w:before="120"/>
        <w:ind w:firstLine="284"/>
        <w:rPr>
          <w:b/>
          <w:sz w:val="26"/>
          <w:szCs w:val="26"/>
          <w:lang w:val="it-IT"/>
        </w:rPr>
      </w:pPr>
      <w:r w:rsidRPr="0059154B">
        <w:rPr>
          <w:b/>
          <w:sz w:val="26"/>
          <w:szCs w:val="26"/>
          <w:lang w:val="it-IT"/>
        </w:rPr>
        <w:t>II. Phạm vi công việc:</w:t>
      </w:r>
    </w:p>
    <w:p w:rsidR="00B84F51"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t>Việc kiểm toán báo cáo quyết toán vốn đầu tư dự án hoàn thành được thực hiện theo quy định của</w:t>
      </w:r>
      <w:r w:rsidR="00384097" w:rsidRPr="0059154B">
        <w:rPr>
          <w:sz w:val="26"/>
          <w:szCs w:val="26"/>
          <w:lang w:val="it-IT"/>
        </w:rPr>
        <w:t xml:space="preserve"> Nghị định số 254/2025/NĐ-CP ngày 26/9/2025 của Chính phủ quy định về quản lý, thanh toán, quyết toán dự án sử dụng vốn đầu tư công </w:t>
      </w:r>
      <w:r w:rsidRPr="0059154B">
        <w:rPr>
          <w:sz w:val="26"/>
          <w:szCs w:val="26"/>
          <w:lang w:val="it-IT"/>
        </w:rPr>
        <w:t xml:space="preserve">và Thông tư 96/2021/TT-BTC ngày 11/11/2021 của Bộ Tài chính quy định về Hệ thống mẫu biểu sử dụng trong công tác quyết toán; </w:t>
      </w:r>
      <w:r w:rsidR="00384097" w:rsidRPr="0059154B">
        <w:rPr>
          <w:sz w:val="26"/>
          <w:szCs w:val="26"/>
          <w:lang w:val="it-IT"/>
        </w:rPr>
        <w:t xml:space="preserve">Thông tư 63/2025/TT-BTC ngày 30/6/2025 của Bộ Tài Chính  về </w:t>
      </w:r>
      <w:bookmarkStart w:id="6" w:name="loai_1_name"/>
      <w:r w:rsidR="00384097" w:rsidRPr="0059154B">
        <w:rPr>
          <w:sz w:val="26"/>
          <w:szCs w:val="26"/>
          <w:lang w:val="it-IT"/>
        </w:rPr>
        <w:t xml:space="preserve"> sửa đổi, bổ sung một số điều của thông tư số 96/2021/TT-BTC ngày 11/11/2021 của Bộ Tài chính quy định về hệ thống mẫu biểu sử dụng trong công tác quyết toán</w:t>
      </w:r>
      <w:bookmarkEnd w:id="6"/>
      <w:r w:rsidRPr="0059154B">
        <w:rPr>
          <w:sz w:val="26"/>
          <w:szCs w:val="26"/>
          <w:lang w:val="it-IT"/>
        </w:rPr>
        <w:t>.</w:t>
      </w:r>
    </w:p>
    <w:p w:rsidR="00B84F51"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t>Nội dung công việc cụ thể bao gồm:</w:t>
      </w:r>
    </w:p>
    <w:p w:rsidR="00B84F51" w:rsidRPr="0059154B" w:rsidRDefault="00B84F51" w:rsidP="0059154B">
      <w:pPr>
        <w:numPr>
          <w:ilvl w:val="2"/>
          <w:numId w:val="2"/>
        </w:numPr>
        <w:tabs>
          <w:tab w:val="clear" w:pos="4095"/>
          <w:tab w:val="left" w:pos="851"/>
          <w:tab w:val="left" w:pos="1134"/>
        </w:tabs>
        <w:spacing w:before="120"/>
        <w:ind w:left="1134" w:hanging="283"/>
        <w:rPr>
          <w:sz w:val="26"/>
          <w:szCs w:val="26"/>
          <w:lang w:val="it-IT"/>
        </w:rPr>
      </w:pPr>
      <w:r w:rsidRPr="0059154B">
        <w:rPr>
          <w:sz w:val="26"/>
          <w:szCs w:val="26"/>
          <w:lang w:val="it-IT"/>
        </w:rPr>
        <w:t>Kiểm tra hồ sơ pháp lý;</w:t>
      </w:r>
    </w:p>
    <w:p w:rsidR="00B84F51" w:rsidRPr="0059154B" w:rsidRDefault="00B84F51" w:rsidP="0059154B">
      <w:pPr>
        <w:numPr>
          <w:ilvl w:val="2"/>
          <w:numId w:val="2"/>
        </w:numPr>
        <w:tabs>
          <w:tab w:val="clear" w:pos="4095"/>
          <w:tab w:val="left" w:pos="851"/>
          <w:tab w:val="left" w:pos="1134"/>
        </w:tabs>
        <w:spacing w:before="120"/>
        <w:ind w:left="1134" w:hanging="283"/>
        <w:rPr>
          <w:sz w:val="26"/>
          <w:szCs w:val="26"/>
          <w:lang w:val="it-IT"/>
        </w:rPr>
      </w:pPr>
      <w:r w:rsidRPr="0059154B">
        <w:rPr>
          <w:sz w:val="26"/>
          <w:szCs w:val="26"/>
          <w:lang w:val="it-IT"/>
        </w:rPr>
        <w:t>Kiểm toán nguồn vốn đầu tư của dự án, gồm: Kế hoạch Nguồn vốn của Dự án, số vốn Bên A đã nhận được đến ngày lập quyết toán, Nguồn vốn đầu tư thực hiện dự án đến ngày lập quyết toán.</w:t>
      </w:r>
    </w:p>
    <w:p w:rsidR="00B84F51" w:rsidRPr="0059154B" w:rsidRDefault="00B84F51" w:rsidP="0059154B">
      <w:pPr>
        <w:numPr>
          <w:ilvl w:val="2"/>
          <w:numId w:val="2"/>
        </w:numPr>
        <w:tabs>
          <w:tab w:val="clear" w:pos="4095"/>
          <w:tab w:val="left" w:pos="851"/>
          <w:tab w:val="left" w:pos="1134"/>
        </w:tabs>
        <w:spacing w:before="120"/>
        <w:ind w:left="1134" w:hanging="283"/>
        <w:rPr>
          <w:sz w:val="26"/>
          <w:szCs w:val="26"/>
          <w:lang w:val="it-IT"/>
        </w:rPr>
      </w:pPr>
      <w:r w:rsidRPr="0059154B">
        <w:rPr>
          <w:sz w:val="26"/>
          <w:szCs w:val="26"/>
          <w:lang w:val="it-IT"/>
        </w:rPr>
        <w:t>Kiểm tra chi phí đầu tư;</w:t>
      </w:r>
    </w:p>
    <w:p w:rsidR="00B84F51" w:rsidRPr="0059154B" w:rsidRDefault="00B84F51" w:rsidP="0059154B">
      <w:pPr>
        <w:numPr>
          <w:ilvl w:val="2"/>
          <w:numId w:val="2"/>
        </w:numPr>
        <w:tabs>
          <w:tab w:val="clear" w:pos="4095"/>
          <w:tab w:val="left" w:pos="851"/>
          <w:tab w:val="left" w:pos="1134"/>
        </w:tabs>
        <w:spacing w:before="120"/>
        <w:ind w:left="1134" w:hanging="283"/>
        <w:rPr>
          <w:sz w:val="26"/>
          <w:szCs w:val="26"/>
          <w:lang w:val="it-IT"/>
        </w:rPr>
      </w:pPr>
      <w:r w:rsidRPr="0059154B">
        <w:rPr>
          <w:sz w:val="26"/>
          <w:szCs w:val="26"/>
          <w:lang w:val="it-IT"/>
        </w:rPr>
        <w:t>Kiểm tra chi phí đầu tư không tính vào tài sản bàn giao;</w:t>
      </w:r>
    </w:p>
    <w:p w:rsidR="00B84F51" w:rsidRPr="0059154B" w:rsidRDefault="00B84F51" w:rsidP="0059154B">
      <w:pPr>
        <w:numPr>
          <w:ilvl w:val="2"/>
          <w:numId w:val="2"/>
        </w:numPr>
        <w:tabs>
          <w:tab w:val="clear" w:pos="4095"/>
          <w:tab w:val="left" w:pos="851"/>
          <w:tab w:val="left" w:pos="1134"/>
        </w:tabs>
        <w:spacing w:before="120"/>
        <w:ind w:left="1134" w:hanging="283"/>
        <w:rPr>
          <w:sz w:val="26"/>
          <w:szCs w:val="26"/>
          <w:lang w:val="it-IT"/>
        </w:rPr>
      </w:pPr>
      <w:r w:rsidRPr="0059154B">
        <w:rPr>
          <w:sz w:val="26"/>
          <w:szCs w:val="26"/>
          <w:lang w:val="it-IT"/>
        </w:rPr>
        <w:t>Kiểm tra tài sản hoàn thành qua bàn giao;</w:t>
      </w:r>
    </w:p>
    <w:p w:rsidR="00B84F51" w:rsidRPr="0059154B" w:rsidRDefault="00B84F51" w:rsidP="0059154B">
      <w:pPr>
        <w:numPr>
          <w:ilvl w:val="2"/>
          <w:numId w:val="2"/>
        </w:numPr>
        <w:tabs>
          <w:tab w:val="clear" w:pos="4095"/>
          <w:tab w:val="left" w:pos="851"/>
          <w:tab w:val="left" w:pos="1134"/>
        </w:tabs>
        <w:spacing w:before="120"/>
        <w:ind w:left="1134" w:hanging="283"/>
        <w:rPr>
          <w:sz w:val="26"/>
          <w:szCs w:val="26"/>
          <w:lang w:val="it-IT"/>
        </w:rPr>
      </w:pPr>
      <w:r w:rsidRPr="0059154B">
        <w:rPr>
          <w:sz w:val="26"/>
          <w:szCs w:val="26"/>
          <w:lang w:val="it-IT"/>
        </w:rPr>
        <w:t>Kiểm tra tình hình công nợ và vật tư, thiết bị tồn đọng sau quyết toán;</w:t>
      </w:r>
    </w:p>
    <w:p w:rsidR="00B84F51" w:rsidRPr="0059154B" w:rsidRDefault="00B84F51" w:rsidP="0059154B">
      <w:pPr>
        <w:numPr>
          <w:ilvl w:val="2"/>
          <w:numId w:val="2"/>
        </w:numPr>
        <w:tabs>
          <w:tab w:val="clear" w:pos="4095"/>
          <w:tab w:val="left" w:pos="851"/>
          <w:tab w:val="left" w:pos="1134"/>
        </w:tabs>
        <w:spacing w:before="120"/>
        <w:ind w:left="1134" w:hanging="283"/>
        <w:rPr>
          <w:sz w:val="26"/>
          <w:szCs w:val="26"/>
          <w:lang w:val="it-IT"/>
        </w:rPr>
      </w:pPr>
      <w:r w:rsidRPr="0059154B">
        <w:rPr>
          <w:sz w:val="26"/>
          <w:szCs w:val="26"/>
          <w:lang w:val="it-IT"/>
        </w:rPr>
        <w:t>Xem xét việc thực hiện kết luận của cơ quan thanh tra, kiểm tra (nếu có);</w:t>
      </w:r>
    </w:p>
    <w:p w:rsidR="00B84F51" w:rsidRPr="0059154B" w:rsidRDefault="00B84F51" w:rsidP="0059154B">
      <w:pPr>
        <w:numPr>
          <w:ilvl w:val="2"/>
          <w:numId w:val="2"/>
        </w:numPr>
        <w:tabs>
          <w:tab w:val="clear" w:pos="4095"/>
          <w:tab w:val="left" w:pos="851"/>
          <w:tab w:val="left" w:pos="1134"/>
        </w:tabs>
        <w:spacing w:before="120"/>
        <w:ind w:left="1134" w:hanging="283"/>
        <w:rPr>
          <w:sz w:val="26"/>
          <w:szCs w:val="26"/>
          <w:lang w:val="it-IT"/>
        </w:rPr>
      </w:pPr>
      <w:r w:rsidRPr="0059154B">
        <w:rPr>
          <w:sz w:val="26"/>
          <w:szCs w:val="26"/>
          <w:lang w:val="it-IT"/>
        </w:rPr>
        <w:t>Xem xét các kiến nghị của Bên A (nếu có).</w:t>
      </w:r>
    </w:p>
    <w:p w:rsidR="00B84F51" w:rsidRPr="0059154B" w:rsidRDefault="00B84F51" w:rsidP="0059154B">
      <w:pPr>
        <w:shd w:val="clear" w:color="auto" w:fill="FFFFFF"/>
        <w:spacing w:before="120"/>
        <w:ind w:firstLine="284"/>
        <w:rPr>
          <w:b/>
          <w:sz w:val="26"/>
          <w:szCs w:val="26"/>
          <w:lang w:val="it-IT"/>
        </w:rPr>
      </w:pPr>
      <w:r w:rsidRPr="0059154B">
        <w:rPr>
          <w:b/>
          <w:sz w:val="26"/>
          <w:szCs w:val="26"/>
          <w:lang w:val="it-IT"/>
        </w:rPr>
        <w:t>III. Báo cáo và thời gian thực hiện:</w:t>
      </w:r>
    </w:p>
    <w:p w:rsidR="00B84F51"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t>Nhà thầu phải nộp các báo cáo Kiểm toán đã thực hiện hằng tuần cho Bên mời thầu. Thời gian nộp báo cáo là thứ sáu hàng tuần. Ngoài ra, tùy theo tình hình công việc đột xuất liên quan đến kiểm toán, Bên mời thầu có quyền yêu cầu nhà thầu báo cáo các công việc liên quan mà không đòi hỏi bất kỳ quyền lợi nào.</w:t>
      </w:r>
    </w:p>
    <w:p w:rsidR="00B84F51"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t>Số lượng báo cáo kiểm toán cần nộp: 06 bộ báo cáo kiểm toán trong đó bên A giữ 05 bộ, bên B giữ 01 bộ.</w:t>
      </w:r>
    </w:p>
    <w:p w:rsidR="00B84F51"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t xml:space="preserve">Thời gian thực hiện hợp đồng: </w:t>
      </w:r>
      <w:r w:rsidR="0059154B" w:rsidRPr="0059154B">
        <w:rPr>
          <w:sz w:val="26"/>
          <w:szCs w:val="26"/>
          <w:lang w:val="it-IT"/>
        </w:rPr>
        <w:t>9</w:t>
      </w:r>
      <w:r w:rsidRPr="0059154B">
        <w:rPr>
          <w:sz w:val="26"/>
          <w:szCs w:val="26"/>
          <w:lang w:val="it-IT"/>
        </w:rPr>
        <w:t>0 ngày.</w:t>
      </w:r>
    </w:p>
    <w:p w:rsidR="00B84F51" w:rsidRPr="0059154B" w:rsidRDefault="00B84F51" w:rsidP="0059154B">
      <w:pPr>
        <w:shd w:val="clear" w:color="auto" w:fill="FFFFFF"/>
        <w:spacing w:before="120"/>
        <w:ind w:firstLine="284"/>
        <w:rPr>
          <w:b/>
          <w:sz w:val="26"/>
          <w:szCs w:val="26"/>
          <w:lang w:val="it-IT"/>
        </w:rPr>
      </w:pPr>
      <w:r w:rsidRPr="0059154B">
        <w:rPr>
          <w:b/>
          <w:sz w:val="26"/>
          <w:szCs w:val="26"/>
          <w:lang w:val="it-IT"/>
        </w:rPr>
        <w:lastRenderedPageBreak/>
        <w:t>IV. Kinh nghiệm và nhân sự của nhà thầu:</w:t>
      </w:r>
    </w:p>
    <w:p w:rsidR="00B84F51" w:rsidRPr="0059154B" w:rsidRDefault="00B84F51" w:rsidP="0059154B">
      <w:pPr>
        <w:numPr>
          <w:ilvl w:val="0"/>
          <w:numId w:val="1"/>
        </w:numPr>
        <w:tabs>
          <w:tab w:val="left" w:pos="851"/>
        </w:tabs>
        <w:spacing w:before="120"/>
        <w:ind w:left="851" w:hanging="284"/>
        <w:rPr>
          <w:i/>
          <w:sz w:val="26"/>
          <w:szCs w:val="26"/>
          <w:lang w:val="it-IT"/>
        </w:rPr>
      </w:pPr>
      <w:r w:rsidRPr="0059154B">
        <w:rPr>
          <w:sz w:val="26"/>
          <w:szCs w:val="26"/>
          <w:lang w:val="it-IT"/>
        </w:rPr>
        <w:t>Đáp ứng yêu cầu tại Chương II: Bảng dữ liệu đấu thầu và Chương III: Tiêu chuẩn đánh giá E-HSDT.</w:t>
      </w:r>
    </w:p>
    <w:p w:rsidR="00B84F51"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t>Nêu rõ tất cả các thành viên tham gia dự án kể cả các thành viên thực hiện kiểm tra, soát xét. Năng lực các Nhân sự tham gia phải đảm bảo yêu cầu trong hồ sơ mời thầu và Hồ sơ dự thầu.</w:t>
      </w:r>
    </w:p>
    <w:p w:rsidR="00B84F51"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t>Kinh nghiệm phải nêu rõ các thành viên này tham gia thực hiện công đoạn nào trong quá trình kiểm toán (Trường hợp Nhân sự tham gia không đúng hồ sơ mời thầu hoặc khi triển khai thực tế không đúng Nhân sự trong hợp đồng thì nhà thầu vi phạm hợp đồng).</w:t>
      </w:r>
    </w:p>
    <w:p w:rsidR="00B84F51" w:rsidRPr="0059154B" w:rsidRDefault="00B84F51" w:rsidP="0059154B">
      <w:pPr>
        <w:shd w:val="clear" w:color="auto" w:fill="FFFFFF"/>
        <w:spacing w:before="120"/>
        <w:ind w:firstLine="284"/>
        <w:rPr>
          <w:b/>
          <w:sz w:val="26"/>
          <w:szCs w:val="26"/>
          <w:lang w:val="it-IT"/>
        </w:rPr>
      </w:pPr>
      <w:r w:rsidRPr="0059154B">
        <w:rPr>
          <w:b/>
          <w:sz w:val="26"/>
          <w:szCs w:val="26"/>
          <w:lang w:val="it-IT"/>
        </w:rPr>
        <w:t>V. Trách nhiệm của Chủ đầu tư:</w:t>
      </w:r>
    </w:p>
    <w:p w:rsidR="00B84F51"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t>Tạo điều kiện, giúp đỡ đơn vị Tư vấn trong quá trình kiểm toán dự án.</w:t>
      </w:r>
    </w:p>
    <w:p w:rsidR="003E1B80" w:rsidRPr="0059154B" w:rsidRDefault="00B84F51" w:rsidP="0059154B">
      <w:pPr>
        <w:numPr>
          <w:ilvl w:val="0"/>
          <w:numId w:val="1"/>
        </w:numPr>
        <w:tabs>
          <w:tab w:val="left" w:pos="851"/>
        </w:tabs>
        <w:spacing w:before="120"/>
        <w:ind w:left="851" w:hanging="284"/>
        <w:rPr>
          <w:sz w:val="26"/>
          <w:szCs w:val="26"/>
          <w:lang w:val="it-IT"/>
        </w:rPr>
      </w:pPr>
      <w:r w:rsidRPr="0059154B">
        <w:rPr>
          <w:sz w:val="26"/>
          <w:szCs w:val="26"/>
          <w:lang w:val="it-IT"/>
        </w:rPr>
        <w:t>Cung cấp các tài liệu liên quan của dự án hiện có.</w:t>
      </w:r>
    </w:p>
    <w:sectPr w:rsidR="003E1B80" w:rsidRPr="0059154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B4D" w:rsidRDefault="00D57B4D" w:rsidP="004C06D4">
      <w:r>
        <w:separator/>
      </w:r>
    </w:p>
  </w:endnote>
  <w:endnote w:type="continuationSeparator" w:id="0">
    <w:p w:rsidR="00D57B4D" w:rsidRDefault="00D57B4D" w:rsidP="004C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E6" w:rsidRPr="00FD5B40" w:rsidRDefault="006173CA" w:rsidP="006F4E39">
    <w:pPr>
      <w:pStyle w:val="Footer"/>
      <w:pBdr>
        <w:top w:val="single" w:sz="4" w:space="1" w:color="auto"/>
      </w:pBdr>
      <w:tabs>
        <w:tab w:val="clear" w:pos="8640"/>
        <w:tab w:val="right" w:pos="9360"/>
      </w:tabs>
      <w:rPr>
        <w:sz w:val="20"/>
        <w:szCs w:val="20"/>
      </w:rPr>
    </w:pPr>
    <w:r w:rsidRPr="00FD5B40">
      <w:rPr>
        <w:sz w:val="20"/>
        <w:szCs w:val="20"/>
      </w:rPr>
      <w:t xml:space="preserve">                                                                                             </w:t>
    </w:r>
    <w:r w:rsidRPr="00FD5B40">
      <w:rPr>
        <w:sz w:val="20"/>
        <w:szCs w:val="20"/>
      </w:rPr>
      <w:tab/>
      <w:t xml:space="preserve">Trang  </w:t>
    </w:r>
    <w:r w:rsidRPr="00FD5B40">
      <w:rPr>
        <w:rStyle w:val="PageNumber"/>
        <w:sz w:val="20"/>
        <w:szCs w:val="20"/>
      </w:rPr>
      <w:fldChar w:fldCharType="begin"/>
    </w:r>
    <w:r w:rsidRPr="00FD5B40">
      <w:rPr>
        <w:rStyle w:val="PageNumber"/>
        <w:sz w:val="20"/>
        <w:szCs w:val="20"/>
      </w:rPr>
      <w:instrText xml:space="preserve"> PAGE </w:instrText>
    </w:r>
    <w:r w:rsidRPr="00FD5B40">
      <w:rPr>
        <w:rStyle w:val="PageNumber"/>
        <w:sz w:val="20"/>
        <w:szCs w:val="20"/>
      </w:rPr>
      <w:fldChar w:fldCharType="separate"/>
    </w:r>
    <w:r w:rsidR="00507074">
      <w:rPr>
        <w:rStyle w:val="PageNumber"/>
        <w:noProof/>
        <w:sz w:val="20"/>
        <w:szCs w:val="20"/>
      </w:rPr>
      <w:t>6</w:t>
    </w:r>
    <w:r w:rsidRPr="00FD5B40">
      <w:rPr>
        <w:rStyle w:val="PageNumber"/>
        <w:sz w:val="20"/>
        <w:szCs w:val="20"/>
      </w:rPr>
      <w:fldChar w:fldCharType="end"/>
    </w:r>
  </w:p>
  <w:p w:rsidR="009521E6" w:rsidRDefault="00D57B4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B4D" w:rsidRDefault="00D57B4D" w:rsidP="004C06D4">
      <w:r>
        <w:separator/>
      </w:r>
    </w:p>
  </w:footnote>
  <w:footnote w:type="continuationSeparator" w:id="0">
    <w:p w:rsidR="00D57B4D" w:rsidRDefault="00D57B4D" w:rsidP="004C06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9BA1688"/>
    <w:lvl w:ilvl="0">
      <w:start w:val="1"/>
      <w:numFmt w:val="bullet"/>
      <w:pStyle w:val="ListBullet5"/>
      <w:lvlText w:val=""/>
      <w:lvlJc w:val="left"/>
      <w:pPr>
        <w:tabs>
          <w:tab w:val="num" w:pos="3632"/>
        </w:tabs>
        <w:ind w:left="3632" w:hanging="360"/>
      </w:pPr>
      <w:rPr>
        <w:rFonts w:ascii="Symbol" w:hAnsi="Symbol" w:hint="default"/>
      </w:rPr>
    </w:lvl>
  </w:abstractNum>
  <w:abstractNum w:abstractNumId="1" w15:restartNumberingAfterBreak="0">
    <w:nsid w:val="072677AB"/>
    <w:multiLevelType w:val="hybridMultilevel"/>
    <w:tmpl w:val="AD68FB5E"/>
    <w:lvl w:ilvl="0" w:tplc="D6029B32">
      <w:start w:val="1"/>
      <w:numFmt w:val="lowerLetter"/>
      <w:lvlText w:val="%1)"/>
      <w:lvlJc w:val="left"/>
      <w:pPr>
        <w:ind w:left="927" w:hanging="360"/>
      </w:pPr>
      <w:rPr>
        <w:rFonts w:hint="default"/>
        <w:b/>
        <w:bCs/>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5C4CE0"/>
    <w:multiLevelType w:val="hybridMultilevel"/>
    <w:tmpl w:val="61AC69E0"/>
    <w:lvl w:ilvl="0" w:tplc="32F09C62">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48907C6"/>
    <w:multiLevelType w:val="hybridMultilevel"/>
    <w:tmpl w:val="2A1E12C0"/>
    <w:lvl w:ilvl="0" w:tplc="FFFFFFFF">
      <w:start w:val="1"/>
      <w:numFmt w:val="bullet"/>
      <w:lvlText w:val="-"/>
      <w:lvlJc w:val="left"/>
      <w:pPr>
        <w:tabs>
          <w:tab w:val="num" w:pos="3360"/>
        </w:tabs>
        <w:ind w:left="3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D63E39"/>
    <w:multiLevelType w:val="hybridMultilevel"/>
    <w:tmpl w:val="A4A6E356"/>
    <w:lvl w:ilvl="0" w:tplc="FFFFFFFF">
      <w:start w:val="1"/>
      <w:numFmt w:val="bullet"/>
      <w:lvlText w:val="+"/>
      <w:lvlJc w:val="left"/>
      <w:pPr>
        <w:tabs>
          <w:tab w:val="num" w:pos="3720"/>
        </w:tabs>
        <w:ind w:left="3720" w:hanging="360"/>
      </w:pPr>
      <w:rPr>
        <w:rFonts w:ascii="Courier New" w:hAnsi="Courier New" w:hint="default"/>
        <w:b w:val="0"/>
        <w:i w:val="0"/>
        <w:color w:val="auto"/>
        <w:sz w:val="26"/>
        <w:szCs w:val="26"/>
        <w:u w:val="none"/>
      </w:rPr>
    </w:lvl>
    <w:lvl w:ilvl="1" w:tplc="FFFFFFFF" w:tentative="1">
      <w:start w:val="1"/>
      <w:numFmt w:val="bullet"/>
      <w:lvlText w:val="o"/>
      <w:lvlJc w:val="left"/>
      <w:pPr>
        <w:tabs>
          <w:tab w:val="num" w:pos="3375"/>
        </w:tabs>
        <w:ind w:left="3375" w:hanging="360"/>
      </w:pPr>
      <w:rPr>
        <w:rFonts w:ascii="Courier New" w:hAnsi="Courier New" w:cs="Courier New" w:hint="default"/>
      </w:rPr>
    </w:lvl>
    <w:lvl w:ilvl="2" w:tplc="FFFFFFFF">
      <w:start w:val="1"/>
      <w:numFmt w:val="bullet"/>
      <w:lvlText w:val="+"/>
      <w:lvlJc w:val="left"/>
      <w:pPr>
        <w:tabs>
          <w:tab w:val="num" w:pos="4095"/>
        </w:tabs>
        <w:ind w:left="4095" w:hanging="360"/>
      </w:pPr>
      <w:rPr>
        <w:rFonts w:ascii="Courier New" w:hAnsi="Courier New" w:hint="default"/>
        <w:b w:val="0"/>
        <w:i w:val="0"/>
        <w:color w:val="auto"/>
        <w:sz w:val="26"/>
        <w:szCs w:val="26"/>
        <w:u w:val="none"/>
      </w:rPr>
    </w:lvl>
    <w:lvl w:ilvl="3" w:tplc="FFFFFFFF" w:tentative="1">
      <w:start w:val="1"/>
      <w:numFmt w:val="bullet"/>
      <w:lvlText w:val=""/>
      <w:lvlJc w:val="left"/>
      <w:pPr>
        <w:tabs>
          <w:tab w:val="num" w:pos="4815"/>
        </w:tabs>
        <w:ind w:left="4815" w:hanging="360"/>
      </w:pPr>
      <w:rPr>
        <w:rFonts w:ascii="Symbol" w:hAnsi="Symbol" w:hint="default"/>
      </w:rPr>
    </w:lvl>
    <w:lvl w:ilvl="4" w:tplc="FFFFFFFF" w:tentative="1">
      <w:start w:val="1"/>
      <w:numFmt w:val="bullet"/>
      <w:lvlText w:val="o"/>
      <w:lvlJc w:val="left"/>
      <w:pPr>
        <w:tabs>
          <w:tab w:val="num" w:pos="5535"/>
        </w:tabs>
        <w:ind w:left="5535" w:hanging="360"/>
      </w:pPr>
      <w:rPr>
        <w:rFonts w:ascii="Courier New" w:hAnsi="Courier New" w:cs="Courier New" w:hint="default"/>
      </w:rPr>
    </w:lvl>
    <w:lvl w:ilvl="5" w:tplc="FFFFFFFF" w:tentative="1">
      <w:start w:val="1"/>
      <w:numFmt w:val="bullet"/>
      <w:lvlText w:val=""/>
      <w:lvlJc w:val="left"/>
      <w:pPr>
        <w:tabs>
          <w:tab w:val="num" w:pos="6255"/>
        </w:tabs>
        <w:ind w:left="6255" w:hanging="360"/>
      </w:pPr>
      <w:rPr>
        <w:rFonts w:ascii="Wingdings" w:hAnsi="Wingdings" w:hint="default"/>
      </w:rPr>
    </w:lvl>
    <w:lvl w:ilvl="6" w:tplc="FFFFFFFF" w:tentative="1">
      <w:start w:val="1"/>
      <w:numFmt w:val="bullet"/>
      <w:lvlText w:val=""/>
      <w:lvlJc w:val="left"/>
      <w:pPr>
        <w:tabs>
          <w:tab w:val="num" w:pos="6975"/>
        </w:tabs>
        <w:ind w:left="6975" w:hanging="360"/>
      </w:pPr>
      <w:rPr>
        <w:rFonts w:ascii="Symbol" w:hAnsi="Symbol" w:hint="default"/>
      </w:rPr>
    </w:lvl>
    <w:lvl w:ilvl="7" w:tplc="FFFFFFFF" w:tentative="1">
      <w:start w:val="1"/>
      <w:numFmt w:val="bullet"/>
      <w:lvlText w:val="o"/>
      <w:lvlJc w:val="left"/>
      <w:pPr>
        <w:tabs>
          <w:tab w:val="num" w:pos="7695"/>
        </w:tabs>
        <w:ind w:left="7695" w:hanging="360"/>
      </w:pPr>
      <w:rPr>
        <w:rFonts w:ascii="Courier New" w:hAnsi="Courier New" w:cs="Courier New" w:hint="default"/>
      </w:rPr>
    </w:lvl>
    <w:lvl w:ilvl="8" w:tplc="FFFFFFFF" w:tentative="1">
      <w:start w:val="1"/>
      <w:numFmt w:val="bullet"/>
      <w:lvlText w:val=""/>
      <w:lvlJc w:val="left"/>
      <w:pPr>
        <w:tabs>
          <w:tab w:val="num" w:pos="8415"/>
        </w:tabs>
        <w:ind w:left="8415" w:hanging="360"/>
      </w:pPr>
      <w:rPr>
        <w:rFonts w:ascii="Wingdings" w:hAnsi="Wingdings" w:hint="default"/>
      </w:rPr>
    </w:lvl>
  </w:abstractNum>
  <w:abstractNum w:abstractNumId="5" w15:restartNumberingAfterBreak="0">
    <w:nsid w:val="42933AA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BF37480"/>
    <w:multiLevelType w:val="hybridMultilevel"/>
    <w:tmpl w:val="557E2006"/>
    <w:lvl w:ilvl="0" w:tplc="FFFFFFFF">
      <w:numFmt w:val="bullet"/>
      <w:lvlText w:val="-"/>
      <w:lvlJc w:val="left"/>
      <w:pPr>
        <w:ind w:left="1267" w:hanging="360"/>
      </w:pPr>
      <w:rPr>
        <w:rFonts w:ascii="Times New Roman" w:eastAsia="Times New Roman" w:hAnsi="Times New Roman" w:cs="Times New Roman" w:hint="default"/>
        <w:b/>
        <w:i w:val="0"/>
        <w:sz w:val="26"/>
        <w:szCs w:val="26"/>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7" w15:restartNumberingAfterBreak="0">
    <w:nsid w:val="54CE3C11"/>
    <w:multiLevelType w:val="hybridMultilevel"/>
    <w:tmpl w:val="1E9A3FE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FB7A5A"/>
    <w:multiLevelType w:val="hybridMultilevel"/>
    <w:tmpl w:val="67EE757A"/>
    <w:lvl w:ilvl="0" w:tplc="1E4CA8CA">
      <w:start w:val="1"/>
      <w:numFmt w:val="bullet"/>
      <w:lvlText w:val="-"/>
      <w:lvlJc w:val="left"/>
      <w:pPr>
        <w:ind w:left="720" w:hanging="360"/>
      </w:pPr>
      <w:rPr>
        <w:rFonts w:ascii="Times New Roman" w:eastAsia="Calibri" w:hAnsi="Times New Roman" w:cs="Times New Roman" w:hint="default"/>
      </w:rPr>
    </w:lvl>
    <w:lvl w:ilvl="1" w:tplc="04090019">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65791"/>
    <w:multiLevelType w:val="hybridMultilevel"/>
    <w:tmpl w:val="11D22A6A"/>
    <w:lvl w:ilvl="0" w:tplc="40123C12">
      <w:numFmt w:val="bullet"/>
      <w:pStyle w:val="BodyTextlist1"/>
      <w:lvlText w:val="-"/>
      <w:lvlJc w:val="left"/>
      <w:pPr>
        <w:tabs>
          <w:tab w:val="num" w:pos="1164"/>
        </w:tabs>
        <w:ind w:left="1164" w:hanging="454"/>
      </w:pPr>
      <w:rPr>
        <w:rFonts w:ascii="Times New Roman" w:hAnsi="Times New Roman" w:cs="Times New Roman" w:hint="default"/>
        <w:color w:val="auto"/>
        <w:lang w:val="fr-FR"/>
      </w:rPr>
    </w:lvl>
    <w:lvl w:ilvl="1" w:tplc="9DD4705A">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 w15:restartNumberingAfterBreak="0">
    <w:nsid w:val="6AAF1727"/>
    <w:multiLevelType w:val="multilevel"/>
    <w:tmpl w:val="BF3A9F98"/>
    <w:lvl w:ilvl="0">
      <w:start w:val="1"/>
      <w:numFmt w:val="decimal"/>
      <w:lvlText w:val="%1"/>
      <w:lvlJc w:val="left"/>
      <w:pPr>
        <w:ind w:left="842" w:hanging="720"/>
      </w:pPr>
      <w:rPr>
        <w:rFonts w:hint="default"/>
        <w:lang w:val="vi" w:eastAsia="en-US" w:bidi="ar-SA"/>
      </w:rPr>
    </w:lvl>
    <w:lvl w:ilvl="1">
      <w:start w:val="2"/>
      <w:numFmt w:val="decimal"/>
      <w:lvlText w:val="%1.%2"/>
      <w:lvlJc w:val="left"/>
      <w:pPr>
        <w:ind w:left="842" w:hanging="720"/>
      </w:pPr>
      <w:rPr>
        <w:rFonts w:hint="default"/>
        <w:lang w:val="vi" w:eastAsia="en-US" w:bidi="ar-SA"/>
      </w:rPr>
    </w:lvl>
    <w:lvl w:ilvl="2">
      <w:start w:val="1"/>
      <w:numFmt w:val="decimal"/>
      <w:lvlText w:val="%1.%2.%3"/>
      <w:lvlJc w:val="left"/>
      <w:pPr>
        <w:ind w:left="842" w:hanging="720"/>
      </w:pPr>
      <w:rPr>
        <w:rFonts w:ascii="Times New Roman" w:eastAsia="Times New Roman" w:hAnsi="Times New Roman" w:cs="Times New Roman" w:hint="default"/>
        <w:b/>
        <w:bCs/>
        <w:w w:val="99"/>
        <w:sz w:val="26"/>
        <w:szCs w:val="26"/>
        <w:lang w:val="vi" w:eastAsia="en-US" w:bidi="ar-SA"/>
      </w:rPr>
    </w:lvl>
    <w:lvl w:ilvl="3">
      <w:start w:val="1"/>
      <w:numFmt w:val="bullet"/>
      <w:lvlText w:val="+"/>
      <w:lvlJc w:val="left"/>
      <w:pPr>
        <w:ind w:left="1202" w:hanging="360"/>
      </w:pPr>
      <w:rPr>
        <w:rFonts w:ascii="Times New Roman" w:eastAsia="Times New Roman" w:hAnsi="Times New Roman" w:cs="Times New Roman" w:hint="default"/>
        <w:w w:val="99"/>
        <w:sz w:val="26"/>
        <w:szCs w:val="26"/>
        <w:lang w:val="vi" w:eastAsia="en-US" w:bidi="ar-SA"/>
      </w:rPr>
    </w:lvl>
    <w:lvl w:ilvl="4">
      <w:numFmt w:val="bullet"/>
      <w:lvlText w:val=""/>
      <w:lvlJc w:val="left"/>
      <w:pPr>
        <w:ind w:left="1562" w:hanging="360"/>
      </w:pPr>
      <w:rPr>
        <w:rFonts w:ascii="Wingdings" w:eastAsia="Wingdings" w:hAnsi="Wingdings" w:cs="Wingdings" w:hint="default"/>
        <w:w w:val="99"/>
        <w:sz w:val="26"/>
        <w:szCs w:val="26"/>
        <w:lang w:val="vi" w:eastAsia="en-US" w:bidi="ar-SA"/>
      </w:rPr>
    </w:lvl>
    <w:lvl w:ilvl="5">
      <w:numFmt w:val="bullet"/>
      <w:lvlText w:val="•"/>
      <w:lvlJc w:val="left"/>
      <w:pPr>
        <w:ind w:left="3864" w:hanging="360"/>
      </w:pPr>
      <w:rPr>
        <w:rFonts w:hint="default"/>
        <w:lang w:val="vi" w:eastAsia="en-US" w:bidi="ar-SA"/>
      </w:rPr>
    </w:lvl>
    <w:lvl w:ilvl="6">
      <w:numFmt w:val="bullet"/>
      <w:lvlText w:val="•"/>
      <w:lvlJc w:val="left"/>
      <w:pPr>
        <w:ind w:left="5017" w:hanging="360"/>
      </w:pPr>
      <w:rPr>
        <w:rFonts w:hint="default"/>
        <w:lang w:val="vi" w:eastAsia="en-US" w:bidi="ar-SA"/>
      </w:rPr>
    </w:lvl>
    <w:lvl w:ilvl="7">
      <w:numFmt w:val="bullet"/>
      <w:lvlText w:val="•"/>
      <w:lvlJc w:val="left"/>
      <w:pPr>
        <w:ind w:left="6169" w:hanging="360"/>
      </w:pPr>
      <w:rPr>
        <w:rFonts w:hint="default"/>
        <w:lang w:val="vi" w:eastAsia="en-US" w:bidi="ar-SA"/>
      </w:rPr>
    </w:lvl>
    <w:lvl w:ilvl="8">
      <w:numFmt w:val="bullet"/>
      <w:lvlText w:val="•"/>
      <w:lvlJc w:val="left"/>
      <w:pPr>
        <w:ind w:left="7321" w:hanging="360"/>
      </w:pPr>
      <w:rPr>
        <w:rFonts w:hint="default"/>
        <w:lang w:val="vi" w:eastAsia="en-US" w:bidi="ar-SA"/>
      </w:rPr>
    </w:lvl>
  </w:abstractNum>
  <w:abstractNum w:abstractNumId="11" w15:restartNumberingAfterBreak="0">
    <w:nsid w:val="762E0DEB"/>
    <w:multiLevelType w:val="hybridMultilevel"/>
    <w:tmpl w:val="C4F44E0E"/>
    <w:lvl w:ilvl="0" w:tplc="0409000D">
      <w:numFmt w:val="bullet"/>
      <w:lvlText w:val="-"/>
      <w:lvlJc w:val="left"/>
      <w:pPr>
        <w:tabs>
          <w:tab w:val="num" w:pos="1134"/>
        </w:tabs>
        <w:ind w:left="1134" w:hanging="454"/>
      </w:pPr>
      <w:rPr>
        <w:rFonts w:ascii="Times New Roman" w:hAnsi="Times New Roman" w:cs="Times New Roman" w:hint="default"/>
        <w:color w:val="auto"/>
      </w:r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700"/>
        </w:tabs>
        <w:ind w:left="2700" w:hanging="360"/>
      </w:pPr>
      <w:rPr>
        <w:rFonts w:hint="default"/>
      </w:rPr>
    </w:lvl>
    <w:lvl w:ilvl="3" w:tplc="04090001">
      <w:start w:val="1"/>
      <w:numFmt w:val="lowerLetter"/>
      <w:lvlText w:val="%4."/>
      <w:lvlJc w:val="left"/>
      <w:pPr>
        <w:tabs>
          <w:tab w:val="num" w:pos="3240"/>
        </w:tabs>
        <w:ind w:left="3240" w:hanging="360"/>
      </w:pPr>
      <w:rPr>
        <w:rFonts w:hint="default"/>
      </w:rPr>
    </w:lvl>
    <w:lvl w:ilvl="4" w:tplc="04090003">
      <w:start w:val="1"/>
      <w:numFmt w:val="bullet"/>
      <w:lvlText w:val=""/>
      <w:lvlJc w:val="left"/>
      <w:pPr>
        <w:tabs>
          <w:tab w:val="num" w:pos="3960"/>
        </w:tabs>
        <w:ind w:left="3960" w:hanging="360"/>
      </w:pPr>
      <w:rPr>
        <w:rFonts w:ascii="Wingdings" w:hAnsi="Wingdings" w:hint="default"/>
        <w:color w:val="auto"/>
      </w:r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15:restartNumberingAfterBreak="0">
    <w:nsid w:val="7F4663BD"/>
    <w:multiLevelType w:val="multilevel"/>
    <w:tmpl w:val="4432C7A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9"/>
  </w:num>
  <w:num w:numId="4">
    <w:abstractNumId w:val="11"/>
  </w:num>
  <w:num w:numId="5">
    <w:abstractNumId w:val="2"/>
  </w:num>
  <w:num w:numId="6">
    <w:abstractNumId w:val="10"/>
  </w:num>
  <w:num w:numId="7">
    <w:abstractNumId w:val="1"/>
  </w:num>
  <w:num w:numId="8">
    <w:abstractNumId w:val="0"/>
  </w:num>
  <w:num w:numId="9">
    <w:abstractNumId w:val="6"/>
  </w:num>
  <w:num w:numId="10">
    <w:abstractNumId w:val="5"/>
  </w:num>
  <w:num w:numId="11">
    <w:abstractNumId w:val="1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51"/>
    <w:rsid w:val="00060777"/>
    <w:rsid w:val="000A17BC"/>
    <w:rsid w:val="001E238E"/>
    <w:rsid w:val="001F3644"/>
    <w:rsid w:val="0022332A"/>
    <w:rsid w:val="002533D7"/>
    <w:rsid w:val="00353461"/>
    <w:rsid w:val="00384097"/>
    <w:rsid w:val="003A4996"/>
    <w:rsid w:val="004A795B"/>
    <w:rsid w:val="004C06D4"/>
    <w:rsid w:val="00507074"/>
    <w:rsid w:val="00574C2E"/>
    <w:rsid w:val="0059154B"/>
    <w:rsid w:val="006173CA"/>
    <w:rsid w:val="00636449"/>
    <w:rsid w:val="007728F0"/>
    <w:rsid w:val="007A138F"/>
    <w:rsid w:val="007B7845"/>
    <w:rsid w:val="007C4795"/>
    <w:rsid w:val="00883486"/>
    <w:rsid w:val="00943366"/>
    <w:rsid w:val="00972805"/>
    <w:rsid w:val="00B84F51"/>
    <w:rsid w:val="00BC3CE9"/>
    <w:rsid w:val="00C84486"/>
    <w:rsid w:val="00CB3427"/>
    <w:rsid w:val="00D57B4D"/>
    <w:rsid w:val="00E74690"/>
    <w:rsid w:val="00EA7A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03B9"/>
  <w15:chartTrackingRefBased/>
  <w15:docId w15:val="{883A93B7-3963-47A9-B658-94F22AFF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F51"/>
    <w:pPr>
      <w:spacing w:after="0" w:line="240" w:lineRule="auto"/>
      <w:jc w:val="both"/>
    </w:pPr>
    <w:rPr>
      <w:rFonts w:eastAsia="Times New Roman" w:cs="Times New Roman"/>
      <w:sz w:val="24"/>
      <w:szCs w:val="20"/>
      <w:lang w:val="en-US"/>
    </w:rPr>
  </w:style>
  <w:style w:type="paragraph" w:styleId="Heading1">
    <w:name w:val="heading 1"/>
    <w:aliases w:val="level 1"/>
    <w:basedOn w:val="Normal"/>
    <w:next w:val="Normal"/>
    <w:link w:val="Heading1Char"/>
    <w:qFormat/>
    <w:rsid w:val="00B84F51"/>
    <w:pPr>
      <w:suppressAutoHyphens/>
      <w:spacing w:before="60" w:after="60" w:line="288" w:lineRule="auto"/>
      <w:jc w:val="center"/>
      <w:outlineLvl w:val="0"/>
    </w:pPr>
    <w:rPr>
      <w:rFonts w:ascii="Times New Roman Bold" w:hAnsi="Times New Roman Bold"/>
      <w:b/>
      <w:sz w:val="28"/>
    </w:rPr>
  </w:style>
  <w:style w:type="paragraph" w:styleId="Heading3">
    <w:name w:val="heading 3"/>
    <w:basedOn w:val="Normal"/>
    <w:next w:val="Normal"/>
    <w:link w:val="Heading3Char"/>
    <w:uiPriority w:val="9"/>
    <w:semiHidden/>
    <w:unhideWhenUsed/>
    <w:qFormat/>
    <w:rsid w:val="00CB342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84F51"/>
    <w:rPr>
      <w:rFonts w:ascii="Times New Roman Bold" w:eastAsia="Times New Roman" w:hAnsi="Times New Roman Bold" w:cs="Times New Roman"/>
      <w:b/>
      <w:szCs w:val="20"/>
      <w:lang w:val="en-US"/>
    </w:rPr>
  </w:style>
  <w:style w:type="paragraph" w:styleId="BodyText">
    <w:name w:val="Body Text"/>
    <w:basedOn w:val="Normal"/>
    <w:link w:val="BodyTextChar"/>
    <w:rsid w:val="00B84F51"/>
    <w:pPr>
      <w:suppressAutoHyphens/>
      <w:ind w:right="-72"/>
    </w:pPr>
    <w:rPr>
      <w:spacing w:val="-4"/>
    </w:rPr>
  </w:style>
  <w:style w:type="character" w:customStyle="1" w:styleId="BodyTextChar">
    <w:name w:val="Body Text Char"/>
    <w:basedOn w:val="DefaultParagraphFont"/>
    <w:link w:val="BodyText"/>
    <w:rsid w:val="00B84F51"/>
    <w:rPr>
      <w:rFonts w:eastAsia="Times New Roman" w:cs="Times New Roman"/>
      <w:spacing w:val="-4"/>
      <w:sz w:val="24"/>
      <w:szCs w:val="20"/>
      <w:lang w:val="en-US"/>
    </w:rPr>
  </w:style>
  <w:style w:type="table" w:styleId="TableGrid">
    <w:name w:val="Table Grid"/>
    <w:basedOn w:val="TableNormal"/>
    <w:uiPriority w:val="59"/>
    <w:rsid w:val="00B84F51"/>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B84F5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84F51"/>
    <w:rPr>
      <w:rFonts w:eastAsia="Times New Roman" w:cs="Times New Roman"/>
      <w:sz w:val="24"/>
      <w:szCs w:val="20"/>
      <w:lang w:val="en-US"/>
    </w:rPr>
  </w:style>
  <w:style w:type="paragraph" w:customStyle="1" w:styleId="BodyTextlist1">
    <w:name w:val="Body Text list 1"/>
    <w:link w:val="BodyTextlist1Char"/>
    <w:uiPriority w:val="99"/>
    <w:qFormat/>
    <w:rsid w:val="00B84F51"/>
    <w:pPr>
      <w:numPr>
        <w:numId w:val="3"/>
      </w:numPr>
      <w:tabs>
        <w:tab w:val="left" w:pos="851"/>
      </w:tabs>
      <w:spacing w:before="120" w:after="120" w:line="288" w:lineRule="auto"/>
      <w:jc w:val="both"/>
    </w:pPr>
    <w:rPr>
      <w:rFonts w:eastAsia="Times New Roman" w:cs="Times New Roman"/>
      <w:sz w:val="26"/>
      <w:szCs w:val="26"/>
      <w:lang w:val="en-US"/>
    </w:rPr>
  </w:style>
  <w:style w:type="character" w:customStyle="1" w:styleId="BodyTextlist1Char">
    <w:name w:val="Body Text list 1 Char"/>
    <w:link w:val="BodyTextlist1"/>
    <w:uiPriority w:val="99"/>
    <w:rsid w:val="00B84F51"/>
    <w:rPr>
      <w:rFonts w:eastAsia="Times New Roman" w:cs="Times New Roman"/>
      <w:sz w:val="26"/>
      <w:szCs w:val="26"/>
      <w:lang w:val="en-US"/>
    </w:rPr>
  </w:style>
  <w:style w:type="character" w:customStyle="1" w:styleId="fontstyle01">
    <w:name w:val="fontstyle01"/>
    <w:basedOn w:val="DefaultParagraphFont"/>
    <w:rsid w:val="00B84F51"/>
    <w:rPr>
      <w:rFonts w:ascii="Times New Roman" w:hAnsi="Times New Roman" w:cs="Times New Roman" w:hint="default"/>
      <w:b w:val="0"/>
      <w:bCs w:val="0"/>
      <w:i w:val="0"/>
      <w:iCs w:val="0"/>
      <w:color w:val="000000"/>
      <w:sz w:val="26"/>
      <w:szCs w:val="26"/>
    </w:rPr>
  </w:style>
  <w:style w:type="paragraph" w:styleId="ListBullet5">
    <w:name w:val="List Bullet 5"/>
    <w:basedOn w:val="Normal"/>
    <w:link w:val="ListBullet5Char"/>
    <w:unhideWhenUsed/>
    <w:rsid w:val="00CB3427"/>
    <w:pPr>
      <w:numPr>
        <w:numId w:val="8"/>
      </w:numPr>
      <w:spacing w:after="200" w:line="276" w:lineRule="auto"/>
      <w:contextualSpacing/>
      <w:jc w:val="left"/>
    </w:pPr>
    <w:rPr>
      <w:rFonts w:ascii="Calibri" w:eastAsia="Calibri" w:hAnsi="Calibri"/>
      <w:sz w:val="22"/>
      <w:szCs w:val="22"/>
    </w:rPr>
  </w:style>
  <w:style w:type="character" w:customStyle="1" w:styleId="ListBullet5Char">
    <w:name w:val="List Bullet 5 Char"/>
    <w:link w:val="ListBullet5"/>
    <w:rsid w:val="00CB3427"/>
    <w:rPr>
      <w:rFonts w:ascii="Calibri" w:eastAsia="Calibri" w:hAnsi="Calibri" w:cs="Times New Roman"/>
      <w:sz w:val="22"/>
      <w:lang w:val="en-US"/>
    </w:rPr>
  </w:style>
  <w:style w:type="character" w:customStyle="1" w:styleId="StyleTimesNewRoman13pt">
    <w:name w:val="Style Times New Roman 13 pt"/>
    <w:rsid w:val="00CB3427"/>
    <w:rPr>
      <w:rFonts w:ascii="Times New Roman" w:eastAsia="Times New Roman" w:hAnsi="Times New Roman" w:cs="Verdana"/>
      <w:sz w:val="26"/>
      <w:lang w:val="en-US" w:eastAsia="en-US" w:bidi="ar-SA"/>
    </w:rPr>
  </w:style>
  <w:style w:type="character" w:customStyle="1" w:styleId="Heading3Char">
    <w:name w:val="Heading 3 Char"/>
    <w:basedOn w:val="DefaultParagraphFont"/>
    <w:link w:val="Heading3"/>
    <w:uiPriority w:val="9"/>
    <w:semiHidden/>
    <w:rsid w:val="00CB3427"/>
    <w:rPr>
      <w:rFonts w:asciiTheme="majorHAnsi" w:eastAsiaTheme="majorEastAsia" w:hAnsiTheme="majorHAnsi" w:cstheme="majorBidi"/>
      <w:color w:val="1F4D78" w:themeColor="accent1" w:themeShade="7F"/>
      <w:sz w:val="24"/>
      <w:szCs w:val="24"/>
      <w:lang w:val="en-US"/>
    </w:rPr>
  </w:style>
  <w:style w:type="numbering" w:styleId="111111">
    <w:name w:val="Outline List 2"/>
    <w:basedOn w:val="NoList"/>
    <w:rsid w:val="00CB3427"/>
    <w:pPr>
      <w:numPr>
        <w:numId w:val="10"/>
      </w:numPr>
    </w:pPr>
  </w:style>
  <w:style w:type="paragraph" w:styleId="Footer">
    <w:name w:val="footer"/>
    <w:aliases w:val="Footer-Even,Header-Footer,Footer-Even Char Char Char"/>
    <w:basedOn w:val="Normal"/>
    <w:link w:val="FooterChar"/>
    <w:qFormat/>
    <w:rsid w:val="00CB3427"/>
    <w:pPr>
      <w:tabs>
        <w:tab w:val="center" w:pos="4320"/>
        <w:tab w:val="right" w:pos="8640"/>
      </w:tabs>
      <w:jc w:val="left"/>
    </w:pPr>
    <w:rPr>
      <w:szCs w:val="24"/>
    </w:rPr>
  </w:style>
  <w:style w:type="character" w:customStyle="1" w:styleId="FooterChar">
    <w:name w:val="Footer Char"/>
    <w:aliases w:val="Footer-Even Char,Header-Footer Char,Footer-Even Char Char Char Char"/>
    <w:basedOn w:val="DefaultParagraphFont"/>
    <w:link w:val="Footer"/>
    <w:rsid w:val="00CB3427"/>
    <w:rPr>
      <w:rFonts w:eastAsia="Times New Roman" w:cs="Times New Roman"/>
      <w:sz w:val="24"/>
      <w:szCs w:val="24"/>
      <w:lang w:val="en-US"/>
    </w:rPr>
  </w:style>
  <w:style w:type="character" w:styleId="PageNumber">
    <w:name w:val="page number"/>
    <w:basedOn w:val="DefaultParagraphFont"/>
    <w:rsid w:val="00CB3427"/>
  </w:style>
  <w:style w:type="paragraph" w:styleId="Header">
    <w:name w:val="header"/>
    <w:basedOn w:val="Normal"/>
    <w:link w:val="HeaderChar"/>
    <w:uiPriority w:val="99"/>
    <w:unhideWhenUsed/>
    <w:rsid w:val="004C06D4"/>
    <w:pPr>
      <w:tabs>
        <w:tab w:val="center" w:pos="4680"/>
        <w:tab w:val="right" w:pos="9360"/>
      </w:tabs>
    </w:pPr>
  </w:style>
  <w:style w:type="character" w:customStyle="1" w:styleId="HeaderChar">
    <w:name w:val="Header Char"/>
    <w:basedOn w:val="DefaultParagraphFont"/>
    <w:link w:val="Header"/>
    <w:uiPriority w:val="99"/>
    <w:rsid w:val="004C06D4"/>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6</cp:revision>
  <dcterms:created xsi:type="dcterms:W3CDTF">2025-10-24T04:00:00Z</dcterms:created>
  <dcterms:modified xsi:type="dcterms:W3CDTF">2025-10-24T07:47:00Z</dcterms:modified>
</cp:coreProperties>
</file>