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EA3C" w14:textId="77777777" w:rsidR="00212103" w:rsidRPr="00212103" w:rsidRDefault="00212103" w:rsidP="00212103">
      <w:pPr>
        <w:pStyle w:val="FootnoteText"/>
        <w:widowControl w:val="0"/>
        <w:spacing w:before="60" w:after="60" w:line="264" w:lineRule="auto"/>
        <w:ind w:left="0" w:firstLine="709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212103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Mục </w:t>
      </w:r>
      <w:r w:rsidRPr="00212103">
        <w:rPr>
          <w:rFonts w:asciiTheme="majorHAnsi" w:hAnsiTheme="majorHAnsi" w:cstheme="majorHAnsi"/>
          <w:b/>
          <w:bCs/>
          <w:sz w:val="26"/>
          <w:szCs w:val="26"/>
          <w:lang w:val="pl-PL"/>
        </w:rPr>
        <w:t>3</w:t>
      </w:r>
      <w:r w:rsidRPr="00212103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. Tiêu </w:t>
      </w:r>
      <w:r w:rsidRPr="00212103">
        <w:rPr>
          <w:rFonts w:asciiTheme="majorHAnsi" w:hAnsiTheme="majorHAnsi" w:cstheme="majorHAnsi"/>
          <w:b/>
          <w:bCs/>
          <w:sz w:val="26"/>
          <w:szCs w:val="26"/>
          <w:lang w:val="pl-PL"/>
        </w:rPr>
        <w:t>chuẩn</w:t>
      </w:r>
      <w:r w:rsidRPr="00212103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đánh giá về kỹ thuật</w:t>
      </w:r>
    </w:p>
    <w:p w14:paraId="6F7FB585" w14:textId="77777777" w:rsidR="00212103" w:rsidRPr="00212103" w:rsidRDefault="00212103" w:rsidP="00212103">
      <w:pPr>
        <w:widowControl w:val="0"/>
        <w:spacing w:before="60" w:after="60" w:line="264" w:lineRule="auto"/>
        <w:ind w:firstLine="709"/>
        <w:rPr>
          <w:rFonts w:asciiTheme="majorHAnsi" w:hAnsiTheme="majorHAnsi" w:cstheme="majorHAnsi"/>
          <w:bCs/>
          <w:sz w:val="26"/>
          <w:szCs w:val="26"/>
          <w:lang w:val="es-ES"/>
        </w:rPr>
      </w:pPr>
      <w:proofErr w:type="spellStart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>Đánh</w:t>
      </w:r>
      <w:proofErr w:type="spellEnd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 xml:space="preserve"> </w:t>
      </w:r>
      <w:proofErr w:type="spellStart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>giá</w:t>
      </w:r>
      <w:proofErr w:type="spellEnd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 xml:space="preserve"> </w:t>
      </w:r>
      <w:proofErr w:type="spellStart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>theo</w:t>
      </w:r>
      <w:proofErr w:type="spellEnd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 xml:space="preserve"> </w:t>
      </w:r>
      <w:proofErr w:type="spellStart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>phương</w:t>
      </w:r>
      <w:proofErr w:type="spellEnd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 xml:space="preserve"> </w:t>
      </w:r>
      <w:proofErr w:type="spellStart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>pháp</w:t>
      </w:r>
      <w:proofErr w:type="spellEnd"/>
      <w:r w:rsidRPr="00212103" w:rsidDel="00BE4476">
        <w:rPr>
          <w:rFonts w:asciiTheme="majorHAnsi" w:hAnsiTheme="majorHAnsi" w:cstheme="majorHAnsi"/>
          <w:bCs/>
          <w:iCs/>
          <w:sz w:val="26"/>
          <w:szCs w:val="26"/>
          <w:lang w:val="es-ES"/>
        </w:rPr>
        <w:t xml:space="preserve"> </w:t>
      </w:r>
      <w:proofErr w:type="spellStart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>đạt</w:t>
      </w:r>
      <w:proofErr w:type="spellEnd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>/</w:t>
      </w:r>
      <w:proofErr w:type="spellStart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>không</w:t>
      </w:r>
      <w:proofErr w:type="spellEnd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 xml:space="preserve"> </w:t>
      </w:r>
      <w:proofErr w:type="spellStart"/>
      <w:r w:rsidRPr="00212103">
        <w:rPr>
          <w:rFonts w:asciiTheme="majorHAnsi" w:hAnsiTheme="majorHAnsi" w:cstheme="majorHAnsi"/>
          <w:bCs/>
          <w:iCs/>
          <w:sz w:val="26"/>
          <w:szCs w:val="26"/>
          <w:lang w:val="es-ES"/>
        </w:rPr>
        <w:t>đạt</w:t>
      </w:r>
      <w:proofErr w:type="spellEnd"/>
      <w:r w:rsidRPr="00212103">
        <w:rPr>
          <w:rFonts w:asciiTheme="majorHAnsi" w:hAnsiTheme="majorHAnsi" w:cstheme="majorHAnsi"/>
          <w:bCs/>
          <w:sz w:val="26"/>
          <w:szCs w:val="26"/>
          <w:lang w:val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205"/>
        <w:gridCol w:w="3287"/>
        <w:gridCol w:w="3185"/>
      </w:tblGrid>
      <w:tr w:rsidR="00212103" w:rsidRPr="00212103" w14:paraId="79CC2C00" w14:textId="77777777" w:rsidTr="00D124D0">
        <w:trPr>
          <w:cantSplit/>
          <w:trHeight w:val="454"/>
        </w:trPr>
        <w:tc>
          <w:tcPr>
            <w:tcW w:w="360" w:type="pct"/>
            <w:vAlign w:val="center"/>
          </w:tcPr>
          <w:p w14:paraId="1163923A" w14:textId="77777777" w:rsidR="00212103" w:rsidRPr="00212103" w:rsidRDefault="00212103" w:rsidP="00D124D0">
            <w:pPr>
              <w:widowControl w:val="0"/>
              <w:spacing w:line="22" w:lineRule="atLeast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12103">
              <w:rPr>
                <w:rFonts w:eastAsia="Calibri"/>
                <w:b/>
                <w:sz w:val="26"/>
                <w:szCs w:val="26"/>
              </w:rPr>
              <w:t>TT</w:t>
            </w:r>
          </w:p>
        </w:tc>
        <w:tc>
          <w:tcPr>
            <w:tcW w:w="1179" w:type="pct"/>
            <w:vAlign w:val="center"/>
          </w:tcPr>
          <w:p w14:paraId="33ED658E" w14:textId="77777777" w:rsidR="00212103" w:rsidRPr="00212103" w:rsidRDefault="00212103" w:rsidP="00D124D0">
            <w:pPr>
              <w:widowControl w:val="0"/>
              <w:spacing w:line="22" w:lineRule="atLeast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212103">
              <w:rPr>
                <w:rFonts w:eastAsia="Calibri"/>
                <w:b/>
                <w:sz w:val="26"/>
                <w:szCs w:val="26"/>
              </w:rPr>
              <w:t>Nội</w:t>
            </w:r>
            <w:proofErr w:type="spellEnd"/>
            <w:r w:rsidRPr="00212103">
              <w:rPr>
                <w:rFonts w:eastAsia="Calibri"/>
                <w:b/>
                <w:sz w:val="26"/>
                <w:szCs w:val="26"/>
              </w:rPr>
              <w:t xml:space="preserve"> dung </w:t>
            </w:r>
            <w:proofErr w:type="spellStart"/>
            <w:r w:rsidRPr="00212103">
              <w:rPr>
                <w:rFonts w:eastAsia="Calibri"/>
                <w:b/>
                <w:sz w:val="26"/>
                <w:szCs w:val="26"/>
              </w:rPr>
              <w:t>yêu</w:t>
            </w:r>
            <w:proofErr w:type="spellEnd"/>
            <w:r w:rsidRPr="00212103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758" w:type="pct"/>
            <w:vAlign w:val="center"/>
          </w:tcPr>
          <w:p w14:paraId="355DD20D" w14:textId="77777777" w:rsidR="00212103" w:rsidRPr="00212103" w:rsidRDefault="00212103" w:rsidP="00D124D0">
            <w:pPr>
              <w:widowControl w:val="0"/>
              <w:spacing w:line="22" w:lineRule="atLeast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12103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703" w:type="pct"/>
            <w:vAlign w:val="center"/>
          </w:tcPr>
          <w:p w14:paraId="6B5011EA" w14:textId="77777777" w:rsidR="00212103" w:rsidRPr="00212103" w:rsidRDefault="00212103" w:rsidP="00D124D0">
            <w:pPr>
              <w:widowControl w:val="0"/>
              <w:spacing w:line="22" w:lineRule="atLeast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212103">
              <w:rPr>
                <w:rFonts w:eastAsia="Calibri"/>
                <w:b/>
                <w:sz w:val="26"/>
                <w:szCs w:val="26"/>
              </w:rPr>
              <w:t>Không</w:t>
            </w:r>
            <w:proofErr w:type="spellEnd"/>
            <w:r w:rsidRPr="00212103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212103" w:rsidRPr="00212103" w14:paraId="66100302" w14:textId="77777777" w:rsidTr="00D124D0">
        <w:trPr>
          <w:cantSplit/>
        </w:trPr>
        <w:tc>
          <w:tcPr>
            <w:tcW w:w="360" w:type="pct"/>
          </w:tcPr>
          <w:p w14:paraId="28C0EEB8" w14:textId="77777777" w:rsidR="00212103" w:rsidRPr="00212103" w:rsidRDefault="00212103" w:rsidP="00D124D0">
            <w:pPr>
              <w:widowControl w:val="0"/>
              <w:spacing w:line="340" w:lineRule="exact"/>
              <w:jc w:val="center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79" w:type="pct"/>
          </w:tcPr>
          <w:p w14:paraId="0C92BFEB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bCs/>
                <w:sz w:val="26"/>
                <w:szCs w:val="26"/>
                <w:lang w:val="pl-PL"/>
              </w:rPr>
              <w:t>Yêu cầu về kỹ thuật của hàng hóa chào thầu</w:t>
            </w:r>
          </w:p>
        </w:tc>
        <w:tc>
          <w:tcPr>
            <w:tcW w:w="1758" w:type="pct"/>
          </w:tcPr>
          <w:p w14:paraId="74D96140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z w:val="26"/>
                <w:szCs w:val="26"/>
                <w:lang w:val="pl-PL"/>
              </w:rPr>
            </w:pPr>
            <w:r w:rsidRPr="00212103">
              <w:rPr>
                <w:rFonts w:eastAsia="Calibri"/>
                <w:sz w:val="26"/>
                <w:szCs w:val="26"/>
                <w:lang w:val="pl-PL"/>
              </w:rPr>
              <w:t xml:space="preserve">Nhà thầu có danh mục hàng hóa, vật tư cung cấp. </w:t>
            </w:r>
            <w:r w:rsidRPr="00212103">
              <w:rPr>
                <w:rFonts w:eastAsia="Calibri"/>
                <w:bCs/>
                <w:sz w:val="26"/>
                <w:szCs w:val="26"/>
                <w:lang w:val="pl-PL"/>
              </w:rPr>
              <w:t>Yêu cầu về kỹ thuật của hàng hóa chào thầu</w:t>
            </w:r>
            <w:r w:rsidRPr="00212103">
              <w:rPr>
                <w:rFonts w:eastAsia="Calibri"/>
                <w:sz w:val="26"/>
                <w:szCs w:val="26"/>
                <w:lang w:val="pl-PL"/>
              </w:rPr>
              <w:t xml:space="preserve"> Đáp ứng theo yêu cầu kỹ thuật tại Chương V của HSMT</w:t>
            </w:r>
          </w:p>
        </w:tc>
        <w:tc>
          <w:tcPr>
            <w:tcW w:w="1703" w:type="pct"/>
          </w:tcPr>
          <w:p w14:paraId="5274CE02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z w:val="26"/>
                <w:szCs w:val="26"/>
                <w:lang w:val="pl-PL"/>
              </w:rPr>
            </w:pPr>
            <w:r w:rsidRPr="00212103">
              <w:rPr>
                <w:rFonts w:eastAsia="Calibri"/>
                <w:sz w:val="26"/>
                <w:szCs w:val="26"/>
                <w:lang w:val="pl-PL"/>
              </w:rPr>
              <w:t>Nhà thầu không có danh mục hàng hóa, vật tư cung cấp hoặc có 1 hàng hóa, vật tư không đáp ứng yêu cầu kỹ thuật tại Chương V của HSMT</w:t>
            </w:r>
          </w:p>
        </w:tc>
      </w:tr>
      <w:tr w:rsidR="00212103" w:rsidRPr="00212103" w14:paraId="658BBD32" w14:textId="77777777" w:rsidTr="00D124D0">
        <w:trPr>
          <w:cantSplit/>
        </w:trPr>
        <w:tc>
          <w:tcPr>
            <w:tcW w:w="360" w:type="pct"/>
          </w:tcPr>
          <w:p w14:paraId="0F504D3B" w14:textId="77777777" w:rsidR="00212103" w:rsidRPr="00212103" w:rsidRDefault="00212103" w:rsidP="00D124D0">
            <w:pPr>
              <w:widowControl w:val="0"/>
              <w:spacing w:line="340" w:lineRule="exact"/>
              <w:jc w:val="center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179" w:type="pct"/>
          </w:tcPr>
          <w:p w14:paraId="16AF7A52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bCs/>
                <w:sz w:val="26"/>
                <w:szCs w:val="26"/>
                <w:lang w:val="pl-PL"/>
              </w:rPr>
            </w:pPr>
            <w:r w:rsidRPr="00212103">
              <w:rPr>
                <w:rFonts w:eastAsia="Calibri"/>
                <w:bCs/>
                <w:sz w:val="26"/>
                <w:szCs w:val="26"/>
                <w:lang w:val="pl-PL"/>
              </w:rPr>
              <w:t>Tính hợp lý và hiệu quả kinh tế của các giải pháp kỹ thuật, biện pháp tổ chức cung cấp, lắp đặt hàng hóa</w:t>
            </w:r>
          </w:p>
        </w:tc>
        <w:tc>
          <w:tcPr>
            <w:tcW w:w="1758" w:type="pct"/>
          </w:tcPr>
          <w:p w14:paraId="64F463DE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z w:val="26"/>
                <w:szCs w:val="26"/>
                <w:lang w:val="pl-PL"/>
              </w:rPr>
            </w:pPr>
            <w:r w:rsidRPr="00212103">
              <w:rPr>
                <w:rFonts w:eastAsia="Calibri"/>
                <w:sz w:val="26"/>
                <w:szCs w:val="26"/>
                <w:lang w:val="pl-PL"/>
              </w:rPr>
              <w:t>Có các giải pháp kỹ thuật, biện pháp tổ chức cung cấp, lắp đặt hàng hóa hợp lý và hiệu quả kinh tế.</w:t>
            </w:r>
          </w:p>
        </w:tc>
        <w:tc>
          <w:tcPr>
            <w:tcW w:w="1703" w:type="pct"/>
          </w:tcPr>
          <w:p w14:paraId="0EA831D0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z w:val="26"/>
                <w:szCs w:val="26"/>
                <w:lang w:val="pl-PL"/>
              </w:rPr>
            </w:pPr>
            <w:r w:rsidRPr="00212103">
              <w:rPr>
                <w:rFonts w:eastAsia="Calibri"/>
                <w:sz w:val="26"/>
                <w:szCs w:val="26"/>
                <w:lang w:val="pl-PL"/>
              </w:rPr>
              <w:t>Không có các giải pháp kỹ thuật, biện pháp tổ chức cung cấp, lắp đặt hàng hóa hợp lý và hiệu quả kinh tế.</w:t>
            </w:r>
          </w:p>
        </w:tc>
      </w:tr>
      <w:tr w:rsidR="00212103" w:rsidRPr="00212103" w14:paraId="2E476BD7" w14:textId="77777777" w:rsidTr="00D124D0">
        <w:trPr>
          <w:cantSplit/>
        </w:trPr>
        <w:tc>
          <w:tcPr>
            <w:tcW w:w="360" w:type="pct"/>
          </w:tcPr>
          <w:p w14:paraId="3CE60FB1" w14:textId="77777777" w:rsidR="00212103" w:rsidRPr="00212103" w:rsidRDefault="00212103" w:rsidP="00D124D0">
            <w:pPr>
              <w:widowControl w:val="0"/>
              <w:spacing w:line="340" w:lineRule="exact"/>
              <w:jc w:val="center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179" w:type="pct"/>
          </w:tcPr>
          <w:p w14:paraId="60F4BBB0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  <w:lang w:val="vi-VN"/>
              </w:rPr>
              <w:t>Khả năng thích ứng về địa lý</w:t>
            </w:r>
            <w:r w:rsidRPr="00212103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môi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trường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758" w:type="pct"/>
          </w:tcPr>
          <w:p w14:paraId="27D1263B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z w:val="26"/>
                <w:szCs w:val="26"/>
              </w:rPr>
            </w:pPr>
            <w:proofErr w:type="spellStart"/>
            <w:r w:rsidRPr="00212103">
              <w:rPr>
                <w:rFonts w:eastAsia="Calibri"/>
                <w:sz w:val="26"/>
                <w:szCs w:val="26"/>
              </w:rPr>
              <w:t>Hàng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hóa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cung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cấp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hoàn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toàn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thích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ứng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về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địa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lý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thầu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phải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Có</w:t>
            </w:r>
            <w:proofErr w:type="spellEnd"/>
            <w:r w:rsidRPr="00212103">
              <w:rPr>
                <w:sz w:val="26"/>
                <w:szCs w:val="26"/>
              </w:rPr>
              <w:t xml:space="preserve"> cam </w:t>
            </w:r>
            <w:proofErr w:type="spellStart"/>
            <w:r w:rsidRPr="00212103">
              <w:rPr>
                <w:sz w:val="26"/>
                <w:szCs w:val="26"/>
              </w:rPr>
              <w:t>kết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về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nội</w:t>
            </w:r>
            <w:proofErr w:type="spellEnd"/>
            <w:r w:rsidRPr="00212103">
              <w:rPr>
                <w:sz w:val="26"/>
                <w:szCs w:val="26"/>
              </w:rPr>
              <w:t xml:space="preserve"> dung </w:t>
            </w:r>
            <w:proofErr w:type="spellStart"/>
            <w:r w:rsidRPr="00212103">
              <w:rPr>
                <w:sz w:val="26"/>
                <w:szCs w:val="26"/>
              </w:rPr>
              <w:t>này</w:t>
            </w:r>
            <w:proofErr w:type="spellEnd"/>
          </w:p>
        </w:tc>
        <w:tc>
          <w:tcPr>
            <w:tcW w:w="1703" w:type="pct"/>
          </w:tcPr>
          <w:p w14:paraId="1DB4705D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pacing w:val="-2"/>
                <w:sz w:val="26"/>
                <w:szCs w:val="26"/>
              </w:rPr>
            </w:pPr>
            <w:proofErr w:type="spellStart"/>
            <w:r w:rsidRPr="00212103">
              <w:rPr>
                <w:rFonts w:eastAsia="Calibri"/>
                <w:sz w:val="26"/>
                <w:szCs w:val="26"/>
              </w:rPr>
              <w:t>Hàng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hóa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cung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cấp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thích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ứng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về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địa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lý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hoặc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thầu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cam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kết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về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nội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dung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này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r w:rsidRPr="00212103">
              <w:rPr>
                <w:rFonts w:eastAsia="Calibri"/>
                <w:sz w:val="26"/>
                <w:szCs w:val="26"/>
                <w:lang w:val="pl-PL"/>
              </w:rPr>
              <w:t>sau khi bổ sung, làm rõ</w:t>
            </w:r>
            <w:r w:rsidRPr="00212103">
              <w:rPr>
                <w:rFonts w:eastAsia="Calibri"/>
                <w:spacing w:val="-2"/>
                <w:sz w:val="26"/>
                <w:szCs w:val="26"/>
              </w:rPr>
              <w:t>.</w:t>
            </w:r>
          </w:p>
        </w:tc>
      </w:tr>
      <w:tr w:rsidR="00212103" w:rsidRPr="00212103" w14:paraId="7418F76B" w14:textId="77777777" w:rsidTr="00D124D0">
        <w:trPr>
          <w:cantSplit/>
        </w:trPr>
        <w:tc>
          <w:tcPr>
            <w:tcW w:w="360" w:type="pct"/>
          </w:tcPr>
          <w:p w14:paraId="0500D899" w14:textId="77777777" w:rsidR="00212103" w:rsidRPr="00212103" w:rsidRDefault="00212103" w:rsidP="00D124D0">
            <w:pPr>
              <w:widowControl w:val="0"/>
              <w:spacing w:line="340" w:lineRule="exact"/>
              <w:jc w:val="center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179" w:type="pct"/>
          </w:tcPr>
          <w:p w14:paraId="0C820F9F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t xml:space="preserve">Tiến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độ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cung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cấp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hàng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758" w:type="pct"/>
          </w:tcPr>
          <w:p w14:paraId="749DF66A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sym w:font="Symbol" w:char="F0A3"/>
            </w:r>
            <w:r w:rsidRPr="00212103">
              <w:rPr>
                <w:rFonts w:eastAsia="Calibri"/>
                <w:sz w:val="26"/>
                <w:szCs w:val="26"/>
              </w:rPr>
              <w:t xml:space="preserve"> 45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ngày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kể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từ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ngày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hợp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hiệu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1703" w:type="pct"/>
          </w:tcPr>
          <w:p w14:paraId="6B032E6D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t xml:space="preserve">&gt; 45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ngày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kể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từ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ngày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hợp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hiệu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lực</w:t>
            </w:r>
            <w:proofErr w:type="spellEnd"/>
          </w:p>
        </w:tc>
      </w:tr>
      <w:tr w:rsidR="00212103" w:rsidRPr="00212103" w14:paraId="5B18E8D9" w14:textId="77777777" w:rsidTr="00D124D0">
        <w:trPr>
          <w:cantSplit/>
        </w:trPr>
        <w:tc>
          <w:tcPr>
            <w:tcW w:w="360" w:type="pct"/>
          </w:tcPr>
          <w:p w14:paraId="7CD8AC65" w14:textId="77777777" w:rsidR="00212103" w:rsidRPr="00212103" w:rsidRDefault="00212103" w:rsidP="00D124D0">
            <w:pPr>
              <w:widowControl w:val="0"/>
              <w:spacing w:line="340" w:lineRule="exact"/>
              <w:jc w:val="center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179" w:type="pct"/>
          </w:tcPr>
          <w:p w14:paraId="1F5A8785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t xml:space="preserve">Uy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tín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thầu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pacing w:val="2"/>
                <w:sz w:val="26"/>
                <w:szCs w:val="26"/>
              </w:rPr>
              <w:t>thông</w:t>
            </w:r>
            <w:proofErr w:type="spellEnd"/>
            <w:r w:rsidRPr="00212103">
              <w:rPr>
                <w:rFonts w:eastAsia="Calibri"/>
                <w:spacing w:val="2"/>
                <w:sz w:val="26"/>
                <w:szCs w:val="26"/>
              </w:rPr>
              <w:t xml:space="preserve"> qua </w:t>
            </w:r>
            <w:proofErr w:type="spellStart"/>
            <w:r w:rsidRPr="00212103">
              <w:rPr>
                <w:rFonts w:eastAsia="Calibri"/>
                <w:spacing w:val="2"/>
                <w:sz w:val="26"/>
                <w:szCs w:val="26"/>
              </w:rPr>
              <w:t>việc</w:t>
            </w:r>
            <w:proofErr w:type="spellEnd"/>
            <w:r w:rsidRPr="00212103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pacing w:val="2"/>
                <w:sz w:val="26"/>
                <w:szCs w:val="26"/>
              </w:rPr>
              <w:t>thực</w:t>
            </w:r>
            <w:proofErr w:type="spellEnd"/>
            <w:r w:rsidRPr="00212103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pacing w:val="2"/>
                <w:sz w:val="26"/>
                <w:szCs w:val="26"/>
              </w:rPr>
              <w:t>hiện</w:t>
            </w:r>
            <w:proofErr w:type="spellEnd"/>
            <w:r w:rsidRPr="00212103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pacing w:val="2"/>
                <w:sz w:val="26"/>
                <w:szCs w:val="26"/>
              </w:rPr>
              <w:t>các</w:t>
            </w:r>
            <w:proofErr w:type="spellEnd"/>
            <w:r w:rsidRPr="00212103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pacing w:val="2"/>
                <w:sz w:val="26"/>
                <w:szCs w:val="26"/>
              </w:rPr>
              <w:t>hợp</w:t>
            </w:r>
            <w:proofErr w:type="spellEnd"/>
            <w:r w:rsidRPr="00212103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pacing w:val="2"/>
                <w:sz w:val="26"/>
                <w:szCs w:val="26"/>
              </w:rPr>
              <w:t>đồng</w:t>
            </w:r>
            <w:proofErr w:type="spellEnd"/>
            <w:r w:rsidRPr="00212103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pacing w:val="2"/>
                <w:sz w:val="26"/>
                <w:szCs w:val="26"/>
              </w:rPr>
              <w:t>tương</w:t>
            </w:r>
            <w:proofErr w:type="spellEnd"/>
            <w:r w:rsidRPr="00212103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pacing w:val="2"/>
                <w:sz w:val="26"/>
                <w:szCs w:val="26"/>
              </w:rPr>
              <w:t>tự</w:t>
            </w:r>
            <w:proofErr w:type="spellEnd"/>
            <w:r w:rsidRPr="00212103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pacing w:val="2"/>
                <w:sz w:val="26"/>
                <w:szCs w:val="26"/>
              </w:rPr>
              <w:t>trước</w:t>
            </w:r>
            <w:proofErr w:type="spellEnd"/>
            <w:r w:rsidRPr="00212103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pacing w:val="2"/>
                <w:sz w:val="26"/>
                <w:szCs w:val="26"/>
              </w:rPr>
              <w:t>đó</w:t>
            </w:r>
            <w:proofErr w:type="spellEnd"/>
          </w:p>
        </w:tc>
        <w:tc>
          <w:tcPr>
            <w:tcW w:w="1758" w:type="pct"/>
          </w:tcPr>
          <w:p w14:paraId="6F0DB149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z w:val="26"/>
                <w:szCs w:val="26"/>
              </w:rPr>
            </w:pPr>
            <w:proofErr w:type="spellStart"/>
            <w:r w:rsidRPr="00212103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cam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kết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vi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phạm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về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Uy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tín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thầu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việc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tham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dự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thầu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;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thực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hiện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hợp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tương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tự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trước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đó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lịch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sử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hoàn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thành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hợp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do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lỗi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thầu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trong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thời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gian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03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năm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gần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đây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(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từ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năm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2022)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tính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đến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thời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điểm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đóng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thầu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703" w:type="pct"/>
          </w:tcPr>
          <w:p w14:paraId="7B5731A8" w14:textId="77777777" w:rsidR="00212103" w:rsidRPr="00212103" w:rsidRDefault="00212103" w:rsidP="00D124D0">
            <w:pPr>
              <w:widowControl w:val="0"/>
              <w:spacing w:line="340" w:lineRule="exact"/>
              <w:rPr>
                <w:rFonts w:eastAsia="Calibri"/>
                <w:sz w:val="26"/>
                <w:szCs w:val="26"/>
              </w:rPr>
            </w:pPr>
            <w:proofErr w:type="spellStart"/>
            <w:r w:rsidRPr="00212103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hoặc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nhưng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đáp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ứng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yêu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cầu</w:t>
            </w:r>
            <w:proofErr w:type="spellEnd"/>
          </w:p>
        </w:tc>
      </w:tr>
      <w:tr w:rsidR="00212103" w:rsidRPr="00212103" w14:paraId="45FBE3A0" w14:textId="77777777" w:rsidTr="00D124D0">
        <w:trPr>
          <w:cantSplit/>
        </w:trPr>
        <w:tc>
          <w:tcPr>
            <w:tcW w:w="360" w:type="pct"/>
          </w:tcPr>
          <w:p w14:paraId="65A9BF8C" w14:textId="77777777" w:rsidR="00212103" w:rsidRPr="00212103" w:rsidRDefault="00212103" w:rsidP="00D124D0">
            <w:pPr>
              <w:widowControl w:val="0"/>
              <w:spacing w:before="120" w:after="120" w:line="340" w:lineRule="exact"/>
              <w:jc w:val="center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lastRenderedPageBreak/>
              <w:t>6</w:t>
            </w:r>
          </w:p>
        </w:tc>
        <w:tc>
          <w:tcPr>
            <w:tcW w:w="1179" w:type="pct"/>
          </w:tcPr>
          <w:p w14:paraId="3C263B38" w14:textId="77777777" w:rsidR="00212103" w:rsidRPr="00212103" w:rsidRDefault="00212103" w:rsidP="00D124D0">
            <w:pPr>
              <w:widowControl w:val="0"/>
              <w:spacing w:before="120" w:after="120" w:line="340" w:lineRule="exact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t xml:space="preserve">Catalogue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hoặc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tài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liệu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kỹ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thuật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hàng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758" w:type="pct"/>
          </w:tcPr>
          <w:p w14:paraId="21BAB99F" w14:textId="77777777" w:rsidR="00212103" w:rsidRPr="00212103" w:rsidRDefault="00212103" w:rsidP="00D124D0">
            <w:pPr>
              <w:widowControl w:val="0"/>
              <w:spacing w:before="100" w:after="100" w:line="340" w:lineRule="exact"/>
              <w:rPr>
                <w:rFonts w:eastAsia="Calibri"/>
                <w:sz w:val="26"/>
                <w:szCs w:val="26"/>
              </w:rPr>
            </w:pPr>
            <w:proofErr w:type="spellStart"/>
            <w:r w:rsidRPr="00212103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thầu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catalogue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hoặc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tài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liệu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kỹ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thuật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hàng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12103">
              <w:rPr>
                <w:rFonts w:eastAsia="Calibri"/>
                <w:sz w:val="26"/>
                <w:szCs w:val="26"/>
              </w:rPr>
              <w:t>hóa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chính</w:t>
            </w:r>
            <w:proofErr w:type="spellEnd"/>
            <w:proofErr w:type="gramEnd"/>
            <w:r w:rsidRPr="00212103">
              <w:rPr>
                <w:rFonts w:eastAsia="Calibri"/>
                <w:sz w:val="26"/>
                <w:szCs w:val="26"/>
              </w:rPr>
              <w:t xml:space="preserve"> (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trừ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vật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tư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phụ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kiện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cáp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703" w:type="pct"/>
          </w:tcPr>
          <w:p w14:paraId="136FE048" w14:textId="77777777" w:rsidR="00212103" w:rsidRPr="00212103" w:rsidRDefault="00212103" w:rsidP="00D124D0">
            <w:pPr>
              <w:widowControl w:val="0"/>
              <w:spacing w:before="100" w:after="100" w:line="340" w:lineRule="exact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  <w:lang w:val="pl-PL"/>
              </w:rPr>
              <w:t>Nhà thầu không có Catalogue</w:t>
            </w:r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hoặc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tài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liệu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kỹ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thuật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vật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tư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r w:rsidRPr="00212103">
              <w:rPr>
                <w:rFonts w:eastAsia="Calibri"/>
                <w:sz w:val="26"/>
                <w:szCs w:val="26"/>
                <w:lang w:val="pl-PL"/>
              </w:rPr>
              <w:t>sau khi bổ sung, làm rõ</w:t>
            </w:r>
          </w:p>
        </w:tc>
      </w:tr>
      <w:tr w:rsidR="00212103" w:rsidRPr="00212103" w14:paraId="72A26E62" w14:textId="77777777" w:rsidTr="00D124D0">
        <w:trPr>
          <w:cantSplit/>
        </w:trPr>
        <w:tc>
          <w:tcPr>
            <w:tcW w:w="360" w:type="pct"/>
          </w:tcPr>
          <w:p w14:paraId="6B58572D" w14:textId="77777777" w:rsidR="00212103" w:rsidRPr="00212103" w:rsidRDefault="00212103" w:rsidP="00D124D0">
            <w:pPr>
              <w:widowControl w:val="0"/>
              <w:spacing w:before="120" w:after="120" w:line="340" w:lineRule="exact"/>
              <w:jc w:val="center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179" w:type="pct"/>
          </w:tcPr>
          <w:p w14:paraId="37154253" w14:textId="77777777" w:rsidR="00212103" w:rsidRPr="00212103" w:rsidRDefault="00212103" w:rsidP="00D124D0">
            <w:pPr>
              <w:widowControl w:val="0"/>
              <w:spacing w:before="120" w:after="120" w:line="340" w:lineRule="exact"/>
              <w:rPr>
                <w:rFonts w:eastAsia="Calibri"/>
                <w:sz w:val="26"/>
                <w:szCs w:val="26"/>
              </w:rPr>
            </w:pPr>
            <w:proofErr w:type="spellStart"/>
            <w:r w:rsidRPr="00212103">
              <w:rPr>
                <w:rFonts w:eastAsia="Calibri"/>
                <w:sz w:val="26"/>
                <w:szCs w:val="26"/>
              </w:rPr>
              <w:t>Mức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độ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đáp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ứng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yêu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cầu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về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bảo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hành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bảo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trì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: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thầu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phải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trình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bày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kế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hoạch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cung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cấp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dịch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vụ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bảo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hành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bảo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1758" w:type="pct"/>
          </w:tcPr>
          <w:p w14:paraId="459E300F" w14:textId="77777777" w:rsidR="00212103" w:rsidRPr="00212103" w:rsidRDefault="00212103" w:rsidP="00D124D0">
            <w:pPr>
              <w:widowControl w:val="0"/>
              <w:spacing w:before="100" w:after="100" w:line="340" w:lineRule="exact"/>
              <w:rPr>
                <w:rFonts w:eastAsia="Calibri"/>
                <w:sz w:val="26"/>
                <w:szCs w:val="26"/>
              </w:rPr>
            </w:pPr>
            <w:proofErr w:type="spellStart"/>
            <w:r w:rsidRPr="00212103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cam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kết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thời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gian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bảo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hành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lớn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hơn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hoặc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bằng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12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tháng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Đối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với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thiết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bị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bảo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hành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theo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quy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định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sản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xuất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theo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quy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định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sản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xuất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tuy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nhiên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nhỏ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hơn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12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tháng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703" w:type="pct"/>
          </w:tcPr>
          <w:p w14:paraId="60A69B58" w14:textId="77777777" w:rsidR="00212103" w:rsidRPr="00212103" w:rsidRDefault="00212103" w:rsidP="00D124D0">
            <w:pPr>
              <w:widowControl w:val="0"/>
              <w:spacing w:before="100" w:after="100" w:line="340" w:lineRule="exact"/>
              <w:rPr>
                <w:rFonts w:eastAsia="Calibri"/>
                <w:sz w:val="26"/>
                <w:szCs w:val="26"/>
                <w:lang w:val="pl-PL"/>
              </w:rPr>
            </w:pPr>
            <w:proofErr w:type="spellStart"/>
            <w:r w:rsidRPr="00212103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cam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kết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thời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gian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bảo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hành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lớn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hơn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hoặc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bằng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12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tháng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Đối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với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thiết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bị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bảo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hành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theo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quy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định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sản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xuất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theo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quy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định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sản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xuất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tuy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nhiên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không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nhỏ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hơn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12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tháng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212103" w:rsidRPr="0061206A" w14:paraId="61FABFAE" w14:textId="77777777" w:rsidTr="00D124D0">
        <w:trPr>
          <w:cantSplit/>
        </w:trPr>
        <w:tc>
          <w:tcPr>
            <w:tcW w:w="360" w:type="pct"/>
          </w:tcPr>
          <w:p w14:paraId="5C71A9A0" w14:textId="77777777" w:rsidR="00212103" w:rsidRPr="00212103" w:rsidRDefault="00212103" w:rsidP="00D124D0">
            <w:pPr>
              <w:widowControl w:val="0"/>
              <w:spacing w:before="120" w:after="120" w:line="340" w:lineRule="exact"/>
              <w:jc w:val="center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179" w:type="pct"/>
          </w:tcPr>
          <w:p w14:paraId="0F853B11" w14:textId="77777777" w:rsidR="00212103" w:rsidRPr="00212103" w:rsidRDefault="00212103" w:rsidP="00D124D0">
            <w:pPr>
              <w:widowControl w:val="0"/>
              <w:spacing w:before="120" w:after="120" w:line="340" w:lineRule="exact"/>
              <w:rPr>
                <w:rFonts w:eastAsia="Calibri"/>
                <w:sz w:val="26"/>
                <w:szCs w:val="26"/>
              </w:rPr>
            </w:pPr>
            <w:r w:rsidRPr="00212103">
              <w:rPr>
                <w:rFonts w:eastAsia="Calibri"/>
                <w:sz w:val="26"/>
                <w:szCs w:val="26"/>
              </w:rPr>
              <w:t xml:space="preserve">Các cam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kết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tài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liệu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liên</w:t>
            </w:r>
            <w:proofErr w:type="spellEnd"/>
            <w:r w:rsidRPr="0021210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rFonts w:eastAsia="Calibri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758" w:type="pct"/>
          </w:tcPr>
          <w:p w14:paraId="0537A9C9" w14:textId="77777777" w:rsidR="00212103" w:rsidRPr="00212103" w:rsidRDefault="00212103" w:rsidP="00D124D0">
            <w:pPr>
              <w:widowControl w:val="0"/>
              <w:spacing w:before="100" w:after="100" w:line="340" w:lineRule="exact"/>
              <w:rPr>
                <w:sz w:val="26"/>
                <w:szCs w:val="26"/>
              </w:rPr>
            </w:pPr>
            <w:r w:rsidRPr="00212103">
              <w:rPr>
                <w:sz w:val="26"/>
                <w:szCs w:val="26"/>
              </w:rPr>
              <w:t xml:space="preserve">Cam </w:t>
            </w:r>
            <w:proofErr w:type="spellStart"/>
            <w:r w:rsidRPr="00212103">
              <w:rPr>
                <w:sz w:val="26"/>
                <w:szCs w:val="26"/>
              </w:rPr>
              <w:t>kết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hàng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hóa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phải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mới</w:t>
            </w:r>
            <w:proofErr w:type="spellEnd"/>
            <w:r w:rsidRPr="00212103">
              <w:rPr>
                <w:sz w:val="26"/>
                <w:szCs w:val="26"/>
              </w:rPr>
              <w:t xml:space="preserve"> 100%, </w:t>
            </w:r>
            <w:proofErr w:type="spellStart"/>
            <w:r w:rsidRPr="00212103">
              <w:rPr>
                <w:sz w:val="26"/>
                <w:szCs w:val="26"/>
              </w:rPr>
              <w:t>chưa</w:t>
            </w:r>
            <w:proofErr w:type="spellEnd"/>
            <w:r w:rsidRPr="00212103">
              <w:rPr>
                <w:sz w:val="26"/>
                <w:szCs w:val="26"/>
              </w:rPr>
              <w:t xml:space="preserve"> qua </w:t>
            </w:r>
            <w:proofErr w:type="spellStart"/>
            <w:r w:rsidRPr="00212103">
              <w:rPr>
                <w:sz w:val="26"/>
                <w:szCs w:val="26"/>
              </w:rPr>
              <w:t>sử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dụng</w:t>
            </w:r>
            <w:proofErr w:type="spellEnd"/>
            <w:r w:rsidRPr="00212103">
              <w:rPr>
                <w:sz w:val="26"/>
                <w:szCs w:val="26"/>
              </w:rPr>
              <w:t xml:space="preserve">, </w:t>
            </w:r>
            <w:proofErr w:type="spellStart"/>
            <w:r w:rsidRPr="00212103">
              <w:rPr>
                <w:sz w:val="26"/>
                <w:szCs w:val="26"/>
              </w:rPr>
              <w:t>có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nguồn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gốc</w:t>
            </w:r>
            <w:proofErr w:type="spellEnd"/>
            <w:r w:rsidRPr="00212103">
              <w:rPr>
                <w:sz w:val="26"/>
                <w:szCs w:val="26"/>
              </w:rPr>
              <w:t xml:space="preserve">, </w:t>
            </w:r>
            <w:proofErr w:type="spellStart"/>
            <w:r w:rsidRPr="00212103">
              <w:rPr>
                <w:sz w:val="26"/>
                <w:szCs w:val="26"/>
              </w:rPr>
              <w:t>xuất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xứ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rõ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ràng</w:t>
            </w:r>
            <w:proofErr w:type="spellEnd"/>
            <w:r w:rsidRPr="00212103">
              <w:rPr>
                <w:sz w:val="26"/>
                <w:szCs w:val="26"/>
              </w:rPr>
              <w:t>.</w:t>
            </w:r>
          </w:p>
          <w:p w14:paraId="437936BF" w14:textId="77777777" w:rsidR="00212103" w:rsidRPr="00212103" w:rsidRDefault="00212103" w:rsidP="00D124D0">
            <w:pPr>
              <w:widowControl w:val="0"/>
              <w:spacing w:before="100" w:after="100" w:line="340" w:lineRule="exact"/>
              <w:rPr>
                <w:rFonts w:eastAsia="Calibri"/>
                <w:sz w:val="26"/>
                <w:szCs w:val="26"/>
              </w:rPr>
            </w:pPr>
            <w:r w:rsidRPr="00212103">
              <w:rPr>
                <w:sz w:val="26"/>
                <w:szCs w:val="26"/>
              </w:rPr>
              <w:t xml:space="preserve">Cam </w:t>
            </w:r>
            <w:proofErr w:type="spellStart"/>
            <w:r w:rsidRPr="00212103">
              <w:rPr>
                <w:sz w:val="26"/>
                <w:szCs w:val="26"/>
              </w:rPr>
              <w:t>kết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hàng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hóa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phải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được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bảo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quản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và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vận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chuyển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đến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chân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công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trình</w:t>
            </w:r>
            <w:proofErr w:type="spellEnd"/>
            <w:r w:rsidRPr="00212103">
              <w:rPr>
                <w:sz w:val="26"/>
                <w:szCs w:val="26"/>
              </w:rPr>
              <w:t xml:space="preserve">, </w:t>
            </w:r>
            <w:proofErr w:type="spellStart"/>
            <w:r w:rsidRPr="00212103">
              <w:rPr>
                <w:sz w:val="26"/>
                <w:szCs w:val="26"/>
              </w:rPr>
              <w:t>nhà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kho</w:t>
            </w:r>
            <w:proofErr w:type="spellEnd"/>
            <w:r w:rsidRPr="00212103">
              <w:rPr>
                <w:sz w:val="26"/>
                <w:szCs w:val="26"/>
              </w:rPr>
              <w:t xml:space="preserve">, </w:t>
            </w:r>
            <w:proofErr w:type="spellStart"/>
            <w:r w:rsidRPr="00212103">
              <w:rPr>
                <w:sz w:val="26"/>
                <w:szCs w:val="26"/>
              </w:rPr>
              <w:t>vị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trí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lắp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đặt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theo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yêu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cầu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của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Chủ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đầu</w:t>
            </w:r>
            <w:proofErr w:type="spellEnd"/>
            <w:r w:rsidRPr="00212103">
              <w:rPr>
                <w:sz w:val="26"/>
                <w:szCs w:val="26"/>
              </w:rPr>
              <w:t xml:space="preserve"> </w:t>
            </w:r>
            <w:proofErr w:type="spellStart"/>
            <w:r w:rsidRPr="00212103">
              <w:rPr>
                <w:sz w:val="26"/>
                <w:szCs w:val="26"/>
              </w:rPr>
              <w:t>tư</w:t>
            </w:r>
            <w:proofErr w:type="spellEnd"/>
            <w:r w:rsidRPr="00212103">
              <w:rPr>
                <w:sz w:val="26"/>
                <w:szCs w:val="26"/>
              </w:rPr>
              <w:t>.</w:t>
            </w:r>
          </w:p>
        </w:tc>
        <w:tc>
          <w:tcPr>
            <w:tcW w:w="1703" w:type="pct"/>
          </w:tcPr>
          <w:p w14:paraId="1C36161B" w14:textId="77777777" w:rsidR="00212103" w:rsidRPr="0061206A" w:rsidRDefault="00212103" w:rsidP="00D124D0">
            <w:pPr>
              <w:widowControl w:val="0"/>
              <w:spacing w:before="100" w:after="100" w:line="340" w:lineRule="exact"/>
              <w:rPr>
                <w:rFonts w:eastAsia="Calibri"/>
                <w:sz w:val="26"/>
                <w:szCs w:val="26"/>
                <w:lang w:val="pl-PL"/>
              </w:rPr>
            </w:pPr>
            <w:r w:rsidRPr="00212103">
              <w:rPr>
                <w:rFonts w:eastAsia="Calibri"/>
                <w:sz w:val="26"/>
                <w:szCs w:val="26"/>
                <w:lang w:val="pl-PL"/>
              </w:rPr>
              <w:t>Không có cam kết hoặc cam kết không đầy đủ nội dung sau khi bổ sung, làm rõ</w:t>
            </w:r>
          </w:p>
        </w:tc>
      </w:tr>
    </w:tbl>
    <w:p w14:paraId="70C12E18" w14:textId="77777777" w:rsidR="0076250B" w:rsidRDefault="0076250B"/>
    <w:sectPr w:rsidR="00762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03"/>
    <w:rsid w:val="00212103"/>
    <w:rsid w:val="0076250B"/>
    <w:rsid w:val="00B421A1"/>
    <w:rsid w:val="00C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A8B33"/>
  <w15:chartTrackingRefBased/>
  <w15:docId w15:val="{C19679AB-12A2-4E80-9491-5918DB5E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color w:val="0000FF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103"/>
    <w:pPr>
      <w:spacing w:after="0" w:line="240" w:lineRule="auto"/>
      <w:jc w:val="both"/>
    </w:pPr>
    <w:rPr>
      <w:rFonts w:eastAsia="Times New Roman" w:cs="Times New Roman"/>
      <w:bCs w:val="0"/>
      <w:color w:val="auto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10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10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10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10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6"/>
      <w:szCs w:val="26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10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6"/>
      <w:szCs w:val="26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10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6"/>
      <w:szCs w:val="2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10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6"/>
      <w:szCs w:val="2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10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6"/>
      <w:szCs w:val="26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10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10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10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10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1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1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1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1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103"/>
    <w:pPr>
      <w:spacing w:after="80"/>
      <w:contextualSpacing/>
      <w:jc w:val="left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210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10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21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103"/>
    <w:pPr>
      <w:spacing w:before="160" w:after="160" w:line="278" w:lineRule="auto"/>
      <w:jc w:val="center"/>
    </w:pPr>
    <w:rPr>
      <w:rFonts w:eastAsiaTheme="minorHAnsi" w:cstheme="minorBidi"/>
      <w:bCs/>
      <w:i/>
      <w:iCs/>
      <w:color w:val="404040" w:themeColor="text1" w:themeTint="BF"/>
      <w:kern w:val="2"/>
      <w:sz w:val="26"/>
      <w:szCs w:val="26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2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103"/>
    <w:pPr>
      <w:spacing w:after="160" w:line="278" w:lineRule="auto"/>
      <w:ind w:left="720"/>
      <w:contextualSpacing/>
      <w:jc w:val="left"/>
    </w:pPr>
    <w:rPr>
      <w:rFonts w:eastAsiaTheme="minorHAnsi" w:cstheme="minorBidi"/>
      <w:bCs/>
      <w:color w:val="0000FF"/>
      <w:kern w:val="2"/>
      <w:sz w:val="26"/>
      <w:szCs w:val="26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21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bCs/>
      <w:i/>
      <w:iCs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1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103"/>
    <w:rPr>
      <w:b/>
      <w:bCs w:val="0"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212103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12103"/>
    <w:rPr>
      <w:rFonts w:eastAsia="Times New Roman" w:cs="Times New Roman"/>
      <w:bCs w:val="0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Anh Nguyễn</dc:creator>
  <cp:keywords/>
  <dc:description/>
  <cp:lastModifiedBy>Hoàng Anh Nguyễn</cp:lastModifiedBy>
  <cp:revision>1</cp:revision>
  <dcterms:created xsi:type="dcterms:W3CDTF">2025-10-28T06:48:00Z</dcterms:created>
  <dcterms:modified xsi:type="dcterms:W3CDTF">2025-10-28T06:48:00Z</dcterms:modified>
</cp:coreProperties>
</file>