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382A6" w14:textId="77777777" w:rsidR="00BC0BEA" w:rsidRPr="006C2AE0" w:rsidRDefault="00BC0BEA" w:rsidP="00BC0BEA">
      <w:pPr>
        <w:widowControl w:val="0"/>
        <w:spacing w:before="20" w:after="20"/>
        <w:jc w:val="center"/>
        <w:outlineLvl w:val="1"/>
        <w:rPr>
          <w:szCs w:val="24"/>
          <w:lang w:val="nl-NL"/>
        </w:rPr>
      </w:pPr>
      <w:bookmarkStart w:id="0" w:name="_Hlk194476204"/>
      <w:bookmarkStart w:id="1" w:name="_Hlk201042844"/>
      <w:r w:rsidRPr="006C2AE0">
        <w:rPr>
          <w:b/>
          <w:szCs w:val="24"/>
          <w:lang w:val="nl-NL"/>
        </w:rPr>
        <w:t>Chương V. YÊU CẦU VỀ KỸ THUẬT</w:t>
      </w:r>
    </w:p>
    <w:p w14:paraId="69C7FDE2" w14:textId="77777777" w:rsidR="00BC0BEA" w:rsidRPr="006C2AE0" w:rsidRDefault="00BC0BEA" w:rsidP="00BC0BEA">
      <w:pPr>
        <w:pStyle w:val="Subtitle"/>
        <w:spacing w:before="20" w:after="20"/>
        <w:rPr>
          <w:rFonts w:ascii="Times New Roman" w:hAnsi="Times New Roman" w:cs="Times New Roman"/>
          <w:sz w:val="24"/>
          <w:szCs w:val="24"/>
          <w:lang w:val="nl-NL"/>
        </w:rPr>
      </w:pPr>
    </w:p>
    <w:p w14:paraId="3863B04D" w14:textId="77777777" w:rsidR="00BC0BEA" w:rsidRPr="006C2AE0" w:rsidRDefault="00BC0BEA" w:rsidP="00BC0BEA">
      <w:pPr>
        <w:pStyle w:val="Subtitle"/>
        <w:rPr>
          <w:rFonts w:ascii="Times New Roman" w:hAnsi="Times New Roman" w:cs="Times New Roman"/>
          <w:sz w:val="24"/>
          <w:szCs w:val="24"/>
          <w:lang w:val="nl-NL"/>
        </w:rPr>
      </w:pPr>
    </w:p>
    <w:bookmarkEnd w:id="0"/>
    <w:p w14:paraId="636F54B5" w14:textId="77777777" w:rsidR="00BC0BEA" w:rsidRPr="006C2AE0" w:rsidRDefault="00BC0BEA" w:rsidP="00BC0BEA">
      <w:pPr>
        <w:widowControl w:val="0"/>
        <w:spacing w:before="120" w:after="120" w:line="264" w:lineRule="auto"/>
        <w:ind w:firstLine="567"/>
        <w:rPr>
          <w:b/>
          <w:i/>
          <w:szCs w:val="24"/>
          <w:lang w:val="nl-NL"/>
        </w:rPr>
      </w:pPr>
      <w:r w:rsidRPr="006C2AE0">
        <w:rPr>
          <w:b/>
          <w:i/>
          <w:szCs w:val="24"/>
          <w:lang w:val="nl-NL"/>
        </w:rPr>
        <w:t>1.1. Giới thiệu chung về dự án/</w:t>
      </w:r>
      <w:r w:rsidRPr="006C2AE0">
        <w:rPr>
          <w:b/>
          <w:i/>
          <w:szCs w:val="24"/>
        </w:rPr>
        <w:t>dự toán mua sắm</w:t>
      </w:r>
      <w:r w:rsidRPr="006C2AE0">
        <w:rPr>
          <w:b/>
          <w:i/>
          <w:szCs w:val="24"/>
          <w:lang w:val="nl-NL"/>
        </w:rPr>
        <w:t>, gói thầu</w:t>
      </w:r>
    </w:p>
    <w:p w14:paraId="4111A2AF" w14:textId="77777777" w:rsidR="00BC0BEA" w:rsidRPr="006C2AE0" w:rsidRDefault="00BC0BEA" w:rsidP="00BC0BEA">
      <w:pPr>
        <w:spacing w:before="60" w:after="60"/>
        <w:ind w:firstLine="567"/>
        <w:rPr>
          <w:szCs w:val="24"/>
          <w:lang w:val="nl-NL"/>
        </w:rPr>
      </w:pPr>
      <w:r w:rsidRPr="006C2AE0">
        <w:rPr>
          <w:szCs w:val="24"/>
        </w:rPr>
        <w:t xml:space="preserve">- </w:t>
      </w:r>
      <w:r w:rsidRPr="006C2AE0">
        <w:rPr>
          <w:szCs w:val="24"/>
          <w:lang w:val="nl-NL"/>
        </w:rPr>
        <w:t>Chủ đầu tư: Tổng công ty Giấy Việt Nam.</w:t>
      </w:r>
    </w:p>
    <w:p w14:paraId="5C9AE1DF" w14:textId="5F2615E5" w:rsidR="00BC0BEA" w:rsidRPr="006C2AE0" w:rsidRDefault="00BC0BEA" w:rsidP="00BC0BEA">
      <w:pPr>
        <w:spacing w:before="60" w:after="60"/>
        <w:ind w:firstLine="567"/>
        <w:rPr>
          <w:szCs w:val="24"/>
        </w:rPr>
      </w:pPr>
      <w:r w:rsidRPr="006C2AE0">
        <w:rPr>
          <w:szCs w:val="24"/>
          <w:lang w:val="nl-NL"/>
        </w:rPr>
        <w:t xml:space="preserve">- Gói thầu: </w:t>
      </w:r>
      <w:r w:rsidRPr="006C2AE0">
        <w:rPr>
          <w:color w:val="FF0000"/>
          <w:szCs w:val="24"/>
        </w:rPr>
        <w:t xml:space="preserve">Muối Sunfat Na2SO4 quý </w:t>
      </w:r>
      <w:r w:rsidR="00BF38D3">
        <w:rPr>
          <w:color w:val="FF0000"/>
          <w:szCs w:val="24"/>
        </w:rPr>
        <w:t>4</w:t>
      </w:r>
      <w:r w:rsidRPr="006C2AE0">
        <w:rPr>
          <w:color w:val="FF0000"/>
          <w:szCs w:val="24"/>
        </w:rPr>
        <w:t xml:space="preserve"> năm 2025</w:t>
      </w:r>
    </w:p>
    <w:p w14:paraId="3CD82119" w14:textId="77777777" w:rsidR="00BC0BEA" w:rsidRPr="006C2AE0" w:rsidRDefault="00BC0BEA" w:rsidP="00BC0BEA">
      <w:pPr>
        <w:spacing w:before="60" w:after="60"/>
        <w:ind w:firstLine="567"/>
        <w:rPr>
          <w:szCs w:val="24"/>
        </w:rPr>
      </w:pPr>
      <w:r w:rsidRPr="006C2AE0">
        <w:rPr>
          <w:szCs w:val="24"/>
          <w:lang w:val="nl-NL"/>
        </w:rPr>
        <w:t xml:space="preserve">- Nguồn vốn: </w:t>
      </w:r>
      <w:r w:rsidRPr="006C2AE0">
        <w:rPr>
          <w:szCs w:val="24"/>
        </w:rPr>
        <w:t>Vốn sản xuất, kinh doanh</w:t>
      </w:r>
    </w:p>
    <w:p w14:paraId="4A7A83F0" w14:textId="34566089" w:rsidR="00BC0BEA" w:rsidRPr="006C2AE0" w:rsidRDefault="00BC0BEA" w:rsidP="00BC0BEA">
      <w:pPr>
        <w:spacing w:before="60" w:after="60"/>
        <w:ind w:firstLine="567"/>
        <w:rPr>
          <w:szCs w:val="24"/>
          <w:lang w:val="da-DK"/>
        </w:rPr>
      </w:pPr>
      <w:r w:rsidRPr="006C2AE0">
        <w:rPr>
          <w:szCs w:val="24"/>
        </w:rPr>
        <w:t xml:space="preserve">- Hình thức, Phương thức lựa chọn nhà thầu: </w:t>
      </w:r>
      <w:r w:rsidR="00BF38D3" w:rsidRPr="00AC215B">
        <w:rPr>
          <w:szCs w:val="26"/>
          <w:lang w:val="pt-BR"/>
        </w:rPr>
        <w:t>Chào hàng cạnh tranh qua mạng đấu thầu quốc gia</w:t>
      </w:r>
      <w:r w:rsidRPr="006C2AE0">
        <w:rPr>
          <w:szCs w:val="24"/>
          <w:lang w:val="da-DK"/>
        </w:rPr>
        <w:t>, 01 giai đoạn 01 túi hồ sơ.</w:t>
      </w:r>
    </w:p>
    <w:p w14:paraId="59246F71" w14:textId="77777777" w:rsidR="00BC0BEA" w:rsidRPr="006C2AE0" w:rsidRDefault="00BC0BEA" w:rsidP="00BC0BEA">
      <w:pPr>
        <w:spacing w:before="60" w:after="60"/>
        <w:ind w:firstLine="567"/>
        <w:rPr>
          <w:szCs w:val="24"/>
          <w:lang w:val="da-DK"/>
        </w:rPr>
      </w:pPr>
      <w:r w:rsidRPr="006C2AE0">
        <w:rPr>
          <w:szCs w:val="24"/>
          <w:lang w:val="da-DK"/>
        </w:rPr>
        <w:t>- Yêu cầu về cung cấp hàng hóa thuộc gói thầu: Đạt chất lượng, số lượng và thời gian thực hiện gói thầu.</w:t>
      </w:r>
    </w:p>
    <w:p w14:paraId="65D43969" w14:textId="77777777" w:rsidR="00BC0BEA" w:rsidRPr="006C2AE0" w:rsidRDefault="00BC0BEA" w:rsidP="00BC0BEA">
      <w:pPr>
        <w:spacing w:before="100"/>
        <w:ind w:firstLine="567"/>
        <w:rPr>
          <w:szCs w:val="24"/>
          <w:lang w:val="da-DK"/>
        </w:rPr>
      </w:pPr>
      <w:r w:rsidRPr="006C2AE0">
        <w:rPr>
          <w:szCs w:val="24"/>
          <w:lang w:val="da-DK"/>
        </w:rPr>
        <w:t>- Loại hợp đồng: Trọn gói</w:t>
      </w:r>
    </w:p>
    <w:p w14:paraId="19AB588C" w14:textId="77777777" w:rsidR="00BC0BEA" w:rsidRPr="006C2AE0" w:rsidRDefault="00BC0BEA" w:rsidP="00BC0BEA">
      <w:pPr>
        <w:spacing w:before="100"/>
        <w:ind w:firstLine="567"/>
        <w:rPr>
          <w:szCs w:val="24"/>
          <w:lang w:val="pt-BR"/>
        </w:rPr>
      </w:pPr>
      <w:r w:rsidRPr="006C2AE0">
        <w:rPr>
          <w:szCs w:val="24"/>
          <w:lang w:val="da-DK"/>
        </w:rPr>
        <w:t xml:space="preserve">- Thời gian thực hiện hợp đồng: </w:t>
      </w:r>
      <w:r w:rsidRPr="006C2AE0">
        <w:rPr>
          <w:szCs w:val="24"/>
          <w:lang w:val="pt-BR"/>
        </w:rPr>
        <w:t>Trong vòng 90 ngày kể từ ngày hợp đồng được ký kết.</w:t>
      </w:r>
    </w:p>
    <w:p w14:paraId="5D70BFCF" w14:textId="18A5E5A9" w:rsidR="00BC0BEA" w:rsidRPr="006C2AE0" w:rsidRDefault="00BC0BEA" w:rsidP="00BC0BEA">
      <w:pPr>
        <w:spacing w:before="60" w:after="60"/>
        <w:ind w:firstLine="567"/>
        <w:rPr>
          <w:szCs w:val="24"/>
          <w:lang w:val="nl-NL"/>
        </w:rPr>
      </w:pPr>
      <w:r w:rsidRPr="006C2AE0">
        <w:rPr>
          <w:szCs w:val="24"/>
          <w:lang w:val="nl-NL"/>
        </w:rPr>
        <w:t xml:space="preserve">- Địa điểm: </w:t>
      </w:r>
      <w:r w:rsidRPr="006C2AE0">
        <w:rPr>
          <w:color w:val="000000" w:themeColor="text1"/>
          <w:szCs w:val="24"/>
        </w:rPr>
        <w:t xml:space="preserve">Tổng công ty Giấy Việt Nam, </w:t>
      </w:r>
      <w:r w:rsidR="00BF38D3">
        <w:rPr>
          <w:color w:val="000000" w:themeColor="text1"/>
          <w:szCs w:val="24"/>
        </w:rPr>
        <w:t>x</w:t>
      </w:r>
      <w:r w:rsidR="00BF38D3" w:rsidRPr="00BF38D3">
        <w:rPr>
          <w:color w:val="000000" w:themeColor="text1"/>
          <w:szCs w:val="24"/>
        </w:rPr>
        <w:t>ã</w:t>
      </w:r>
      <w:r w:rsidRPr="006C2AE0">
        <w:rPr>
          <w:color w:val="000000" w:themeColor="text1"/>
          <w:szCs w:val="24"/>
        </w:rPr>
        <w:t xml:space="preserve"> Phù Ninh, tỉnh Phú Thọ</w:t>
      </w:r>
      <w:r w:rsidRPr="006C2AE0">
        <w:rPr>
          <w:szCs w:val="24"/>
          <w:lang w:val="nl-NL"/>
        </w:rPr>
        <w:t>.</w:t>
      </w:r>
    </w:p>
    <w:p w14:paraId="497B56F1" w14:textId="77777777" w:rsidR="00BC0BEA" w:rsidRPr="006C2AE0" w:rsidRDefault="00BC0BEA" w:rsidP="00BC0BEA">
      <w:pPr>
        <w:widowControl w:val="0"/>
        <w:spacing w:before="120" w:after="120" w:line="264" w:lineRule="auto"/>
        <w:ind w:firstLine="567"/>
        <w:rPr>
          <w:b/>
          <w:i/>
          <w:szCs w:val="24"/>
          <w:lang w:val="nl-NL"/>
        </w:rPr>
      </w:pPr>
      <w:r w:rsidRPr="006C2AE0">
        <w:rPr>
          <w:b/>
          <w:i/>
          <w:szCs w:val="24"/>
          <w:lang w:val="nl-NL"/>
        </w:rPr>
        <w:t>1.2. Yêu cầu về kỹ thuật</w:t>
      </w:r>
    </w:p>
    <w:p w14:paraId="1BC3473A" w14:textId="77777777" w:rsidR="00BC0BEA" w:rsidRPr="006C2AE0" w:rsidRDefault="00BC0BEA" w:rsidP="00BC0BEA">
      <w:pPr>
        <w:widowControl w:val="0"/>
        <w:spacing w:before="120" w:after="120" w:line="264" w:lineRule="auto"/>
        <w:ind w:firstLine="567"/>
        <w:rPr>
          <w:i/>
          <w:spacing w:val="-2"/>
          <w:szCs w:val="24"/>
          <w:lang w:val="nl-NL"/>
        </w:rPr>
      </w:pPr>
      <w:r w:rsidRPr="006C2AE0">
        <w:rPr>
          <w:i/>
          <w:spacing w:val="-2"/>
          <w:szCs w:val="24"/>
          <w:lang w:val="nl-NL"/>
        </w:rPr>
        <w:t xml:space="preserve">Yêu cầu về kỹ thuật bao gồm yêu cầu về kỹ thuật chung và yêu cầu về kỹ thuật chi tiết đối với hàng hóa thuộc phạm vi cung cấp của gói thầu, cụ thể: </w:t>
      </w:r>
    </w:p>
    <w:p w14:paraId="2D903039" w14:textId="77777777" w:rsidR="00BC0BEA" w:rsidRPr="006C2AE0" w:rsidRDefault="00BC0BEA" w:rsidP="00BC0BEA">
      <w:pPr>
        <w:widowControl w:val="0"/>
        <w:spacing w:before="120" w:after="120" w:line="264" w:lineRule="auto"/>
        <w:ind w:firstLine="567"/>
        <w:rPr>
          <w:i/>
          <w:spacing w:val="-2"/>
          <w:szCs w:val="24"/>
          <w:lang w:val="nl-NL"/>
        </w:rPr>
      </w:pPr>
      <w:r w:rsidRPr="006C2AE0">
        <w:rPr>
          <w:i/>
          <w:spacing w:val="-2"/>
          <w:szCs w:val="24"/>
          <w:lang w:val="nl-NL"/>
        </w:rPr>
        <w:t>a) Yêu cầu về kỹ thuật chung:</w:t>
      </w:r>
    </w:p>
    <w:p w14:paraId="0F96BE5F" w14:textId="77777777" w:rsidR="00BC0BEA" w:rsidRPr="006C2AE0" w:rsidRDefault="00BC0BEA" w:rsidP="00BC0BEA">
      <w:pPr>
        <w:pStyle w:val="ListParagraph"/>
        <w:spacing w:line="276" w:lineRule="auto"/>
        <w:ind w:left="0" w:firstLine="567"/>
        <w:contextualSpacing w:val="0"/>
        <w:rPr>
          <w:rFonts w:ascii="Times New Roman" w:hAnsi="Times New Roman"/>
          <w:color w:val="FF0000"/>
          <w:sz w:val="24"/>
          <w:szCs w:val="24"/>
          <w:lang w:val="fr-FR"/>
        </w:rPr>
      </w:pPr>
      <w:r w:rsidRPr="006C2AE0">
        <w:rPr>
          <w:rFonts w:ascii="Times New Roman" w:hAnsi="Times New Roman"/>
          <w:color w:val="FF0000"/>
          <w:sz w:val="24"/>
          <w:szCs w:val="24"/>
          <w:lang w:val="fr-FR"/>
        </w:rPr>
        <w:t>Hàng hóa không vận chuyển chung hàng khác, không có mùi lạ, vật lạ.</w:t>
      </w:r>
    </w:p>
    <w:p w14:paraId="2511F6D0" w14:textId="77777777" w:rsidR="00BC0BEA" w:rsidRPr="006C2AE0" w:rsidRDefault="00BC0BEA" w:rsidP="00BC0BEA">
      <w:pPr>
        <w:widowControl w:val="0"/>
        <w:spacing w:before="120" w:after="120" w:line="264" w:lineRule="auto"/>
        <w:ind w:firstLine="567"/>
        <w:rPr>
          <w:i/>
          <w:spacing w:val="-2"/>
          <w:szCs w:val="24"/>
          <w:lang w:val="nl-NL"/>
        </w:rPr>
      </w:pPr>
      <w:r w:rsidRPr="006C2AE0">
        <w:rPr>
          <w:i/>
          <w:spacing w:val="-2"/>
          <w:szCs w:val="24"/>
          <w:lang w:val="nl-NL"/>
        </w:rPr>
        <w:t>b) Yêu cầu về kỹ thuật cụ thể:</w:t>
      </w:r>
    </w:p>
    <w:p w14:paraId="3D365B29" w14:textId="77777777" w:rsidR="00BC0BEA" w:rsidRPr="006C2AE0" w:rsidRDefault="00BC0BEA" w:rsidP="00BC0BEA">
      <w:pPr>
        <w:widowControl w:val="0"/>
        <w:spacing w:before="120" w:after="120" w:line="264" w:lineRule="auto"/>
        <w:ind w:firstLine="567"/>
        <w:rPr>
          <w:i/>
          <w:spacing w:val="-2"/>
          <w:szCs w:val="24"/>
          <w:lang w:val="nl-NL"/>
        </w:rPr>
      </w:pPr>
    </w:p>
    <w:tbl>
      <w:tblPr>
        <w:tblW w:w="7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853"/>
        <w:gridCol w:w="3162"/>
      </w:tblGrid>
      <w:tr w:rsidR="00BC0BEA" w:rsidRPr="006C2AE0" w14:paraId="6AFD5C32" w14:textId="77777777" w:rsidTr="00C365A0">
        <w:trPr>
          <w:jc w:val="center"/>
        </w:trPr>
        <w:tc>
          <w:tcPr>
            <w:tcW w:w="746" w:type="dxa"/>
            <w:shd w:val="clear" w:color="auto" w:fill="auto"/>
            <w:vAlign w:val="center"/>
          </w:tcPr>
          <w:p w14:paraId="69540650" w14:textId="77777777" w:rsidR="00BC0BEA" w:rsidRPr="006C2AE0" w:rsidRDefault="00BC0BEA" w:rsidP="00C365A0">
            <w:pPr>
              <w:jc w:val="center"/>
              <w:rPr>
                <w:b/>
                <w:szCs w:val="24"/>
                <w:lang w:val="nl-NL"/>
              </w:rPr>
            </w:pPr>
            <w:r w:rsidRPr="006C2AE0">
              <w:rPr>
                <w:b/>
                <w:szCs w:val="24"/>
                <w:lang w:val="nl-NL"/>
              </w:rPr>
              <w:t>STT</w:t>
            </w:r>
          </w:p>
        </w:tc>
        <w:tc>
          <w:tcPr>
            <w:tcW w:w="3853" w:type="dxa"/>
            <w:shd w:val="clear" w:color="auto" w:fill="auto"/>
            <w:vAlign w:val="center"/>
          </w:tcPr>
          <w:p w14:paraId="578323C5" w14:textId="77777777" w:rsidR="00BC0BEA" w:rsidRPr="006C2AE0" w:rsidRDefault="00BC0BEA" w:rsidP="00C365A0">
            <w:pPr>
              <w:jc w:val="center"/>
              <w:rPr>
                <w:b/>
                <w:szCs w:val="24"/>
                <w:lang w:val="nl-NL"/>
              </w:rPr>
            </w:pPr>
            <w:r w:rsidRPr="006C2AE0">
              <w:rPr>
                <w:b/>
                <w:szCs w:val="24"/>
                <w:lang w:val="nl-NL"/>
              </w:rPr>
              <w:t>Tên chỉ tiêu chất lượng</w:t>
            </w:r>
          </w:p>
        </w:tc>
        <w:tc>
          <w:tcPr>
            <w:tcW w:w="3162" w:type="dxa"/>
            <w:shd w:val="clear" w:color="auto" w:fill="auto"/>
            <w:vAlign w:val="center"/>
          </w:tcPr>
          <w:p w14:paraId="5D002E4E" w14:textId="77777777" w:rsidR="00BC0BEA" w:rsidRPr="006C2AE0" w:rsidRDefault="00BC0BEA" w:rsidP="00C365A0">
            <w:pPr>
              <w:jc w:val="center"/>
              <w:rPr>
                <w:b/>
                <w:szCs w:val="24"/>
                <w:lang w:val="nl-NL"/>
              </w:rPr>
            </w:pPr>
            <w:r w:rsidRPr="006C2AE0">
              <w:rPr>
                <w:b/>
                <w:szCs w:val="24"/>
                <w:lang w:val="nl-NL"/>
              </w:rPr>
              <w:t>Chỉ tiêu</w:t>
            </w:r>
          </w:p>
        </w:tc>
      </w:tr>
      <w:tr w:rsidR="00BC0BEA" w:rsidRPr="006C2AE0" w14:paraId="61027270" w14:textId="77777777" w:rsidTr="00C365A0">
        <w:trPr>
          <w:jc w:val="center"/>
        </w:trPr>
        <w:tc>
          <w:tcPr>
            <w:tcW w:w="746" w:type="dxa"/>
            <w:shd w:val="clear" w:color="auto" w:fill="auto"/>
            <w:vAlign w:val="center"/>
          </w:tcPr>
          <w:p w14:paraId="14C6DFA8" w14:textId="77777777" w:rsidR="00BC0BEA" w:rsidRPr="006C2AE0" w:rsidRDefault="00BC0BEA" w:rsidP="00C365A0">
            <w:pPr>
              <w:jc w:val="center"/>
              <w:rPr>
                <w:szCs w:val="24"/>
                <w:lang w:val="nl-NL"/>
              </w:rPr>
            </w:pPr>
            <w:r w:rsidRPr="006C2AE0">
              <w:rPr>
                <w:szCs w:val="24"/>
                <w:lang w:val="nl-NL"/>
              </w:rPr>
              <w:t>1</w:t>
            </w:r>
          </w:p>
        </w:tc>
        <w:tc>
          <w:tcPr>
            <w:tcW w:w="3853" w:type="dxa"/>
            <w:shd w:val="clear" w:color="auto" w:fill="auto"/>
            <w:vAlign w:val="center"/>
          </w:tcPr>
          <w:p w14:paraId="2C7EDC51" w14:textId="77777777" w:rsidR="00BC0BEA" w:rsidRPr="006C2AE0" w:rsidRDefault="00BC0BEA" w:rsidP="00C365A0">
            <w:pPr>
              <w:rPr>
                <w:szCs w:val="24"/>
                <w:lang w:val="nl-NL"/>
              </w:rPr>
            </w:pPr>
            <w:r w:rsidRPr="006C2AE0">
              <w:rPr>
                <w:szCs w:val="24"/>
                <w:lang w:val="nl-NL"/>
              </w:rPr>
              <w:t>Hàm lượng muối Na2SO4</w:t>
            </w:r>
          </w:p>
        </w:tc>
        <w:tc>
          <w:tcPr>
            <w:tcW w:w="3162" w:type="dxa"/>
            <w:shd w:val="clear" w:color="auto" w:fill="auto"/>
          </w:tcPr>
          <w:p w14:paraId="19D6D051" w14:textId="77777777" w:rsidR="00BC0BEA" w:rsidRPr="006C2AE0" w:rsidRDefault="00BC0BEA" w:rsidP="00C365A0">
            <w:pPr>
              <w:jc w:val="center"/>
              <w:rPr>
                <w:szCs w:val="24"/>
                <w:lang w:val="nl-NL"/>
              </w:rPr>
            </w:pPr>
            <w:r w:rsidRPr="006C2AE0">
              <w:rPr>
                <w:szCs w:val="24"/>
              </w:rPr>
              <w:t xml:space="preserve">≥ 98% </w:t>
            </w:r>
          </w:p>
        </w:tc>
      </w:tr>
      <w:tr w:rsidR="00BC0BEA" w:rsidRPr="006C2AE0" w14:paraId="3FD2D11D" w14:textId="77777777" w:rsidTr="00C365A0">
        <w:trPr>
          <w:jc w:val="center"/>
        </w:trPr>
        <w:tc>
          <w:tcPr>
            <w:tcW w:w="746" w:type="dxa"/>
            <w:shd w:val="clear" w:color="auto" w:fill="auto"/>
            <w:vAlign w:val="center"/>
          </w:tcPr>
          <w:p w14:paraId="35ED29AD" w14:textId="77777777" w:rsidR="00BC0BEA" w:rsidRPr="006C2AE0" w:rsidRDefault="00BC0BEA" w:rsidP="00C365A0">
            <w:pPr>
              <w:jc w:val="center"/>
              <w:rPr>
                <w:szCs w:val="24"/>
                <w:lang w:val="nl-NL"/>
              </w:rPr>
            </w:pPr>
            <w:r w:rsidRPr="006C2AE0">
              <w:rPr>
                <w:szCs w:val="24"/>
                <w:lang w:val="nl-NL"/>
              </w:rPr>
              <w:t>2</w:t>
            </w:r>
          </w:p>
        </w:tc>
        <w:tc>
          <w:tcPr>
            <w:tcW w:w="3853" w:type="dxa"/>
            <w:shd w:val="clear" w:color="auto" w:fill="auto"/>
            <w:vAlign w:val="center"/>
          </w:tcPr>
          <w:p w14:paraId="66649668" w14:textId="77777777" w:rsidR="00BC0BEA" w:rsidRPr="006C2AE0" w:rsidRDefault="00BC0BEA" w:rsidP="00C365A0">
            <w:pPr>
              <w:rPr>
                <w:szCs w:val="24"/>
                <w:lang w:val="nl-NL"/>
              </w:rPr>
            </w:pPr>
            <w:r w:rsidRPr="006C2AE0">
              <w:rPr>
                <w:szCs w:val="24"/>
                <w:lang w:val="nl-NL"/>
              </w:rPr>
              <w:t>Tạp chất không tan</w:t>
            </w:r>
          </w:p>
        </w:tc>
        <w:tc>
          <w:tcPr>
            <w:tcW w:w="3162" w:type="dxa"/>
            <w:shd w:val="clear" w:color="auto" w:fill="auto"/>
          </w:tcPr>
          <w:p w14:paraId="3BEAF557" w14:textId="77777777" w:rsidR="00BC0BEA" w:rsidRPr="006C2AE0" w:rsidRDefault="00BC0BEA" w:rsidP="00C365A0">
            <w:pPr>
              <w:jc w:val="center"/>
              <w:rPr>
                <w:szCs w:val="24"/>
                <w:lang w:val="nl-NL"/>
              </w:rPr>
            </w:pPr>
            <w:r w:rsidRPr="006C2AE0">
              <w:rPr>
                <w:szCs w:val="24"/>
              </w:rPr>
              <w:t>≤ 0,5%</w:t>
            </w:r>
          </w:p>
        </w:tc>
      </w:tr>
      <w:tr w:rsidR="00BC0BEA" w:rsidRPr="006C2AE0" w14:paraId="5E91A091" w14:textId="77777777" w:rsidTr="00C365A0">
        <w:trPr>
          <w:jc w:val="center"/>
        </w:trPr>
        <w:tc>
          <w:tcPr>
            <w:tcW w:w="746" w:type="dxa"/>
            <w:shd w:val="clear" w:color="auto" w:fill="auto"/>
            <w:vAlign w:val="center"/>
          </w:tcPr>
          <w:p w14:paraId="15AD1C74" w14:textId="77777777" w:rsidR="00BC0BEA" w:rsidRPr="006C2AE0" w:rsidRDefault="00BC0BEA" w:rsidP="00C365A0">
            <w:pPr>
              <w:jc w:val="center"/>
              <w:rPr>
                <w:szCs w:val="24"/>
                <w:lang w:val="nl-NL"/>
              </w:rPr>
            </w:pPr>
            <w:r w:rsidRPr="006C2AE0">
              <w:rPr>
                <w:szCs w:val="24"/>
                <w:lang w:val="nl-NL"/>
              </w:rPr>
              <w:t>3</w:t>
            </w:r>
          </w:p>
        </w:tc>
        <w:tc>
          <w:tcPr>
            <w:tcW w:w="3853" w:type="dxa"/>
            <w:shd w:val="clear" w:color="auto" w:fill="auto"/>
            <w:vAlign w:val="center"/>
          </w:tcPr>
          <w:p w14:paraId="2D295C98" w14:textId="77777777" w:rsidR="00BC0BEA" w:rsidRPr="006C2AE0" w:rsidRDefault="00BC0BEA" w:rsidP="00C365A0">
            <w:pPr>
              <w:rPr>
                <w:szCs w:val="24"/>
              </w:rPr>
            </w:pPr>
            <w:r w:rsidRPr="006C2AE0">
              <w:rPr>
                <w:szCs w:val="24"/>
              </w:rPr>
              <w:t>Nhiệt độ nóng chảy</w:t>
            </w:r>
          </w:p>
        </w:tc>
        <w:tc>
          <w:tcPr>
            <w:tcW w:w="3162" w:type="dxa"/>
            <w:shd w:val="clear" w:color="auto" w:fill="auto"/>
          </w:tcPr>
          <w:p w14:paraId="26D1ED84" w14:textId="77777777" w:rsidR="00BC0BEA" w:rsidRPr="006C2AE0" w:rsidRDefault="00BC0BEA" w:rsidP="00C365A0">
            <w:pPr>
              <w:jc w:val="center"/>
              <w:rPr>
                <w:szCs w:val="24"/>
                <w:lang w:val="nl-NL"/>
              </w:rPr>
            </w:pPr>
            <w:r w:rsidRPr="006C2AE0">
              <w:rPr>
                <w:szCs w:val="24"/>
              </w:rPr>
              <w:t xml:space="preserve">≥ 870 </w:t>
            </w:r>
            <w:r w:rsidRPr="006C2AE0">
              <w:rPr>
                <w:szCs w:val="24"/>
                <w:vertAlign w:val="superscript"/>
              </w:rPr>
              <w:t>0</w:t>
            </w:r>
            <w:r w:rsidRPr="006C2AE0">
              <w:rPr>
                <w:szCs w:val="24"/>
              </w:rPr>
              <w:t xml:space="preserve"> C </w:t>
            </w:r>
          </w:p>
        </w:tc>
      </w:tr>
      <w:tr w:rsidR="00BC0BEA" w:rsidRPr="006C2AE0" w14:paraId="2E6F0848" w14:textId="77777777" w:rsidTr="00C365A0">
        <w:trPr>
          <w:jc w:val="center"/>
        </w:trPr>
        <w:tc>
          <w:tcPr>
            <w:tcW w:w="746" w:type="dxa"/>
            <w:shd w:val="clear" w:color="auto" w:fill="auto"/>
            <w:vAlign w:val="center"/>
          </w:tcPr>
          <w:p w14:paraId="13C9BCAF" w14:textId="77777777" w:rsidR="00BC0BEA" w:rsidRPr="006C2AE0" w:rsidRDefault="00BC0BEA" w:rsidP="00C365A0">
            <w:pPr>
              <w:jc w:val="center"/>
              <w:rPr>
                <w:szCs w:val="24"/>
                <w:lang w:val="nl-NL"/>
              </w:rPr>
            </w:pPr>
            <w:r w:rsidRPr="006C2AE0">
              <w:rPr>
                <w:szCs w:val="24"/>
                <w:lang w:val="nl-NL"/>
              </w:rPr>
              <w:t>4</w:t>
            </w:r>
          </w:p>
        </w:tc>
        <w:tc>
          <w:tcPr>
            <w:tcW w:w="3853" w:type="dxa"/>
            <w:shd w:val="clear" w:color="auto" w:fill="auto"/>
            <w:vAlign w:val="center"/>
          </w:tcPr>
          <w:p w14:paraId="3D584F87" w14:textId="77777777" w:rsidR="00BC0BEA" w:rsidRPr="006C2AE0" w:rsidRDefault="00BC0BEA" w:rsidP="00C365A0">
            <w:pPr>
              <w:rPr>
                <w:szCs w:val="24"/>
              </w:rPr>
            </w:pPr>
            <w:r w:rsidRPr="006C2AE0">
              <w:rPr>
                <w:szCs w:val="24"/>
              </w:rPr>
              <w:t xml:space="preserve">Độ ẩm </w:t>
            </w:r>
          </w:p>
        </w:tc>
        <w:tc>
          <w:tcPr>
            <w:tcW w:w="3162" w:type="dxa"/>
            <w:shd w:val="clear" w:color="auto" w:fill="auto"/>
          </w:tcPr>
          <w:p w14:paraId="7FEFD298" w14:textId="77777777" w:rsidR="00BC0BEA" w:rsidRPr="006C2AE0" w:rsidRDefault="00BC0BEA" w:rsidP="00C365A0">
            <w:pPr>
              <w:jc w:val="center"/>
              <w:rPr>
                <w:szCs w:val="24"/>
                <w:lang w:val="nl-NL"/>
              </w:rPr>
            </w:pPr>
            <w:r w:rsidRPr="006C2AE0">
              <w:rPr>
                <w:szCs w:val="24"/>
              </w:rPr>
              <w:t>≤ 1%</w:t>
            </w:r>
          </w:p>
        </w:tc>
      </w:tr>
      <w:tr w:rsidR="00BC0BEA" w:rsidRPr="006C2AE0" w14:paraId="1729A90F" w14:textId="77777777" w:rsidTr="00C365A0">
        <w:trPr>
          <w:jc w:val="center"/>
        </w:trPr>
        <w:tc>
          <w:tcPr>
            <w:tcW w:w="746" w:type="dxa"/>
            <w:shd w:val="clear" w:color="auto" w:fill="auto"/>
            <w:vAlign w:val="center"/>
          </w:tcPr>
          <w:p w14:paraId="749D7DC2" w14:textId="77777777" w:rsidR="00BC0BEA" w:rsidRPr="006C2AE0" w:rsidRDefault="00BC0BEA" w:rsidP="00C365A0">
            <w:pPr>
              <w:jc w:val="center"/>
              <w:rPr>
                <w:szCs w:val="24"/>
                <w:lang w:val="nl-NL"/>
              </w:rPr>
            </w:pPr>
            <w:r w:rsidRPr="006C2AE0">
              <w:rPr>
                <w:szCs w:val="24"/>
                <w:lang w:val="nl-NL"/>
              </w:rPr>
              <w:t>5</w:t>
            </w:r>
          </w:p>
        </w:tc>
        <w:tc>
          <w:tcPr>
            <w:tcW w:w="3853" w:type="dxa"/>
            <w:shd w:val="clear" w:color="auto" w:fill="auto"/>
            <w:vAlign w:val="center"/>
          </w:tcPr>
          <w:p w14:paraId="58EE5FE1" w14:textId="68CF24E7" w:rsidR="00BC0BEA" w:rsidRPr="006C2AE0" w:rsidRDefault="0031668E" w:rsidP="00C365A0">
            <w:pPr>
              <w:rPr>
                <w:szCs w:val="24"/>
              </w:rPr>
            </w:pPr>
            <w:r w:rsidRPr="006C2AE0">
              <w:rPr>
                <w:szCs w:val="24"/>
              </w:rPr>
              <w:t>N</w:t>
            </w:r>
            <w:r w:rsidR="00BC0BEA" w:rsidRPr="006C2AE0">
              <w:rPr>
                <w:szCs w:val="24"/>
              </w:rPr>
              <w:t>goại</w:t>
            </w:r>
            <w:r w:rsidRPr="006C2AE0">
              <w:rPr>
                <w:szCs w:val="24"/>
              </w:rPr>
              <w:t xml:space="preserve"> quan</w:t>
            </w:r>
          </w:p>
        </w:tc>
        <w:tc>
          <w:tcPr>
            <w:tcW w:w="3162" w:type="dxa"/>
            <w:shd w:val="clear" w:color="auto" w:fill="auto"/>
          </w:tcPr>
          <w:p w14:paraId="4BE123DD" w14:textId="77777777" w:rsidR="00BC0BEA" w:rsidRPr="006C2AE0" w:rsidRDefault="00BC0BEA" w:rsidP="00C365A0">
            <w:pPr>
              <w:jc w:val="center"/>
              <w:rPr>
                <w:szCs w:val="24"/>
                <w:lang w:val="nl-NL"/>
              </w:rPr>
            </w:pPr>
            <w:r w:rsidRPr="006C2AE0">
              <w:rPr>
                <w:szCs w:val="24"/>
              </w:rPr>
              <w:t>Tinh thể rời, không vón cục</w:t>
            </w:r>
          </w:p>
        </w:tc>
      </w:tr>
    </w:tbl>
    <w:p w14:paraId="34475AC6" w14:textId="77777777" w:rsidR="00BC0BEA" w:rsidRPr="006C2AE0" w:rsidRDefault="00BC0BEA" w:rsidP="00BC0BEA">
      <w:pPr>
        <w:ind w:firstLine="567"/>
        <w:rPr>
          <w:szCs w:val="24"/>
        </w:rPr>
      </w:pPr>
    </w:p>
    <w:p w14:paraId="30722BDB" w14:textId="77777777" w:rsidR="00BC0BEA" w:rsidRPr="006C2AE0" w:rsidRDefault="00BC0BEA" w:rsidP="00BC0BEA">
      <w:pPr>
        <w:ind w:firstLine="567"/>
        <w:rPr>
          <w:szCs w:val="24"/>
        </w:rPr>
      </w:pPr>
      <w:r w:rsidRPr="006C2AE0">
        <w:rPr>
          <w:szCs w:val="24"/>
        </w:rPr>
        <w:t>- Bao bì: Muối Na2SO4 được đóng trong bao bì hai lớp : lớp ngoài chịu tải, lớp trong bằng vật liệu PP hoặc PE đảm bảo chống ẩm, đủ bền đến khi sử dụng ; Khối lượng các bao phải thống nhất trong cùng 1 lô hàng; mặt ngoài ghi đầy đủ thông tin theo quy định (Tên hàng hóa; tên và địa chỉ nhà cung cấp; xuất xứ; ngày (lô) sản xuất; hạn sử dụng; hướng dẫn sử dụng và bảo quản).</w:t>
      </w:r>
    </w:p>
    <w:p w14:paraId="270946CE" w14:textId="77777777" w:rsidR="00BC0BEA" w:rsidRPr="006C2AE0" w:rsidRDefault="00BC0BEA" w:rsidP="00BC0BEA">
      <w:pPr>
        <w:spacing w:before="120" w:after="120" w:line="264" w:lineRule="auto"/>
        <w:ind w:firstLine="567"/>
        <w:rPr>
          <w:b/>
          <w:i/>
          <w:szCs w:val="24"/>
          <w:lang w:val="nl-NL"/>
        </w:rPr>
      </w:pPr>
      <w:r w:rsidRPr="006C2AE0">
        <w:rPr>
          <w:b/>
          <w:i/>
          <w:szCs w:val="24"/>
          <w:lang w:val="nl-NL"/>
        </w:rPr>
        <w:t>1.3. Các yêu cầu khác</w:t>
      </w:r>
    </w:p>
    <w:p w14:paraId="17E4C1F7" w14:textId="5C62E6EF" w:rsidR="008936EC" w:rsidRPr="006C2AE0" w:rsidRDefault="005A2CEF" w:rsidP="006C2AE0">
      <w:pPr>
        <w:ind w:firstLine="567"/>
        <w:rPr>
          <w:szCs w:val="24"/>
        </w:rPr>
      </w:pPr>
      <w:r w:rsidRPr="006C2AE0">
        <w:rPr>
          <w:szCs w:val="24"/>
        </w:rPr>
        <w:t>-</w:t>
      </w:r>
      <w:r w:rsidR="00D76ABD" w:rsidRPr="006C2AE0">
        <w:rPr>
          <w:szCs w:val="24"/>
        </w:rPr>
        <w:t xml:space="preserve"> Đối với hàng hóa chào thầu là hàng nhập khẩu, Nhà thầu phải cam kết cấp đầy đủ chứng </w:t>
      </w:r>
      <w:r w:rsidR="00746AC5" w:rsidRPr="006C2AE0">
        <w:rPr>
          <w:szCs w:val="24"/>
        </w:rPr>
        <w:t>nhận</w:t>
      </w:r>
      <w:r w:rsidR="00D76ABD" w:rsidRPr="006C2AE0">
        <w:rPr>
          <w:szCs w:val="24"/>
        </w:rPr>
        <w:t xml:space="preserve"> nguồn gốc xuất xứ h</w:t>
      </w:r>
      <w:r w:rsidR="008936EC" w:rsidRPr="006C2AE0">
        <w:rPr>
          <w:szCs w:val="24"/>
        </w:rPr>
        <w:t xml:space="preserve">àng hóa </w:t>
      </w:r>
      <w:r w:rsidR="00D76ABD" w:rsidRPr="006C2AE0">
        <w:rPr>
          <w:szCs w:val="24"/>
        </w:rPr>
        <w:t xml:space="preserve">(CO), chứng </w:t>
      </w:r>
      <w:r w:rsidR="00746AC5" w:rsidRPr="006C2AE0">
        <w:rPr>
          <w:szCs w:val="24"/>
        </w:rPr>
        <w:t>nhận</w:t>
      </w:r>
      <w:r w:rsidR="00D76ABD" w:rsidRPr="006C2AE0">
        <w:rPr>
          <w:szCs w:val="24"/>
        </w:rPr>
        <w:t xml:space="preserve"> chất lượng hàng hóa (CQ) (bản chính hoặc bản sao công chứng). Nếu là hàng hóa  sản xuất trong nước, nhà thầu phải cam kết cấp </w:t>
      </w:r>
      <w:r w:rsidR="008936EC" w:rsidRPr="006C2AE0">
        <w:rPr>
          <w:szCs w:val="24"/>
        </w:rPr>
        <w:t>giấy chứng nhận chất lượng (CQ)</w:t>
      </w:r>
      <w:r w:rsidR="00D76ABD" w:rsidRPr="006C2AE0">
        <w:rPr>
          <w:szCs w:val="24"/>
        </w:rPr>
        <w:t xml:space="preserve"> và cam kết về nguồn gốc xuất xứ </w:t>
      </w:r>
      <w:r w:rsidR="00746AC5" w:rsidRPr="006C2AE0">
        <w:rPr>
          <w:szCs w:val="24"/>
        </w:rPr>
        <w:t xml:space="preserve">hợp pháp </w:t>
      </w:r>
      <w:r w:rsidR="00D76ABD" w:rsidRPr="006C2AE0">
        <w:rPr>
          <w:szCs w:val="24"/>
        </w:rPr>
        <w:t>của hàng hóa.</w:t>
      </w:r>
    </w:p>
    <w:p w14:paraId="29EE02F0" w14:textId="6141F51D" w:rsidR="00BC0BEA" w:rsidRPr="006C2AE0" w:rsidRDefault="00BC0BEA" w:rsidP="00BC0BEA">
      <w:pPr>
        <w:ind w:firstLine="567"/>
        <w:rPr>
          <w:szCs w:val="24"/>
        </w:rPr>
      </w:pPr>
      <w:r w:rsidRPr="006C2AE0">
        <w:rPr>
          <w:szCs w:val="24"/>
        </w:rPr>
        <w:t>- Phương thức thanh toán: Thanh toán 100% bằng chuyển khoản qua ngân hàng. Đồng tiền ký hợp đồng và đồng tiền thanh toán là tiền Việt Nam đồng.</w:t>
      </w:r>
    </w:p>
    <w:p w14:paraId="2AF36A36" w14:textId="77777777" w:rsidR="00BC0BEA" w:rsidRPr="006C2AE0" w:rsidRDefault="00BC0BEA" w:rsidP="006C2AE0">
      <w:pPr>
        <w:ind w:firstLine="567"/>
        <w:rPr>
          <w:szCs w:val="24"/>
        </w:rPr>
      </w:pPr>
      <w:r w:rsidRPr="006C2AE0">
        <w:rPr>
          <w:szCs w:val="24"/>
        </w:rPr>
        <w:t>- Điều kiện thành toán: Thanh toán theo phương thức chuyển khoản qua ngân hàng trong vòng 30 ngày kể từ ngày giao hàng và bên mua nhận đầy đủ bộ hồ sơ thanh toán.</w:t>
      </w:r>
    </w:p>
    <w:p w14:paraId="573E55DC" w14:textId="77777777" w:rsidR="00BC0BEA" w:rsidRPr="006C2AE0" w:rsidRDefault="00BC0BEA" w:rsidP="00BC0BEA">
      <w:pPr>
        <w:pStyle w:val="SectionVIHeader"/>
        <w:spacing w:after="120" w:line="264" w:lineRule="auto"/>
        <w:ind w:firstLine="567"/>
        <w:jc w:val="left"/>
        <w:rPr>
          <w:sz w:val="24"/>
          <w:szCs w:val="24"/>
          <w:lang w:val="nl-NL"/>
        </w:rPr>
      </w:pPr>
      <w:r w:rsidRPr="006C2AE0">
        <w:rPr>
          <w:sz w:val="24"/>
          <w:szCs w:val="24"/>
          <w:lang w:val="nl-NL"/>
        </w:rPr>
        <w:t>Mục 2. Bản vẽ: Không có bản vẽ</w:t>
      </w:r>
    </w:p>
    <w:p w14:paraId="0D70B443" w14:textId="77777777" w:rsidR="00BC0BEA" w:rsidRPr="006C2AE0" w:rsidRDefault="00BC0BEA" w:rsidP="00BC0BEA">
      <w:pPr>
        <w:pStyle w:val="SectionVIHeader"/>
        <w:widowControl w:val="0"/>
        <w:spacing w:after="120" w:line="264" w:lineRule="auto"/>
        <w:ind w:firstLine="567"/>
        <w:jc w:val="left"/>
        <w:rPr>
          <w:sz w:val="24"/>
          <w:szCs w:val="24"/>
        </w:rPr>
      </w:pPr>
      <w:r w:rsidRPr="006C2AE0">
        <w:rPr>
          <w:sz w:val="24"/>
          <w:szCs w:val="24"/>
        </w:rPr>
        <w:lastRenderedPageBreak/>
        <w:t>Mục 3. Kiểm tra và thử nghiệm</w:t>
      </w:r>
    </w:p>
    <w:p w14:paraId="37C031ED" w14:textId="299B7C7A" w:rsidR="00BC0BEA" w:rsidRPr="006C2AE0" w:rsidRDefault="00BC0BEA" w:rsidP="00BC0BEA">
      <w:pPr>
        <w:tabs>
          <w:tab w:val="left" w:pos="0"/>
        </w:tabs>
        <w:spacing w:line="276" w:lineRule="auto"/>
        <w:ind w:firstLine="567"/>
        <w:rPr>
          <w:szCs w:val="24"/>
          <w:lang w:val="nl-NL"/>
        </w:rPr>
      </w:pPr>
      <w:r w:rsidRPr="006C2AE0">
        <w:rPr>
          <w:szCs w:val="24"/>
          <w:lang w:val="nl-NL"/>
        </w:rPr>
        <w:t xml:space="preserve">- Tổ chức nghiệm thu hàng hoá tại địa điểm giao hàng: Tổng kho của </w:t>
      </w:r>
      <w:r w:rsidRPr="006C2AE0">
        <w:rPr>
          <w:color w:val="000000" w:themeColor="text1"/>
          <w:szCs w:val="24"/>
        </w:rPr>
        <w:t xml:space="preserve">Tổng công ty Giấy Việt Nam, </w:t>
      </w:r>
      <w:r w:rsidR="006E7D8F">
        <w:rPr>
          <w:color w:val="000000" w:themeColor="text1"/>
          <w:szCs w:val="24"/>
        </w:rPr>
        <w:t>x</w:t>
      </w:r>
      <w:r w:rsidR="006E7D8F" w:rsidRPr="006E7D8F">
        <w:rPr>
          <w:color w:val="000000" w:themeColor="text1"/>
          <w:szCs w:val="24"/>
        </w:rPr>
        <w:t>ã</w:t>
      </w:r>
      <w:bookmarkStart w:id="2" w:name="_GoBack"/>
      <w:bookmarkEnd w:id="2"/>
      <w:r w:rsidRPr="006C2AE0">
        <w:rPr>
          <w:color w:val="000000" w:themeColor="text1"/>
          <w:szCs w:val="24"/>
        </w:rPr>
        <w:t xml:space="preserve"> Phù Ninh, tỉnh Phú Thọ.</w:t>
      </w:r>
    </w:p>
    <w:p w14:paraId="634824CA" w14:textId="77777777" w:rsidR="00BC0BEA" w:rsidRPr="006C2AE0" w:rsidRDefault="00BC0BEA" w:rsidP="00BC0BEA">
      <w:pPr>
        <w:tabs>
          <w:tab w:val="left" w:pos="0"/>
        </w:tabs>
        <w:spacing w:line="276" w:lineRule="auto"/>
        <w:ind w:firstLine="567"/>
        <w:rPr>
          <w:szCs w:val="24"/>
          <w:lang w:val="nl-NL"/>
        </w:rPr>
      </w:pPr>
      <w:r w:rsidRPr="006C2AE0">
        <w:rPr>
          <w:rStyle w:val="normaltextrun"/>
          <w:color w:val="000000"/>
          <w:szCs w:val="24"/>
          <w:shd w:val="clear" w:color="auto" w:fill="FFFFFF"/>
          <w:lang w:val="nl-NL"/>
        </w:rPr>
        <w:t>- Khi nhận hàng, Bên mời thầu kiểm tra chất lượng, số lượng, chủng loại, quy cách hàng hóa, nếu không đảm bảo (có xác nhận của hai bên bằng văn bản) thì bên Nhà thầu phải nhận lại và chịu mọi phí tổn của lô hàng đó. Mọi phản hồi về chất lượng hàng hóa được Bên mời thầu thông báo cho Nhà thầu trong vòng 03 ngày làm việc kể từ ngày giao hàng.</w:t>
      </w:r>
    </w:p>
    <w:p w14:paraId="61B85576" w14:textId="77777777" w:rsidR="00BC0BEA" w:rsidRPr="006C2AE0" w:rsidRDefault="00BC0BEA" w:rsidP="00BC0BEA">
      <w:pPr>
        <w:tabs>
          <w:tab w:val="left" w:pos="0"/>
        </w:tabs>
        <w:spacing w:after="120" w:line="276" w:lineRule="auto"/>
        <w:ind w:firstLine="567"/>
        <w:rPr>
          <w:szCs w:val="24"/>
          <w:lang w:val="nl-NL"/>
        </w:rPr>
      </w:pPr>
      <w:r w:rsidRPr="006C2AE0">
        <w:rPr>
          <w:szCs w:val="24"/>
          <w:lang w:val="vi-VN"/>
        </w:rPr>
        <w:t xml:space="preserve">- </w:t>
      </w:r>
      <w:r w:rsidRPr="006C2AE0">
        <w:rPr>
          <w:szCs w:val="24"/>
          <w:lang w:val="nl-NL"/>
        </w:rPr>
        <w:t>Trong trường hợp bên mua hàng có nghi ngờ về chất lượng hàng hóa, 2 bên tiến hành thử nghiệm tại một phòng thí nghiệm đạt tiêu chuẩn do bên mua chỉ định. Nếu kết quả kiểm tra thử nghiệm đạt yêu cầu kỹ thuật thì Bên mời thầu chịu mọi chi phí thử nghiệm, ngược lại nếu kết quả kiểm tra thử nghiệm không đạt yêu cầu kỹ thuật thì Nhà thầu chịu chi phí thử nghiệm và các chi phí phát sinh khác khi đó Bên mời thầu từ chối không nhận hàng hoá.</w:t>
      </w:r>
    </w:p>
    <w:p w14:paraId="77B38846" w14:textId="77777777" w:rsidR="00BC0BEA" w:rsidRPr="006C2AE0" w:rsidRDefault="00BC0BEA" w:rsidP="00BC0BEA">
      <w:pPr>
        <w:spacing w:after="200" w:line="276" w:lineRule="auto"/>
        <w:ind w:firstLine="567"/>
        <w:rPr>
          <w:b/>
          <w:iCs/>
          <w:szCs w:val="24"/>
        </w:rPr>
      </w:pPr>
      <w:r w:rsidRPr="006C2AE0">
        <w:rPr>
          <w:b/>
          <w:iCs/>
          <w:szCs w:val="24"/>
        </w:rPr>
        <w:t>Mục 4: Giao nhận hàng hóa</w:t>
      </w:r>
    </w:p>
    <w:p w14:paraId="3D7FE1A9" w14:textId="77777777" w:rsidR="00BC0BEA" w:rsidRPr="006C2AE0" w:rsidRDefault="00BC0BEA" w:rsidP="00BC0BEA">
      <w:pPr>
        <w:tabs>
          <w:tab w:val="left" w:pos="350"/>
          <w:tab w:val="left" w:pos="700"/>
        </w:tabs>
        <w:spacing w:line="276" w:lineRule="auto"/>
        <w:ind w:firstLine="567"/>
        <w:rPr>
          <w:szCs w:val="24"/>
          <w:lang w:val="nl-NL"/>
        </w:rPr>
      </w:pPr>
      <w:r w:rsidRPr="006C2AE0">
        <w:rPr>
          <w:szCs w:val="24"/>
          <w:lang w:val="nl-NL"/>
        </w:rPr>
        <w:t>- Sau khi đánh giá hàng hóa đáp ứng chất lượng thì bên mời thầu mới tiến hành làm thủ tục giao nhận hàng hoá.</w:t>
      </w:r>
    </w:p>
    <w:p w14:paraId="6E00F086" w14:textId="77777777" w:rsidR="00BC0BEA" w:rsidRPr="006C2AE0" w:rsidRDefault="00BC0BEA" w:rsidP="00BC0BEA">
      <w:pPr>
        <w:tabs>
          <w:tab w:val="left" w:pos="350"/>
        </w:tabs>
        <w:spacing w:line="276" w:lineRule="auto"/>
        <w:ind w:firstLine="567"/>
        <w:rPr>
          <w:szCs w:val="24"/>
          <w:lang w:val="nl-NL"/>
        </w:rPr>
      </w:pPr>
      <w:r w:rsidRPr="006C2AE0">
        <w:rPr>
          <w:szCs w:val="24"/>
          <w:lang w:val="nl-NL"/>
        </w:rPr>
        <w:t>- Biện pháp an toàn: Nhà thầu phải có đầy đủ các phương tiện, quy trình, biện pháp an toàn cho người, thiết bị và tự chịu mọi trách nhiệm liên quan trong quá trình vận chuyển, bảo quản và giao nhận hàng hoá.</w:t>
      </w:r>
      <w:r w:rsidRPr="006C2AE0">
        <w:rPr>
          <w:szCs w:val="24"/>
          <w:lang w:val="vi-VN"/>
        </w:rPr>
        <w:t xml:space="preserve"> </w:t>
      </w:r>
      <w:r w:rsidRPr="006C2AE0">
        <w:rPr>
          <w:szCs w:val="24"/>
          <w:lang w:val="nl-NL"/>
        </w:rPr>
        <w:t>Trong trường hợp do lỗi của Nhà thầu làm thiệt hại tới sản xuất của Bên mời thầu thì Nhà thầu phải chịu trách nhiệm bồi hoàn thiệt hại hoặc chịu trách nhiệm trước các cơ quan chức năng, tùy theo mức độ thiệt hại gây nên (nếu có).</w:t>
      </w:r>
    </w:p>
    <w:bookmarkEnd w:id="1"/>
    <w:p w14:paraId="3518469B" w14:textId="77777777" w:rsidR="00BC0BEA" w:rsidRPr="006C2AE0" w:rsidRDefault="00BC0BEA" w:rsidP="00BC0BEA">
      <w:pPr>
        <w:tabs>
          <w:tab w:val="left" w:pos="350"/>
        </w:tabs>
        <w:spacing w:line="276" w:lineRule="auto"/>
        <w:ind w:firstLine="567"/>
        <w:rPr>
          <w:szCs w:val="24"/>
          <w:lang w:val="nl-NL"/>
        </w:rPr>
      </w:pPr>
    </w:p>
    <w:p w14:paraId="31EF6B44" w14:textId="77777777" w:rsidR="00114D60" w:rsidRPr="006C2AE0" w:rsidRDefault="00114D60">
      <w:pPr>
        <w:rPr>
          <w:szCs w:val="24"/>
        </w:rPr>
      </w:pPr>
    </w:p>
    <w:sectPr w:rsidR="00114D60" w:rsidRPr="006C2AE0" w:rsidSect="00333C6D">
      <w:pgSz w:w="11907" w:h="16840" w:code="9"/>
      <w:pgMar w:top="1418"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BEA"/>
    <w:rsid w:val="000475B5"/>
    <w:rsid w:val="00087BFC"/>
    <w:rsid w:val="00114D60"/>
    <w:rsid w:val="0031668E"/>
    <w:rsid w:val="00333C6D"/>
    <w:rsid w:val="003A2549"/>
    <w:rsid w:val="00436D5B"/>
    <w:rsid w:val="005A2CEF"/>
    <w:rsid w:val="005C18CE"/>
    <w:rsid w:val="006C2AE0"/>
    <w:rsid w:val="006E7D8F"/>
    <w:rsid w:val="00746AC5"/>
    <w:rsid w:val="007976EC"/>
    <w:rsid w:val="007E4D7D"/>
    <w:rsid w:val="008936EC"/>
    <w:rsid w:val="008A25F7"/>
    <w:rsid w:val="00A428EA"/>
    <w:rsid w:val="00A44963"/>
    <w:rsid w:val="00B46894"/>
    <w:rsid w:val="00B84769"/>
    <w:rsid w:val="00BC0BEA"/>
    <w:rsid w:val="00BF38D3"/>
    <w:rsid w:val="00C20FC6"/>
    <w:rsid w:val="00D76ABD"/>
    <w:rsid w:val="00F060B5"/>
    <w:rsid w:val="00F7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15EF6"/>
  <w15:chartTrackingRefBased/>
  <w15:docId w15:val="{FFCFE159-774E-44E5-8B45-1BFE462A5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kern w:val="2"/>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EA"/>
    <w:pPr>
      <w:jc w:val="both"/>
    </w:pPr>
    <w:rPr>
      <w:rFonts w:ascii="Times New Roman" w:eastAsia="Times New Roman" w:hAnsi="Times New Roman"/>
      <w:kern w:val="0"/>
      <w:sz w:val="24"/>
      <w14:ligatures w14:val="none"/>
    </w:rPr>
  </w:style>
  <w:style w:type="paragraph" w:styleId="Heading1">
    <w:name w:val="heading 1"/>
    <w:basedOn w:val="Normal"/>
    <w:next w:val="Normal"/>
    <w:link w:val="Heading1Char"/>
    <w:uiPriority w:val="9"/>
    <w:qFormat/>
    <w:rsid w:val="00BC0BEA"/>
    <w:pPr>
      <w:keepNext/>
      <w:keepLines/>
      <w:spacing w:before="360" w:after="80"/>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C0BEA"/>
    <w:pPr>
      <w:keepNext/>
      <w:keepLines/>
      <w:spacing w:before="160" w:after="80"/>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C0BEA"/>
    <w:pPr>
      <w:keepNext/>
      <w:keepLines/>
      <w:spacing w:before="160" w:after="80"/>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C0BEA"/>
    <w:pPr>
      <w:keepNext/>
      <w:keepLines/>
      <w:spacing w:before="80" w:after="40"/>
      <w:jc w:val="left"/>
      <w:outlineLvl w:val="3"/>
    </w:pPr>
    <w:rPr>
      <w:rFonts w:asciiTheme="minorHAnsi" w:eastAsiaTheme="majorEastAsia" w:hAnsiTheme="minorHAnsi" w:cstheme="majorBidi"/>
      <w:i/>
      <w:iCs/>
      <w:color w:val="2F5496" w:themeColor="accent1" w:themeShade="BF"/>
      <w:kern w:val="2"/>
      <w:sz w:val="20"/>
      <w14:ligatures w14:val="standardContextual"/>
    </w:rPr>
  </w:style>
  <w:style w:type="paragraph" w:styleId="Heading5">
    <w:name w:val="heading 5"/>
    <w:basedOn w:val="Normal"/>
    <w:next w:val="Normal"/>
    <w:link w:val="Heading5Char"/>
    <w:uiPriority w:val="9"/>
    <w:semiHidden/>
    <w:unhideWhenUsed/>
    <w:qFormat/>
    <w:rsid w:val="00BC0BEA"/>
    <w:pPr>
      <w:keepNext/>
      <w:keepLines/>
      <w:spacing w:before="80" w:after="40"/>
      <w:jc w:val="left"/>
      <w:outlineLvl w:val="4"/>
    </w:pPr>
    <w:rPr>
      <w:rFonts w:asciiTheme="minorHAnsi" w:eastAsiaTheme="majorEastAsia" w:hAnsiTheme="minorHAnsi" w:cstheme="majorBidi"/>
      <w:color w:val="2F5496" w:themeColor="accent1" w:themeShade="BF"/>
      <w:kern w:val="2"/>
      <w:sz w:val="20"/>
      <w14:ligatures w14:val="standardContextual"/>
    </w:rPr>
  </w:style>
  <w:style w:type="paragraph" w:styleId="Heading6">
    <w:name w:val="heading 6"/>
    <w:basedOn w:val="Normal"/>
    <w:next w:val="Normal"/>
    <w:link w:val="Heading6Char"/>
    <w:uiPriority w:val="9"/>
    <w:semiHidden/>
    <w:unhideWhenUsed/>
    <w:qFormat/>
    <w:rsid w:val="00BC0BEA"/>
    <w:pPr>
      <w:keepNext/>
      <w:keepLines/>
      <w:spacing w:before="40"/>
      <w:jc w:val="left"/>
      <w:outlineLvl w:val="5"/>
    </w:pPr>
    <w:rPr>
      <w:rFonts w:asciiTheme="minorHAnsi" w:eastAsiaTheme="majorEastAsia" w:hAnsiTheme="minorHAnsi" w:cstheme="majorBidi"/>
      <w:i/>
      <w:iCs/>
      <w:color w:val="595959" w:themeColor="text1" w:themeTint="A6"/>
      <w:kern w:val="2"/>
      <w:sz w:val="20"/>
      <w14:ligatures w14:val="standardContextual"/>
    </w:rPr>
  </w:style>
  <w:style w:type="paragraph" w:styleId="Heading7">
    <w:name w:val="heading 7"/>
    <w:basedOn w:val="Normal"/>
    <w:next w:val="Normal"/>
    <w:link w:val="Heading7Char"/>
    <w:uiPriority w:val="9"/>
    <w:semiHidden/>
    <w:unhideWhenUsed/>
    <w:qFormat/>
    <w:rsid w:val="00BC0BEA"/>
    <w:pPr>
      <w:keepNext/>
      <w:keepLines/>
      <w:spacing w:before="40"/>
      <w:jc w:val="left"/>
      <w:outlineLvl w:val="6"/>
    </w:pPr>
    <w:rPr>
      <w:rFonts w:asciiTheme="minorHAnsi" w:eastAsiaTheme="majorEastAsia" w:hAnsiTheme="minorHAnsi" w:cstheme="majorBidi"/>
      <w:color w:val="595959" w:themeColor="text1" w:themeTint="A6"/>
      <w:kern w:val="2"/>
      <w:sz w:val="20"/>
      <w14:ligatures w14:val="standardContextual"/>
    </w:rPr>
  </w:style>
  <w:style w:type="paragraph" w:styleId="Heading8">
    <w:name w:val="heading 8"/>
    <w:basedOn w:val="Normal"/>
    <w:next w:val="Normal"/>
    <w:link w:val="Heading8Char"/>
    <w:uiPriority w:val="9"/>
    <w:semiHidden/>
    <w:unhideWhenUsed/>
    <w:qFormat/>
    <w:rsid w:val="00BC0BEA"/>
    <w:pPr>
      <w:keepNext/>
      <w:keepLines/>
      <w:jc w:val="left"/>
      <w:outlineLvl w:val="7"/>
    </w:pPr>
    <w:rPr>
      <w:rFonts w:asciiTheme="minorHAnsi" w:eastAsiaTheme="majorEastAsia" w:hAnsiTheme="minorHAnsi" w:cstheme="majorBidi"/>
      <w:i/>
      <w:iCs/>
      <w:color w:val="272727" w:themeColor="text1" w:themeTint="D8"/>
      <w:kern w:val="2"/>
      <w:sz w:val="20"/>
      <w14:ligatures w14:val="standardContextual"/>
    </w:rPr>
  </w:style>
  <w:style w:type="paragraph" w:styleId="Heading9">
    <w:name w:val="heading 9"/>
    <w:basedOn w:val="Normal"/>
    <w:next w:val="Normal"/>
    <w:link w:val="Heading9Char"/>
    <w:uiPriority w:val="9"/>
    <w:semiHidden/>
    <w:unhideWhenUsed/>
    <w:qFormat/>
    <w:rsid w:val="00BC0BEA"/>
    <w:pPr>
      <w:keepNext/>
      <w:keepLines/>
      <w:jc w:val="left"/>
      <w:outlineLvl w:val="8"/>
    </w:pPr>
    <w:rPr>
      <w:rFonts w:asciiTheme="minorHAnsi" w:eastAsiaTheme="majorEastAsia" w:hAnsiTheme="minorHAnsi" w:cstheme="majorBidi"/>
      <w:color w:val="272727" w:themeColor="text1" w:themeTint="D8"/>
      <w:kern w:val="2"/>
      <w:sz w:val="20"/>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B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C0B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C0BE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C0BE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C0BE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C0BE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0BE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0BE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0BE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0BEA"/>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C0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C0BEA"/>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BC0BE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C0BEA"/>
    <w:pPr>
      <w:spacing w:before="160" w:after="160"/>
      <w:jc w:val="center"/>
    </w:pPr>
    <w:rPr>
      <w:rFonts w:ascii="Calibri" w:eastAsiaTheme="minorHAnsi" w:hAnsi="Calibri"/>
      <w:i/>
      <w:iCs/>
      <w:color w:val="404040" w:themeColor="text1" w:themeTint="BF"/>
      <w:kern w:val="2"/>
      <w:sz w:val="20"/>
      <w14:ligatures w14:val="standardContextual"/>
    </w:rPr>
  </w:style>
  <w:style w:type="character" w:customStyle="1" w:styleId="QuoteChar">
    <w:name w:val="Quote Char"/>
    <w:basedOn w:val="DefaultParagraphFont"/>
    <w:link w:val="Quote"/>
    <w:uiPriority w:val="29"/>
    <w:rsid w:val="00BC0BEA"/>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qFormat/>
    <w:rsid w:val="00BC0BEA"/>
    <w:pPr>
      <w:ind w:left="720"/>
      <w:contextualSpacing/>
      <w:jc w:val="left"/>
    </w:pPr>
    <w:rPr>
      <w:rFonts w:ascii="Calibri" w:eastAsiaTheme="minorHAnsi" w:hAnsi="Calibri"/>
      <w:kern w:val="2"/>
      <w:sz w:val="20"/>
      <w14:ligatures w14:val="standardContextual"/>
    </w:rPr>
  </w:style>
  <w:style w:type="character" w:styleId="IntenseEmphasis">
    <w:name w:val="Intense Emphasis"/>
    <w:basedOn w:val="DefaultParagraphFont"/>
    <w:uiPriority w:val="21"/>
    <w:qFormat/>
    <w:rsid w:val="00BC0BEA"/>
    <w:rPr>
      <w:i/>
      <w:iCs/>
      <w:color w:val="2F5496" w:themeColor="accent1" w:themeShade="BF"/>
    </w:rPr>
  </w:style>
  <w:style w:type="paragraph" w:styleId="IntenseQuote">
    <w:name w:val="Intense Quote"/>
    <w:basedOn w:val="Normal"/>
    <w:next w:val="Normal"/>
    <w:link w:val="IntenseQuoteChar"/>
    <w:uiPriority w:val="30"/>
    <w:qFormat/>
    <w:rsid w:val="00BC0BEA"/>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Theme="minorHAnsi" w:hAnsi="Calibri"/>
      <w:i/>
      <w:iCs/>
      <w:color w:val="2F5496" w:themeColor="accent1" w:themeShade="BF"/>
      <w:kern w:val="2"/>
      <w:sz w:val="20"/>
      <w14:ligatures w14:val="standardContextual"/>
    </w:rPr>
  </w:style>
  <w:style w:type="character" w:customStyle="1" w:styleId="IntenseQuoteChar">
    <w:name w:val="Intense Quote Char"/>
    <w:basedOn w:val="DefaultParagraphFont"/>
    <w:link w:val="IntenseQuote"/>
    <w:uiPriority w:val="30"/>
    <w:rsid w:val="00BC0BEA"/>
    <w:rPr>
      <w:i/>
      <w:iCs/>
      <w:color w:val="2F5496" w:themeColor="accent1" w:themeShade="BF"/>
    </w:rPr>
  </w:style>
  <w:style w:type="character" w:styleId="IntenseReference">
    <w:name w:val="Intense Reference"/>
    <w:basedOn w:val="DefaultParagraphFont"/>
    <w:uiPriority w:val="32"/>
    <w:qFormat/>
    <w:rsid w:val="00BC0BEA"/>
    <w:rPr>
      <w:b/>
      <w:bCs/>
      <w:smallCaps/>
      <w:color w:val="2F5496" w:themeColor="accent1" w:themeShade="BF"/>
      <w:spacing w:val="5"/>
    </w:rPr>
  </w:style>
  <w:style w:type="paragraph" w:customStyle="1" w:styleId="SectionVIHeader">
    <w:name w:val="Section VI. Header"/>
    <w:basedOn w:val="Normal"/>
    <w:rsid w:val="00BC0BEA"/>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rsid w:val="00BC0BEA"/>
  </w:style>
  <w:style w:type="character" w:customStyle="1" w:styleId="normaltextrun">
    <w:name w:val="normaltextrun"/>
    <w:basedOn w:val="DefaultParagraphFont"/>
    <w:rsid w:val="00BC0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13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Minh</dc:creator>
  <cp:keywords/>
  <dc:description/>
  <cp:lastModifiedBy>LPA</cp:lastModifiedBy>
  <cp:revision>8</cp:revision>
  <dcterms:created xsi:type="dcterms:W3CDTF">2025-06-24T07:59:00Z</dcterms:created>
  <dcterms:modified xsi:type="dcterms:W3CDTF">2025-10-29T06:56:00Z</dcterms:modified>
</cp:coreProperties>
</file>