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A4" w:rsidRPr="008A04A4" w:rsidRDefault="008A04A4" w:rsidP="00D01AC8">
      <w:pPr>
        <w:widowControl w:val="0"/>
        <w:tabs>
          <w:tab w:val="left" w:pos="0"/>
          <w:tab w:val="left" w:pos="851"/>
          <w:tab w:val="left" w:pos="1418"/>
        </w:tabs>
        <w:autoSpaceDE w:val="0"/>
        <w:autoSpaceDN w:val="0"/>
        <w:spacing w:before="120" w:after="0" w:line="264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A04A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Phần 2. YÊU CẦU VỀ KỸ THUẬT</w:t>
      </w:r>
    </w:p>
    <w:p w:rsidR="008A04A4" w:rsidRPr="008A04A4" w:rsidRDefault="008A04A4" w:rsidP="00D01AC8">
      <w:pPr>
        <w:widowControl w:val="0"/>
        <w:tabs>
          <w:tab w:val="left" w:pos="0"/>
          <w:tab w:val="left" w:pos="851"/>
          <w:tab w:val="left" w:pos="1418"/>
        </w:tabs>
        <w:autoSpaceDE w:val="0"/>
        <w:autoSpaceDN w:val="0"/>
        <w:spacing w:before="120" w:after="0" w:line="264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A04A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Chương V. YÊU CẦU VỀ KỸ THUẬT</w:t>
      </w:r>
    </w:p>
    <w:p w:rsidR="008A04A4" w:rsidRPr="008A04A4" w:rsidRDefault="008A04A4" w:rsidP="00D01AC8">
      <w:pPr>
        <w:tabs>
          <w:tab w:val="left" w:pos="1418"/>
        </w:tabs>
        <w:spacing w:before="120"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8A04A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 Giới thiệu về gói thầu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gói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Kho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Tháo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0,5mm,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lợp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cuốn</w:t>
      </w:r>
      <w:proofErr w:type="spellEnd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chiếu</w:t>
      </w:r>
      <w:proofErr w:type="spellEnd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546E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Mộc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– Kho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Tháo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0,5mm,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lợp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cuốn</w:t>
      </w:r>
      <w:proofErr w:type="spellEnd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>chiếu</w:t>
      </w:r>
      <w:proofErr w:type="spellEnd"/>
      <w:r w:rsidRPr="00653B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546E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dột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quạt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Mộc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– Kho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dột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- An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; An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; An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01AC8" w:rsidRPr="00D01AC8">
        <w:rPr>
          <w:rFonts w:ascii="Times New Roman" w:eastAsia="Times New Roman" w:hAnsi="Times New Roman" w:cs="Times New Roman"/>
          <w:b/>
          <w:sz w:val="28"/>
          <w:szCs w:val="28"/>
        </w:rPr>
        <w:t xml:space="preserve">Cam </w:t>
      </w:r>
      <w:proofErr w:type="spellStart"/>
      <w:r w:rsidR="00D01AC8" w:rsidRPr="00D01AC8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="00D01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6472">
        <w:rPr>
          <w:rFonts w:ascii="Times New Roman" w:eastAsia="Times New Roman" w:hAnsi="Times New Roman" w:cs="Times New Roman"/>
          <w:b/>
          <w:sz w:val="28"/>
          <w:szCs w:val="28"/>
        </w:rPr>
        <w:t xml:space="preserve">60 </w:t>
      </w:r>
      <w:proofErr w:type="spellStart"/>
      <w:r w:rsidRPr="00C06472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546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 Yêu cầu về tiến độ thực hiện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D01AC8">
        <w:rPr>
          <w:rFonts w:ascii="Times New Roman" w:eastAsia="Times New Roman" w:hAnsi="Times New Roman" w:cs="Times New Roman"/>
          <w:sz w:val="28"/>
          <w:szCs w:val="28"/>
        </w:rPr>
        <w:t>Tiến độ thực hiện: Thời gian từ khi khởi công đến khi hoàn thành toàn bộ công</w:t>
      </w: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trình </w:t>
      </w:r>
      <w:r w:rsidR="00653B59" w:rsidRPr="00C06472">
        <w:rPr>
          <w:rFonts w:ascii="Times New Roman" w:eastAsia="Times New Roman" w:hAnsi="Times New Roman" w:cs="Times New Roman"/>
          <w:b/>
          <w:sz w:val="28"/>
          <w:szCs w:val="28"/>
        </w:rPr>
        <w:t>60</w:t>
      </w:r>
      <w:r w:rsidRPr="00C0647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b/>
          <w:sz w:val="28"/>
          <w:szCs w:val="28"/>
        </w:rPr>
        <w:t>ngày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thuật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b/>
          <w:bCs/>
          <w:sz w:val="28"/>
          <w:szCs w:val="28"/>
        </w:rPr>
        <w:t>thuật</w:t>
      </w:r>
      <w:proofErr w:type="spellEnd"/>
    </w:p>
    <w:p w:rsidR="00A546E3" w:rsidRPr="00A546E3" w:rsidRDefault="00A546E3" w:rsidP="00D01AC8">
      <w:pPr>
        <w:numPr>
          <w:ilvl w:val="0"/>
          <w:numId w:val="1"/>
        </w:numPr>
        <w:spacing w:before="120"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46E3" w:rsidRPr="00C06472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6472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064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TCVN 5308-1991: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TCVN 4055-2012: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06/2021/NĐ-CP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26/01/2021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546E3" w:rsidRPr="00A546E3" w:rsidRDefault="00A546E3" w:rsidP="00D01AC8">
      <w:pPr>
        <w:numPr>
          <w:ilvl w:val="0"/>
          <w:numId w:val="1"/>
        </w:numPr>
        <w:spacing w:before="120"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46E3" w:rsidRPr="00D01AC8" w:rsidRDefault="00A546E3" w:rsidP="00D01AC8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01AC8">
        <w:rPr>
          <w:rFonts w:ascii="Times New Roman" w:eastAsia="Times New Roman" w:hAnsi="Times New Roman" w:cs="Times New Roman"/>
          <w:b/>
          <w:sz w:val="28"/>
          <w:szCs w:val="28"/>
        </w:rPr>
        <w:t>Bảng</w:t>
      </w:r>
      <w:proofErr w:type="spellEnd"/>
      <w:r w:rsidRPr="00D01AC8">
        <w:rPr>
          <w:rFonts w:ascii="Times New Roman" w:eastAsia="Times New Roman" w:hAnsi="Times New Roman" w:cs="Times New Roman"/>
          <w:b/>
          <w:sz w:val="28"/>
          <w:szCs w:val="28"/>
        </w:rPr>
        <w:t xml:space="preserve"> 1 YÊU CẦU KỸ THUẬT CỦA THIẾT BỊ, VẬT TƯ CHỦ YẾU.</w:t>
      </w:r>
    </w:p>
    <w:tbl>
      <w:tblPr>
        <w:tblW w:w="925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100"/>
        <w:gridCol w:w="3559"/>
        <w:gridCol w:w="3006"/>
      </w:tblGrid>
      <w:tr w:rsidR="00A546E3" w:rsidRPr="00A546E3" w:rsidTr="00EB3170">
        <w:tc>
          <w:tcPr>
            <w:tcW w:w="590" w:type="dxa"/>
            <w:shd w:val="clear" w:color="auto" w:fill="auto"/>
            <w:noWrap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TT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vật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3559" w:type="dxa"/>
            <w:shd w:val="clear" w:color="auto" w:fill="auto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Đặc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tính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3006" w:type="dxa"/>
            <w:shd w:val="clear" w:color="auto" w:fill="auto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Nhãn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Xuất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xứ</w:t>
            </w:r>
            <w:proofErr w:type="spellEnd"/>
          </w:p>
        </w:tc>
      </w:tr>
      <w:tr w:rsidR="00A546E3" w:rsidRPr="00A546E3" w:rsidTr="00EB3170">
        <w:tc>
          <w:tcPr>
            <w:tcW w:w="590" w:type="dxa"/>
            <w:shd w:val="clear" w:color="auto" w:fill="auto"/>
            <w:noWrap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Tole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sóng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mạ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</w:tc>
        <w:tc>
          <w:tcPr>
            <w:tcW w:w="3559" w:type="dxa"/>
            <w:shd w:val="clear" w:color="auto" w:fill="auto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Tole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dày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0,5mm (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sen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đương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thầu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xứ</w:t>
            </w:r>
            <w:proofErr w:type="spellEnd"/>
          </w:p>
        </w:tc>
      </w:tr>
      <w:tr w:rsidR="00A546E3" w:rsidRPr="00A546E3" w:rsidTr="00EB3170">
        <w:tc>
          <w:tcPr>
            <w:tcW w:w="590" w:type="dxa"/>
            <w:shd w:val="clear" w:color="auto" w:fill="auto"/>
            <w:noWrap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Vít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tole</w:t>
            </w:r>
            <w:proofErr w:type="spellEnd"/>
          </w:p>
        </w:tc>
        <w:tc>
          <w:tcPr>
            <w:tcW w:w="3559" w:type="dxa"/>
            <w:shd w:val="clear" w:color="auto" w:fill="auto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Vít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bắn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tole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mạ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kẽm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nhúng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B2S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AS3566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thầu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</w:rPr>
              <w:t>xứ</w:t>
            </w:r>
            <w:proofErr w:type="spellEnd"/>
          </w:p>
        </w:tc>
      </w:tr>
    </w:tbl>
    <w:p w:rsidR="00A546E3" w:rsidRPr="00A546E3" w:rsidRDefault="00A546E3" w:rsidP="00D01AC8">
      <w:pPr>
        <w:numPr>
          <w:ilvl w:val="0"/>
          <w:numId w:val="1"/>
        </w:numPr>
        <w:spacing w:before="120" w:after="0"/>
        <w:ind w:left="142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2142379"/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chủng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proofErr w:type="gram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D01AC8" w:rsidRDefault="00A546E3" w:rsidP="00D01AC8">
      <w:pPr>
        <w:spacing w:before="12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nhãn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xứ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liệt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2 – </w:t>
      </w:r>
      <w:proofErr w:type="spellStart"/>
      <w:r w:rsidRPr="00D01AC8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D01AC8">
        <w:rPr>
          <w:rFonts w:ascii="Times New Roman" w:eastAsia="Times New Roman" w:hAnsi="Times New Roman" w:cs="Times New Roman"/>
          <w:sz w:val="28"/>
          <w:szCs w:val="28"/>
        </w:rPr>
        <w:t xml:space="preserve"> 1 YÊU CẦU KỸ THUẬT CỦA THIẾT BỊ, VẬT TƯ CHỦ YẾU</w:t>
      </w:r>
    </w:p>
    <w:bookmarkEnd w:id="0"/>
    <w:p w:rsidR="00A546E3" w:rsidRPr="00A546E3" w:rsidRDefault="00A546E3" w:rsidP="00D01AC8">
      <w:pPr>
        <w:numPr>
          <w:ilvl w:val="0"/>
          <w:numId w:val="1"/>
        </w:numPr>
        <w:spacing w:before="120" w:after="0"/>
        <w:ind w:left="142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về trình bày biện pháp thi công</w:t>
      </w:r>
      <w:r w:rsidRPr="00A546E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bảo hành, bảo trì, duy tu bảo dưỡng (nếu có)</w:t>
      </w:r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tháo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che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1481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611481">
        <w:rPr>
          <w:rFonts w:ascii="Times New Roman" w:eastAsia="Times New Roman" w:hAnsi="Times New Roman" w:cs="Times New Roman"/>
          <w:b/>
          <w:sz w:val="28"/>
          <w:szCs w:val="28"/>
        </w:rPr>
        <w:t xml:space="preserve"> cam </w:t>
      </w:r>
      <w:proofErr w:type="spellStart"/>
      <w:r w:rsidRPr="00611481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tháo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dỡ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46E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lắp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quạt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Xưởng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mộc_Kho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hương_Kho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46E3" w:rsidRPr="00A546E3" w:rsidRDefault="00A546E3" w:rsidP="00D01AC8">
      <w:pPr>
        <w:pStyle w:val="ListParagraph"/>
        <w:numPr>
          <w:ilvl w:val="0"/>
          <w:numId w:val="2"/>
        </w:numPr>
        <w:spacing w:before="120"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546E3" w:rsidRPr="00A546E3" w:rsidRDefault="00A546E3" w:rsidP="00D01AC8">
      <w:pPr>
        <w:numPr>
          <w:ilvl w:val="0"/>
          <w:numId w:val="1"/>
        </w:numPr>
        <w:spacing w:before="120" w:after="0"/>
        <w:ind w:left="142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Đấu thầu bền vững: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gom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46E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546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6E3" w:rsidRPr="00A546E3" w:rsidRDefault="00A546E3" w:rsidP="00D01AC8">
      <w:pPr>
        <w:numPr>
          <w:ilvl w:val="0"/>
          <w:numId w:val="1"/>
        </w:numPr>
        <w:spacing w:before="120" w:after="0"/>
        <w:ind w:left="142" w:hanging="35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Bảo hành công trình. 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>- Thời gian bảo hành công trình: ≥ 1</w:t>
      </w:r>
      <w:r w:rsidRPr="00A546E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tháng kể từ ngày nghiệm thu hoàn thành và bàn giao đưa vào sử dụng.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IV. Các bản vẽ</w:t>
      </w:r>
      <w:r w:rsidRPr="00A546E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A546E3" w:rsidRPr="00A546E3" w:rsidRDefault="00A546E3" w:rsidP="00D01AC8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6E3">
        <w:rPr>
          <w:rFonts w:ascii="Times New Roman" w:eastAsia="Times New Roman" w:hAnsi="Times New Roman" w:cs="Times New Roman"/>
          <w:sz w:val="28"/>
          <w:szCs w:val="28"/>
          <w:lang w:val="vi-VN"/>
        </w:rPr>
        <w:t>E-HSMT này gồm có các bản vẽ trong danh mục sau đây:</w:t>
      </w:r>
    </w:p>
    <w:tbl>
      <w:tblPr>
        <w:tblW w:w="90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977"/>
        <w:gridCol w:w="3808"/>
        <w:gridCol w:w="2546"/>
      </w:tblGrid>
      <w:tr w:rsidR="00A546E3" w:rsidRPr="00A546E3" w:rsidTr="00A546E3">
        <w:trPr>
          <w:trHeight w:val="70"/>
        </w:trPr>
        <w:tc>
          <w:tcPr>
            <w:tcW w:w="709" w:type="dxa"/>
            <w:shd w:val="clear" w:color="auto" w:fill="E2EFD9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STT</w:t>
            </w:r>
          </w:p>
        </w:tc>
        <w:tc>
          <w:tcPr>
            <w:tcW w:w="1985" w:type="dxa"/>
            <w:shd w:val="clear" w:color="auto" w:fill="E2EFD9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Ký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hiệu</w:t>
            </w:r>
            <w:proofErr w:type="spellEnd"/>
          </w:p>
        </w:tc>
        <w:tc>
          <w:tcPr>
            <w:tcW w:w="3827" w:type="dxa"/>
            <w:shd w:val="clear" w:color="auto" w:fill="E2EFD9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Tên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bản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vẽ</w:t>
            </w:r>
            <w:proofErr w:type="spellEnd"/>
          </w:p>
        </w:tc>
        <w:tc>
          <w:tcPr>
            <w:tcW w:w="2556" w:type="dxa"/>
            <w:shd w:val="clear" w:color="auto" w:fill="E2EFD9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Phiên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bản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/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ngày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phát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hành</w:t>
            </w:r>
            <w:proofErr w:type="spellEnd"/>
          </w:p>
        </w:tc>
      </w:tr>
      <w:tr w:rsidR="00A546E3" w:rsidRPr="00A546E3" w:rsidTr="00A546E3">
        <w:trPr>
          <w:trHeight w:val="70"/>
        </w:trPr>
        <w:tc>
          <w:tcPr>
            <w:tcW w:w="709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01/TT-2025</w:t>
            </w:r>
          </w:p>
        </w:tc>
        <w:tc>
          <w:tcPr>
            <w:tcW w:w="3827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Xưởng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mộc_Kho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hương_Kho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lastRenderedPageBreak/>
              <w:t>Thành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phẩm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(1/1)</w:t>
            </w:r>
          </w:p>
        </w:tc>
        <w:tc>
          <w:tcPr>
            <w:tcW w:w="2556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lastRenderedPageBreak/>
              <w:t>02/7/2025</w:t>
            </w:r>
          </w:p>
        </w:tc>
      </w:tr>
      <w:tr w:rsidR="00A546E3" w:rsidRPr="00A546E3" w:rsidTr="00A546E3">
        <w:trPr>
          <w:trHeight w:val="70"/>
        </w:trPr>
        <w:tc>
          <w:tcPr>
            <w:tcW w:w="709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01/TT-2025</w:t>
            </w:r>
          </w:p>
        </w:tc>
        <w:tc>
          <w:tcPr>
            <w:tcW w:w="3827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Kho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Thành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phẩm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thấp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(1/2)</w:t>
            </w:r>
          </w:p>
        </w:tc>
        <w:tc>
          <w:tcPr>
            <w:tcW w:w="2556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02/7/2025</w:t>
            </w:r>
          </w:p>
        </w:tc>
      </w:tr>
      <w:tr w:rsidR="00A546E3" w:rsidRPr="00A546E3" w:rsidTr="00A546E3">
        <w:trPr>
          <w:trHeight w:val="70"/>
        </w:trPr>
        <w:tc>
          <w:tcPr>
            <w:tcW w:w="709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1985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01/TT-2025</w:t>
            </w:r>
          </w:p>
        </w:tc>
        <w:tc>
          <w:tcPr>
            <w:tcW w:w="3827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Kho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Thành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phẩm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thấp</w:t>
            </w:r>
            <w:proofErr w:type="spellEnd"/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(2/2)</w:t>
            </w:r>
          </w:p>
        </w:tc>
        <w:tc>
          <w:tcPr>
            <w:tcW w:w="2556" w:type="dxa"/>
            <w:vAlign w:val="center"/>
          </w:tcPr>
          <w:p w:rsidR="00A546E3" w:rsidRPr="00A546E3" w:rsidRDefault="00A546E3" w:rsidP="00D01AC8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02/7/2025</w:t>
            </w:r>
          </w:p>
        </w:tc>
      </w:tr>
    </w:tbl>
    <w:p w:rsidR="0024450E" w:rsidRDefault="0024450E" w:rsidP="006E7134">
      <w:pPr>
        <w:spacing w:before="120" w:after="0"/>
        <w:jc w:val="both"/>
      </w:pPr>
      <w:bookmarkStart w:id="1" w:name="_GoBack"/>
      <w:bookmarkEnd w:id="1"/>
    </w:p>
    <w:sectPr w:rsidR="0024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140"/>
    <w:multiLevelType w:val="hybridMultilevel"/>
    <w:tmpl w:val="C0F886B0"/>
    <w:lvl w:ilvl="0" w:tplc="AAC4B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C6363B"/>
    <w:multiLevelType w:val="hybridMultilevel"/>
    <w:tmpl w:val="4FF8721A"/>
    <w:lvl w:ilvl="0" w:tplc="1FD6B1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A4"/>
    <w:rsid w:val="0024450E"/>
    <w:rsid w:val="005B125E"/>
    <w:rsid w:val="00611481"/>
    <w:rsid w:val="00653B59"/>
    <w:rsid w:val="006E7134"/>
    <w:rsid w:val="008A04A4"/>
    <w:rsid w:val="00902A82"/>
    <w:rsid w:val="00A546E3"/>
    <w:rsid w:val="00C06472"/>
    <w:rsid w:val="00D01AC8"/>
    <w:rsid w:val="00F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"/>
    <w:autoRedefine/>
    <w:qFormat/>
    <w:rsid w:val="00F75424"/>
    <w:pPr>
      <w:keepNext/>
      <w:spacing w:after="0" w:line="240" w:lineRule="auto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Header3 Char,ClauseSub_No&amp;Name Char,Section Header3 Char Char Char,Sub-Clause Paragraph Char"/>
    <w:link w:val="Heading3"/>
    <w:rsid w:val="00F75424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06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"/>
    <w:autoRedefine/>
    <w:qFormat/>
    <w:rsid w:val="00F75424"/>
    <w:pPr>
      <w:keepNext/>
      <w:spacing w:after="0" w:line="240" w:lineRule="auto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Header3 Char,ClauseSub_No&amp;Name Char,Section Header3 Char Char Char,Sub-Clause Paragraph Char"/>
    <w:link w:val="Heading3"/>
    <w:rsid w:val="00F75424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0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2025-11-26T08:54:00Z</cp:lastPrinted>
  <dcterms:created xsi:type="dcterms:W3CDTF">2025-11-25T01:14:00Z</dcterms:created>
  <dcterms:modified xsi:type="dcterms:W3CDTF">2025-11-27T06:24:00Z</dcterms:modified>
</cp:coreProperties>
</file>