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075" w:rsidRPr="009B3CBC" w:rsidRDefault="00B21075" w:rsidP="00B21075">
      <w:pPr>
        <w:pStyle w:val="TOC1"/>
      </w:pPr>
      <w:r w:rsidRPr="009B3CBC">
        <w:rPr>
          <w:b/>
          <w:bCs/>
        </w:rPr>
        <w:t xml:space="preserve">Mục </w:t>
      </w:r>
      <w:r w:rsidRPr="009B3CBC">
        <w:rPr>
          <w:b/>
          <w:bCs/>
          <w:lang w:val="pl-PL"/>
        </w:rPr>
        <w:t>3</w:t>
      </w:r>
      <w:r w:rsidRPr="009B3CBC">
        <w:rPr>
          <w:b/>
          <w:bCs/>
        </w:rPr>
        <w:t>. Tiêu chuẩn đánh giá về kỹ thuật:</w:t>
      </w:r>
      <w:r w:rsidRPr="009B3CBC">
        <w:rPr>
          <w:lang w:val="es-ES"/>
        </w:rPr>
        <w:t>Đánh giá theo phương phápđạt/không đạt</w:t>
      </w:r>
    </w:p>
    <w:tbl>
      <w:tblPr>
        <w:tblW w:w="50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46"/>
        <w:gridCol w:w="4101"/>
        <w:gridCol w:w="1541"/>
      </w:tblGrid>
      <w:tr w:rsidR="00B21075" w:rsidRPr="009B3CBC" w:rsidTr="004B0C90">
        <w:tc>
          <w:tcPr>
            <w:tcW w:w="2027" w:type="pct"/>
            <w:tcBorders>
              <w:top w:val="single" w:sz="4" w:space="0" w:color="auto"/>
              <w:left w:val="single" w:sz="4" w:space="0" w:color="auto"/>
              <w:bottom w:val="single" w:sz="4" w:space="0" w:color="auto"/>
              <w:right w:val="single" w:sz="4" w:space="0" w:color="auto"/>
            </w:tcBorders>
            <w:vAlign w:val="center"/>
          </w:tcPr>
          <w:p w:rsidR="00B21075" w:rsidRPr="009B3CBC" w:rsidRDefault="00B21075" w:rsidP="004B0C90">
            <w:pPr>
              <w:jc w:val="center"/>
              <w:rPr>
                <w:b/>
                <w:bCs/>
                <w:spacing w:val="-10"/>
                <w:szCs w:val="28"/>
                <w:lang w:val="es-ES"/>
              </w:rPr>
            </w:pPr>
            <w:r w:rsidRPr="009B3CBC">
              <w:rPr>
                <w:b/>
                <w:bCs/>
                <w:spacing w:val="-10"/>
                <w:sz w:val="28"/>
                <w:szCs w:val="28"/>
                <w:lang w:val="es-ES"/>
              </w:rPr>
              <w:t>Nội dung yêu cầu</w:t>
            </w:r>
          </w:p>
        </w:tc>
        <w:tc>
          <w:tcPr>
            <w:tcW w:w="2973" w:type="pct"/>
            <w:gridSpan w:val="2"/>
            <w:tcBorders>
              <w:top w:val="single" w:sz="4" w:space="0" w:color="auto"/>
              <w:left w:val="single" w:sz="4" w:space="0" w:color="auto"/>
              <w:bottom w:val="single" w:sz="4" w:space="0" w:color="auto"/>
              <w:right w:val="single" w:sz="4" w:space="0" w:color="auto"/>
            </w:tcBorders>
            <w:vAlign w:val="center"/>
          </w:tcPr>
          <w:p w:rsidR="00B21075" w:rsidRPr="009B3CBC" w:rsidRDefault="00B21075" w:rsidP="004B0C90">
            <w:pPr>
              <w:jc w:val="center"/>
              <w:rPr>
                <w:b/>
                <w:bCs/>
                <w:szCs w:val="28"/>
                <w:lang w:val="es-ES"/>
              </w:rPr>
            </w:pPr>
            <w:r w:rsidRPr="009B3CBC">
              <w:rPr>
                <w:b/>
                <w:bCs/>
                <w:sz w:val="28"/>
                <w:szCs w:val="28"/>
                <w:lang w:val="es-ES"/>
              </w:rPr>
              <w:t>Mức độ đáp ứng</w:t>
            </w:r>
          </w:p>
        </w:tc>
      </w:tr>
      <w:tr w:rsidR="00B21075" w:rsidRPr="009B3CBC" w:rsidTr="004B0C90">
        <w:tc>
          <w:tcPr>
            <w:tcW w:w="5000" w:type="pct"/>
            <w:gridSpan w:val="3"/>
            <w:tcBorders>
              <w:top w:val="single" w:sz="4" w:space="0" w:color="auto"/>
              <w:left w:val="single" w:sz="4" w:space="0" w:color="auto"/>
              <w:bottom w:val="single" w:sz="4" w:space="0" w:color="auto"/>
              <w:right w:val="single" w:sz="4" w:space="0" w:color="auto"/>
            </w:tcBorders>
            <w:vAlign w:val="center"/>
          </w:tcPr>
          <w:p w:rsidR="00B21075" w:rsidRPr="009B3CBC" w:rsidRDefault="00B21075" w:rsidP="004B0C90">
            <w:pPr>
              <w:rPr>
                <w:b/>
                <w:szCs w:val="28"/>
                <w:lang w:val="es-ES"/>
              </w:rPr>
            </w:pPr>
            <w:r w:rsidRPr="009B3CBC">
              <w:rPr>
                <w:b/>
                <w:sz w:val="28"/>
                <w:szCs w:val="28"/>
                <w:lang w:val="es-ES"/>
              </w:rPr>
              <w:t>1. Đặc tính, thông số kỹ thuật của hàng hóa</w:t>
            </w:r>
          </w:p>
        </w:tc>
      </w:tr>
      <w:tr w:rsidR="00B21075" w:rsidRPr="009B3CBC" w:rsidTr="004B0C90">
        <w:tc>
          <w:tcPr>
            <w:tcW w:w="2027" w:type="pct"/>
            <w:vMerge w:val="restar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ind w:left="-113" w:right="-107"/>
              <w:rPr>
                <w:spacing w:val="-10"/>
                <w:szCs w:val="28"/>
                <w:lang w:val="es-ES"/>
              </w:rPr>
            </w:pPr>
            <w:r w:rsidRPr="009B3CBC">
              <w:rPr>
                <w:sz w:val="28"/>
                <w:szCs w:val="28"/>
              </w:rPr>
              <w:t>Đặc tính, thông số kỹ thuật của hàng hóa, tiêu chuẩn sản xuất, tiêu chuẩn chế tạo và công nghệ</w:t>
            </w:r>
          </w:p>
        </w:tc>
        <w:tc>
          <w:tcPr>
            <w:tcW w:w="2161" w:type="pct"/>
            <w:tcBorders>
              <w:top w:val="single" w:sz="4" w:space="0" w:color="auto"/>
              <w:left w:val="single" w:sz="4" w:space="0" w:color="auto"/>
              <w:bottom w:val="single" w:sz="4" w:space="0" w:color="auto"/>
              <w:right w:val="single" w:sz="4" w:space="0" w:color="auto"/>
            </w:tcBorders>
            <w:vAlign w:val="center"/>
          </w:tcPr>
          <w:p w:rsidR="00B21075" w:rsidRPr="009B3CBC" w:rsidRDefault="00B21075" w:rsidP="004B0C90">
            <w:pPr>
              <w:ind w:left="-113" w:right="-107"/>
              <w:rPr>
                <w:szCs w:val="28"/>
              </w:rPr>
            </w:pPr>
            <w:r w:rsidRPr="009B3CBC">
              <w:rPr>
                <w:sz w:val="28"/>
                <w:szCs w:val="28"/>
              </w:rPr>
              <w:t>- Nhà thầu phải đề xuất đặc tính, thông số kỹ thuật của hàng hóa hoàn toàn phù hợp đáp ứng yêu cầu của HSMT, có đầy đủ ký mã hiệu, nhãn mác, nhà sản xuất, xuất xứ rõ ràng.</w:t>
            </w:r>
          </w:p>
          <w:p w:rsidR="00B21075" w:rsidRPr="009B3CBC" w:rsidRDefault="00B21075" w:rsidP="004B0C90">
            <w:pPr>
              <w:ind w:left="-113" w:right="-107"/>
              <w:rPr>
                <w:spacing w:val="-8"/>
                <w:szCs w:val="28"/>
                <w:lang w:val="es-ES"/>
              </w:rPr>
            </w:pPr>
            <w:r w:rsidRPr="009B3CBC">
              <w:rPr>
                <w:sz w:val="28"/>
                <w:szCs w:val="28"/>
              </w:rPr>
              <w:t>- Có Bảng so sánh thông số kỹ thuật giữa hàng hóa chào thầu với thông số kỹ thuật theo yêu cầu (Bảng biểu mẫu tại Chương V), kèm Catalogue của hàng hóa chào thầu trong đó có thể hiện đầy đủ thông số kỹ thuật đối với hàng hóa mà nhà thầu chào. Nếu Catalogue/tài liệu kỹ thuật là tiếng nước ngoài thì phải có bản dịch sang Tiếng Việt được công chứng.</w:t>
            </w:r>
          </w:p>
        </w:tc>
        <w:tc>
          <w:tcPr>
            <w:tcW w:w="812" w:type="pc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jc w:val="center"/>
              <w:rPr>
                <w:b/>
                <w:szCs w:val="28"/>
                <w:lang w:val="es-ES"/>
              </w:rPr>
            </w:pPr>
            <w:r w:rsidRPr="009B3CBC">
              <w:rPr>
                <w:b/>
                <w:sz w:val="28"/>
                <w:szCs w:val="28"/>
                <w:lang w:val="es-ES"/>
              </w:rPr>
              <w:t>Đạt</w:t>
            </w:r>
          </w:p>
        </w:tc>
      </w:tr>
      <w:tr w:rsidR="00B21075" w:rsidRPr="009B3CBC" w:rsidTr="004B0C90">
        <w:tc>
          <w:tcPr>
            <w:tcW w:w="2027" w:type="pct"/>
            <w:vMerge/>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jc w:val="left"/>
              <w:rPr>
                <w:spacing w:val="-10"/>
                <w:szCs w:val="28"/>
                <w:lang w:val="es-ES"/>
              </w:rPr>
            </w:pPr>
          </w:p>
        </w:tc>
        <w:tc>
          <w:tcPr>
            <w:tcW w:w="2161" w:type="pc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ind w:left="-113" w:right="-107"/>
              <w:rPr>
                <w:spacing w:val="-4"/>
                <w:szCs w:val="28"/>
                <w:lang w:val="es-ES"/>
              </w:rPr>
            </w:pPr>
            <w:r w:rsidRPr="009B3CBC">
              <w:rPr>
                <w:spacing w:val="-4"/>
                <w:sz w:val="28"/>
                <w:szCs w:val="28"/>
                <w:lang w:val="es-ES"/>
              </w:rPr>
              <w:t>Không đáp ứng yêu cầu nêu trên</w:t>
            </w:r>
          </w:p>
        </w:tc>
        <w:tc>
          <w:tcPr>
            <w:tcW w:w="812" w:type="pc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jc w:val="center"/>
              <w:rPr>
                <w:b/>
                <w:szCs w:val="28"/>
                <w:lang w:val="es-ES"/>
              </w:rPr>
            </w:pPr>
            <w:r w:rsidRPr="009B3CBC">
              <w:rPr>
                <w:b/>
                <w:sz w:val="28"/>
                <w:szCs w:val="28"/>
                <w:lang w:val="es-ES"/>
              </w:rPr>
              <w:t>Không đạt</w:t>
            </w:r>
          </w:p>
        </w:tc>
      </w:tr>
      <w:tr w:rsidR="00B21075" w:rsidRPr="009B3CBC" w:rsidTr="004B0C90">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rPr>
                <w:b/>
                <w:szCs w:val="28"/>
                <w:lang w:val="es-ES"/>
              </w:rPr>
            </w:pPr>
            <w:r w:rsidRPr="009B3CBC">
              <w:rPr>
                <w:b/>
                <w:sz w:val="28"/>
                <w:szCs w:val="28"/>
                <w:lang w:val="es-ES"/>
              </w:rPr>
              <w:t>2. Tiêu chuẩn chất lượng của hàng hóa</w:t>
            </w:r>
          </w:p>
        </w:tc>
      </w:tr>
      <w:tr w:rsidR="00B21075" w:rsidRPr="009B3CBC" w:rsidTr="004B0C90">
        <w:trPr>
          <w:trHeight w:val="561"/>
        </w:trPr>
        <w:tc>
          <w:tcPr>
            <w:tcW w:w="2027" w:type="pct"/>
            <w:vMerge w:val="restar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rPr>
                <w:szCs w:val="28"/>
                <w:lang w:val="es-ES"/>
              </w:rPr>
            </w:pPr>
            <w:r w:rsidRPr="009B3CBC">
              <w:rPr>
                <w:sz w:val="28"/>
                <w:szCs w:val="28"/>
                <w:lang w:val="es-ES"/>
              </w:rPr>
              <w:t>Tiêu chuẩn chất lượng của hàng hóa</w:t>
            </w:r>
          </w:p>
        </w:tc>
        <w:tc>
          <w:tcPr>
            <w:tcW w:w="2161" w:type="pc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ind w:left="-113" w:right="-107"/>
              <w:rPr>
                <w:spacing w:val="-6"/>
                <w:szCs w:val="28"/>
                <w:lang w:val="es-ES"/>
              </w:rPr>
            </w:pPr>
            <w:r w:rsidRPr="009B3CBC">
              <w:rPr>
                <w:spacing w:val="-6"/>
                <w:sz w:val="28"/>
                <w:szCs w:val="28"/>
                <w:lang w:val="es-ES"/>
              </w:rPr>
              <w:t>- Hàng hóa có tiêu chuẩn sản xuất hoàn toàn phù hợp, đáp ứng yêu cầu của E-HSMT.</w:t>
            </w:r>
          </w:p>
          <w:p w:rsidR="00B21075" w:rsidRPr="009B3CBC" w:rsidRDefault="00B21075" w:rsidP="004B0C90">
            <w:pPr>
              <w:ind w:left="-113" w:right="-107"/>
              <w:rPr>
                <w:szCs w:val="28"/>
                <w:lang w:val="es-ES"/>
              </w:rPr>
            </w:pPr>
            <w:r w:rsidRPr="009B3CBC">
              <w:rPr>
                <w:sz w:val="28"/>
                <w:szCs w:val="28"/>
                <w:lang w:val="es-ES"/>
              </w:rPr>
              <w:t xml:space="preserve">- Hàng hóa mới 100% chưa qua sử dụng, sản xuất từ năm 2025 trở về sau; </w:t>
            </w:r>
          </w:p>
          <w:p w:rsidR="00B21075" w:rsidRPr="009B3CBC" w:rsidRDefault="00B21075" w:rsidP="004B0C90">
            <w:pPr>
              <w:ind w:left="-113" w:right="-107"/>
              <w:rPr>
                <w:szCs w:val="28"/>
                <w:lang w:val="es-ES"/>
              </w:rPr>
            </w:pPr>
          </w:p>
        </w:tc>
        <w:tc>
          <w:tcPr>
            <w:tcW w:w="812" w:type="pc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jc w:val="center"/>
              <w:rPr>
                <w:b/>
                <w:szCs w:val="28"/>
                <w:lang w:val="es-ES"/>
              </w:rPr>
            </w:pPr>
            <w:r w:rsidRPr="009B3CBC">
              <w:rPr>
                <w:b/>
                <w:sz w:val="28"/>
                <w:szCs w:val="28"/>
                <w:lang w:val="es-ES"/>
              </w:rPr>
              <w:t>Đạt</w:t>
            </w:r>
          </w:p>
        </w:tc>
      </w:tr>
      <w:tr w:rsidR="00B21075" w:rsidRPr="009B3CBC" w:rsidTr="004B0C90">
        <w:tc>
          <w:tcPr>
            <w:tcW w:w="2027" w:type="pct"/>
            <w:vMerge/>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jc w:val="left"/>
              <w:rPr>
                <w:szCs w:val="28"/>
                <w:lang w:val="es-ES"/>
              </w:rPr>
            </w:pPr>
          </w:p>
        </w:tc>
        <w:tc>
          <w:tcPr>
            <w:tcW w:w="2161" w:type="pc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ind w:left="-113" w:right="-107"/>
              <w:rPr>
                <w:szCs w:val="28"/>
                <w:lang w:val="es-ES"/>
              </w:rPr>
            </w:pPr>
            <w:r w:rsidRPr="009B3CBC">
              <w:rPr>
                <w:spacing w:val="-4"/>
                <w:sz w:val="28"/>
                <w:szCs w:val="28"/>
                <w:lang w:val="es-ES"/>
              </w:rPr>
              <w:t>Không đáp ứng yêu cầu nêu trên</w:t>
            </w:r>
            <w:r w:rsidRPr="009B3CBC">
              <w:rPr>
                <w:sz w:val="28"/>
                <w:szCs w:val="28"/>
                <w:lang w:val="es-ES"/>
              </w:rPr>
              <w:t>.</w:t>
            </w:r>
          </w:p>
        </w:tc>
        <w:tc>
          <w:tcPr>
            <w:tcW w:w="812" w:type="pc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jc w:val="center"/>
              <w:rPr>
                <w:b/>
                <w:szCs w:val="28"/>
                <w:lang w:val="es-ES"/>
              </w:rPr>
            </w:pPr>
            <w:r w:rsidRPr="009B3CBC">
              <w:rPr>
                <w:b/>
                <w:sz w:val="28"/>
                <w:szCs w:val="28"/>
                <w:lang w:val="es-ES"/>
              </w:rPr>
              <w:t>Không đạt</w:t>
            </w:r>
          </w:p>
        </w:tc>
      </w:tr>
      <w:tr w:rsidR="00B21075" w:rsidRPr="009B3CBC" w:rsidTr="004B0C90">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rPr>
                <w:b/>
                <w:szCs w:val="28"/>
                <w:lang w:val="es-ES"/>
              </w:rPr>
            </w:pPr>
            <w:r w:rsidRPr="009B3CBC">
              <w:rPr>
                <w:b/>
                <w:sz w:val="28"/>
                <w:szCs w:val="28"/>
                <w:lang w:val="es-ES"/>
              </w:rPr>
              <w:t>3. Tính hợp lý và hiệu quả kinh tế của các giải pháp kỹ thuật, biện pháp cung cấp, lắp đặt hàng hóa</w:t>
            </w:r>
          </w:p>
        </w:tc>
      </w:tr>
      <w:tr w:rsidR="00B21075" w:rsidRPr="009B3CBC" w:rsidTr="004B0C90">
        <w:tc>
          <w:tcPr>
            <w:tcW w:w="2027" w:type="pct"/>
            <w:vMerge w:val="restar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rPr>
                <w:szCs w:val="28"/>
                <w:lang w:val="es-ES"/>
              </w:rPr>
            </w:pPr>
            <w:r w:rsidRPr="009B3CBC">
              <w:rPr>
                <w:sz w:val="28"/>
                <w:szCs w:val="28"/>
                <w:lang w:val="es-ES"/>
              </w:rPr>
              <w:t>Giải pháp kỹ thuật, biện pháp tổ chức cung cấp hàng hóa</w:t>
            </w:r>
          </w:p>
        </w:tc>
        <w:tc>
          <w:tcPr>
            <w:tcW w:w="2161" w:type="pc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ind w:left="-113" w:right="-107"/>
              <w:rPr>
                <w:szCs w:val="28"/>
                <w:lang w:val="es-ES"/>
              </w:rPr>
            </w:pPr>
            <w:r w:rsidRPr="009B3CBC">
              <w:rPr>
                <w:sz w:val="28"/>
                <w:szCs w:val="28"/>
                <w:lang w:val="es-ES"/>
              </w:rPr>
              <w:t>Có thuyết minh bằng văn bản về giải pháp cung ứng, vận chuyển hàng hóa phù hợp và khả thi. Có quy trình kiểm soát chất lượng hàng hóa thuộc gói thầu.</w:t>
            </w:r>
          </w:p>
        </w:tc>
        <w:tc>
          <w:tcPr>
            <w:tcW w:w="812" w:type="pc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jc w:val="center"/>
              <w:rPr>
                <w:b/>
                <w:szCs w:val="28"/>
                <w:lang w:val="es-ES"/>
              </w:rPr>
            </w:pPr>
            <w:r w:rsidRPr="009B3CBC">
              <w:rPr>
                <w:b/>
                <w:sz w:val="28"/>
                <w:szCs w:val="28"/>
                <w:lang w:val="es-ES"/>
              </w:rPr>
              <w:t>Đạt</w:t>
            </w:r>
          </w:p>
        </w:tc>
      </w:tr>
      <w:tr w:rsidR="00B21075" w:rsidRPr="009B3CBC" w:rsidTr="004B0C90">
        <w:tc>
          <w:tcPr>
            <w:tcW w:w="2027" w:type="pct"/>
            <w:vMerge/>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jc w:val="left"/>
              <w:rPr>
                <w:szCs w:val="28"/>
                <w:lang w:val="es-ES"/>
              </w:rPr>
            </w:pPr>
          </w:p>
        </w:tc>
        <w:tc>
          <w:tcPr>
            <w:tcW w:w="2161" w:type="pc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ind w:left="-113" w:right="-107"/>
              <w:rPr>
                <w:szCs w:val="28"/>
              </w:rPr>
            </w:pPr>
            <w:r w:rsidRPr="009B3CBC">
              <w:rPr>
                <w:spacing w:val="-4"/>
                <w:sz w:val="28"/>
                <w:szCs w:val="28"/>
                <w:lang w:val="es-ES"/>
              </w:rPr>
              <w:t>Không đáp ứng yêu cầu nêu trên</w:t>
            </w:r>
          </w:p>
        </w:tc>
        <w:tc>
          <w:tcPr>
            <w:tcW w:w="812" w:type="pc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jc w:val="center"/>
              <w:rPr>
                <w:b/>
                <w:szCs w:val="28"/>
                <w:lang w:val="es-ES"/>
              </w:rPr>
            </w:pPr>
            <w:r w:rsidRPr="009B3CBC">
              <w:rPr>
                <w:b/>
                <w:sz w:val="28"/>
                <w:szCs w:val="28"/>
                <w:lang w:val="es-ES"/>
              </w:rPr>
              <w:t>Không đạt</w:t>
            </w:r>
          </w:p>
        </w:tc>
      </w:tr>
      <w:tr w:rsidR="00B21075" w:rsidRPr="009B3CBC" w:rsidTr="004B0C90">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rPr>
                <w:b/>
                <w:szCs w:val="28"/>
                <w:lang w:val="es-ES"/>
              </w:rPr>
            </w:pPr>
            <w:r w:rsidRPr="009B3CBC">
              <w:rPr>
                <w:b/>
                <w:sz w:val="28"/>
                <w:szCs w:val="28"/>
                <w:lang w:val="es-ES"/>
              </w:rPr>
              <w:t>4. Mức độ đáp ứng các yêu cầu về bảo hành</w:t>
            </w:r>
          </w:p>
        </w:tc>
      </w:tr>
      <w:tr w:rsidR="00B21075" w:rsidRPr="009B3CBC" w:rsidTr="004B0C90">
        <w:tc>
          <w:tcPr>
            <w:tcW w:w="2027" w:type="pct"/>
            <w:vMerge w:val="restar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rPr>
                <w:szCs w:val="28"/>
                <w:lang w:val="es-ES"/>
              </w:rPr>
            </w:pPr>
            <w:r w:rsidRPr="009B3CBC">
              <w:rPr>
                <w:sz w:val="28"/>
                <w:szCs w:val="28"/>
                <w:lang w:val="es-ES"/>
              </w:rPr>
              <w:t>Thời gian bảo hành, sửa chữa, cung cấp hàng hóa thay thế</w:t>
            </w:r>
          </w:p>
        </w:tc>
        <w:tc>
          <w:tcPr>
            <w:tcW w:w="2161" w:type="pc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ind w:left="-113" w:right="-107"/>
              <w:rPr>
                <w:szCs w:val="28"/>
              </w:rPr>
            </w:pPr>
            <w:r w:rsidRPr="009B3CBC">
              <w:rPr>
                <w:sz w:val="28"/>
                <w:szCs w:val="28"/>
              </w:rPr>
              <w:t>Nhà thầu phải có khả năng sẵn sàng thực hiện các nghĩa vụ của nhà thầu như: bảo hành, chuẩn bị hàng hóa thay thế hoặc cung cấp các dịch vụ sau bán hàng khác theo yêu cầu sau:</w:t>
            </w:r>
          </w:p>
          <w:p w:rsidR="00B21075" w:rsidRPr="009B3CBC" w:rsidRDefault="00B21075" w:rsidP="004B0C90">
            <w:pPr>
              <w:ind w:left="-113" w:right="-107"/>
              <w:contextualSpacing/>
              <w:rPr>
                <w:szCs w:val="28"/>
              </w:rPr>
            </w:pPr>
            <w:r w:rsidRPr="009B3CBC">
              <w:rPr>
                <w:sz w:val="28"/>
                <w:szCs w:val="28"/>
              </w:rPr>
              <w:lastRenderedPageBreak/>
              <w:t>Thời gian bảo hành hàng hóa: tối thiểu 12 tháng, thời gian khắc phục tối đa 24h kể từ khi nhận được thông báo của CĐT</w:t>
            </w:r>
          </w:p>
        </w:tc>
        <w:tc>
          <w:tcPr>
            <w:tcW w:w="812" w:type="pc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jc w:val="center"/>
              <w:rPr>
                <w:b/>
                <w:szCs w:val="28"/>
                <w:lang w:val="es-ES"/>
              </w:rPr>
            </w:pPr>
            <w:r w:rsidRPr="009B3CBC">
              <w:rPr>
                <w:b/>
                <w:sz w:val="28"/>
                <w:szCs w:val="28"/>
                <w:lang w:val="es-ES"/>
              </w:rPr>
              <w:lastRenderedPageBreak/>
              <w:t>Đạt</w:t>
            </w:r>
          </w:p>
        </w:tc>
      </w:tr>
      <w:tr w:rsidR="00B21075" w:rsidRPr="009B3CBC" w:rsidTr="004B0C90">
        <w:tc>
          <w:tcPr>
            <w:tcW w:w="2027" w:type="pct"/>
            <w:vMerge/>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jc w:val="left"/>
              <w:rPr>
                <w:szCs w:val="28"/>
                <w:lang w:val="es-ES"/>
              </w:rPr>
            </w:pPr>
          </w:p>
        </w:tc>
        <w:tc>
          <w:tcPr>
            <w:tcW w:w="2161" w:type="pc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ind w:left="-113" w:right="-107"/>
              <w:rPr>
                <w:szCs w:val="28"/>
              </w:rPr>
            </w:pPr>
            <w:r w:rsidRPr="009B3CBC">
              <w:rPr>
                <w:spacing w:val="-4"/>
                <w:sz w:val="28"/>
                <w:szCs w:val="28"/>
                <w:lang w:val="es-ES"/>
              </w:rPr>
              <w:t>Không đáp ứng yêu cầu nêu trên</w:t>
            </w:r>
          </w:p>
        </w:tc>
        <w:tc>
          <w:tcPr>
            <w:tcW w:w="812" w:type="pc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jc w:val="center"/>
              <w:rPr>
                <w:b/>
                <w:szCs w:val="28"/>
                <w:lang w:val="es-ES"/>
              </w:rPr>
            </w:pPr>
            <w:r w:rsidRPr="009B3CBC">
              <w:rPr>
                <w:b/>
                <w:sz w:val="28"/>
                <w:szCs w:val="28"/>
                <w:lang w:val="es-ES"/>
              </w:rPr>
              <w:t>Không đạt</w:t>
            </w:r>
          </w:p>
        </w:tc>
      </w:tr>
      <w:tr w:rsidR="00B21075" w:rsidRPr="009B3CBC" w:rsidTr="004B0C90">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rPr>
                <w:b/>
                <w:szCs w:val="28"/>
                <w:lang w:val="es-ES"/>
              </w:rPr>
            </w:pPr>
            <w:r w:rsidRPr="009B3CBC">
              <w:rPr>
                <w:b/>
                <w:sz w:val="28"/>
                <w:szCs w:val="28"/>
                <w:lang w:val="es-ES"/>
              </w:rPr>
              <w:t>5. Tiến độ cung cấp hàng hóa</w:t>
            </w:r>
          </w:p>
        </w:tc>
      </w:tr>
      <w:tr w:rsidR="00B21075" w:rsidRPr="009B3CBC" w:rsidTr="004B0C90">
        <w:tc>
          <w:tcPr>
            <w:tcW w:w="2027" w:type="pct"/>
            <w:vMerge w:val="restar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rPr>
                <w:szCs w:val="28"/>
                <w:lang w:val="es-ES"/>
              </w:rPr>
            </w:pPr>
            <w:r w:rsidRPr="009B3CBC">
              <w:rPr>
                <w:sz w:val="28"/>
                <w:szCs w:val="28"/>
                <w:lang w:val="es-ES"/>
              </w:rPr>
              <w:t>Thời gian giao hàng</w:t>
            </w:r>
          </w:p>
        </w:tc>
        <w:tc>
          <w:tcPr>
            <w:tcW w:w="2161" w:type="pc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ind w:left="-113" w:right="-107"/>
              <w:rPr>
                <w:szCs w:val="28"/>
              </w:rPr>
            </w:pPr>
            <w:r w:rsidRPr="009B3CBC">
              <w:rPr>
                <w:sz w:val="28"/>
                <w:szCs w:val="28"/>
                <w:u w:val="single"/>
              </w:rPr>
              <w:t>&lt;</w:t>
            </w:r>
            <w:r w:rsidRPr="009B3CBC">
              <w:rPr>
                <w:sz w:val="28"/>
                <w:szCs w:val="28"/>
              </w:rPr>
              <w:t xml:space="preserve"> 10 ngày</w:t>
            </w:r>
          </w:p>
        </w:tc>
        <w:tc>
          <w:tcPr>
            <w:tcW w:w="812" w:type="pc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jc w:val="center"/>
              <w:rPr>
                <w:b/>
                <w:szCs w:val="28"/>
                <w:lang w:val="es-ES"/>
              </w:rPr>
            </w:pPr>
            <w:r w:rsidRPr="009B3CBC">
              <w:rPr>
                <w:b/>
                <w:sz w:val="28"/>
                <w:szCs w:val="28"/>
                <w:lang w:val="es-ES"/>
              </w:rPr>
              <w:t>Đạt</w:t>
            </w:r>
          </w:p>
        </w:tc>
      </w:tr>
      <w:tr w:rsidR="00B21075" w:rsidRPr="009B3CBC" w:rsidTr="004B0C90">
        <w:tc>
          <w:tcPr>
            <w:tcW w:w="2027" w:type="pct"/>
            <w:vMerge/>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jc w:val="left"/>
              <w:rPr>
                <w:szCs w:val="28"/>
                <w:lang w:val="es-ES"/>
              </w:rPr>
            </w:pPr>
          </w:p>
        </w:tc>
        <w:tc>
          <w:tcPr>
            <w:tcW w:w="2161" w:type="pc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ind w:left="-113" w:right="-107"/>
              <w:rPr>
                <w:szCs w:val="28"/>
              </w:rPr>
            </w:pPr>
            <w:r w:rsidRPr="009B3CBC">
              <w:rPr>
                <w:spacing w:val="-4"/>
                <w:sz w:val="28"/>
                <w:szCs w:val="28"/>
                <w:lang w:val="es-ES"/>
              </w:rPr>
              <w:t>Không đáp ứng yêu cầu nêu trên</w:t>
            </w:r>
          </w:p>
        </w:tc>
        <w:tc>
          <w:tcPr>
            <w:tcW w:w="812" w:type="pct"/>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jc w:val="center"/>
              <w:rPr>
                <w:b/>
                <w:szCs w:val="28"/>
                <w:lang w:val="es-ES"/>
              </w:rPr>
            </w:pPr>
            <w:r w:rsidRPr="009B3CBC">
              <w:rPr>
                <w:b/>
                <w:sz w:val="28"/>
                <w:szCs w:val="28"/>
                <w:lang w:val="es-ES"/>
              </w:rPr>
              <w:t>Không đạt</w:t>
            </w:r>
          </w:p>
        </w:tc>
      </w:tr>
      <w:tr w:rsidR="00B21075" w:rsidRPr="009B3CBC" w:rsidTr="004B0C90">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21075" w:rsidRPr="009B3CBC" w:rsidRDefault="00B21075" w:rsidP="004B0C90">
            <w:pPr>
              <w:rPr>
                <w:b/>
                <w:szCs w:val="28"/>
                <w:lang w:val="es-ES"/>
              </w:rPr>
            </w:pPr>
            <w:r w:rsidRPr="009B3CBC">
              <w:rPr>
                <w:b/>
                <w:sz w:val="28"/>
                <w:szCs w:val="28"/>
                <w:u w:val="single"/>
                <w:lang w:val="es-ES"/>
              </w:rPr>
              <w:t>KẾT LUẬN:</w:t>
            </w:r>
            <w:r w:rsidRPr="009B3CBC">
              <w:rPr>
                <w:b/>
                <w:sz w:val="28"/>
                <w:szCs w:val="28"/>
                <w:lang w:val="es-ES"/>
              </w:rPr>
              <w:t xml:space="preserve"> Nhà thầu được đánh giá là “Đạt” khi đáp ứng đủ các tiêu chí nêu trên. Trường hợp Nhà thầu không đạt một trong các tiêu chí trên thì được đánh giá là “Không đạt” và không được xem xét, đánh giá bước tiếp theo.</w:t>
            </w:r>
          </w:p>
        </w:tc>
      </w:tr>
    </w:tbl>
    <w:p w:rsidR="00DE52B3" w:rsidRDefault="00DE52B3"/>
    <w:sectPr w:rsidR="00DE52B3" w:rsidSect="009E6B83">
      <w:pgSz w:w="11907" w:h="16840" w:code="9"/>
      <w:pgMar w:top="1077" w:right="964" w:bottom="102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B21075"/>
    <w:rsid w:val="009E6B83"/>
    <w:rsid w:val="00B21075"/>
    <w:rsid w:val="00DE52B3"/>
    <w:rsid w:val="00FF3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Helvetica"/>
        <w:bCs/>
        <w:color w:val="333333"/>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075"/>
    <w:pPr>
      <w:spacing w:after="0" w:line="240" w:lineRule="auto"/>
      <w:jc w:val="both"/>
    </w:pPr>
    <w:rPr>
      <w:rFonts w:eastAsia="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21075"/>
    <w:pPr>
      <w:spacing w:before="80" w:after="80" w:line="264" w:lineRule="auto"/>
      <w:outlineLvl w:val="2"/>
    </w:pPr>
    <w:rPr>
      <w:rFonts w:asciiTheme="majorHAnsi" w:eastAsia="Batang" w:hAnsiTheme="majorHAnsi" w:cstheme="majorHAnsi"/>
      <w:iCs/>
      <w:noProof/>
      <w:kern w:val="36"/>
      <w:sz w:val="28"/>
      <w:szCs w:val="28"/>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2025-11-03T01:29:00Z</dcterms:created>
  <dcterms:modified xsi:type="dcterms:W3CDTF">2025-11-03T01:29:00Z</dcterms:modified>
</cp:coreProperties>
</file>