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0514" w14:textId="77777777" w:rsidR="001E3C8C" w:rsidRPr="001E3C8C" w:rsidRDefault="001E3C8C" w:rsidP="001E3C8C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bookmarkStart w:id="0" w:name="_Hlk209013820"/>
      <w:r w:rsidRPr="001E3C8C">
        <w:rPr>
          <w:b/>
          <w:sz w:val="28"/>
          <w:szCs w:val="28"/>
          <w:lang w:val="nl-NL"/>
        </w:rPr>
        <w:t>Chương V. YÊU CẦU VỀ KỸ THUẬT</w:t>
      </w:r>
    </w:p>
    <w:p w14:paraId="5A25B5A4" w14:textId="77777777" w:rsidR="001E3C8C" w:rsidRPr="001E3C8C" w:rsidRDefault="001E3C8C" w:rsidP="001E3C8C">
      <w:pPr>
        <w:pStyle w:val="Subtitle"/>
        <w:rPr>
          <w:sz w:val="20"/>
          <w:szCs w:val="32"/>
          <w:lang w:val="nl-NL"/>
        </w:rPr>
      </w:pPr>
    </w:p>
    <w:p w14:paraId="73B64B90" w14:textId="77777777" w:rsidR="001E3C8C" w:rsidRPr="001E3C8C" w:rsidRDefault="001E3C8C" w:rsidP="001E3C8C">
      <w:pPr>
        <w:pStyle w:val="SectionVIHeader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Mục 1. Yêu cầu về kỹ thuật</w:t>
      </w:r>
    </w:p>
    <w:p w14:paraId="337DBE3C" w14:textId="77777777" w:rsidR="001E3C8C" w:rsidRPr="001E3C8C" w:rsidRDefault="001E3C8C" w:rsidP="001E3C8C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1E3C8C">
        <w:rPr>
          <w:b/>
          <w:i/>
          <w:sz w:val="28"/>
          <w:szCs w:val="28"/>
          <w:lang w:val="nl-NL"/>
        </w:rPr>
        <w:t>1.1. Giới thiệu chung về dự án/dự toán mua sắm, gói thầu</w:t>
      </w:r>
    </w:p>
    <w:p w14:paraId="79F7E56D" w14:textId="3E0AD756" w:rsidR="001E3C8C" w:rsidRPr="001E3C8C" w:rsidRDefault="001E3C8C" w:rsidP="001E3C8C">
      <w:pPr>
        <w:spacing w:before="120" w:after="120"/>
        <w:ind w:firstLine="720"/>
        <w:rPr>
          <w:sz w:val="28"/>
          <w:szCs w:val="28"/>
          <w:lang w:eastAsia="ja-JP"/>
        </w:rPr>
      </w:pPr>
      <w:bookmarkStart w:id="1" w:name="_Hlk154743134"/>
      <w:r w:rsidRPr="001E3C8C">
        <w:rPr>
          <w:sz w:val="28"/>
          <w:szCs w:val="28"/>
          <w:lang w:val="vi-VN" w:eastAsia="ja-JP"/>
        </w:rPr>
        <w:t xml:space="preserve">- Tên dự toán: Mua sắm sách chuyên ngành </w:t>
      </w:r>
      <w:r w:rsidRPr="001E3C8C">
        <w:rPr>
          <w:sz w:val="28"/>
          <w:szCs w:val="28"/>
          <w:lang w:eastAsia="ja-JP"/>
        </w:rPr>
        <w:t>Kinh doanh Quốc t</w:t>
      </w:r>
      <w:r>
        <w:rPr>
          <w:sz w:val="28"/>
          <w:szCs w:val="28"/>
          <w:lang w:eastAsia="ja-JP"/>
        </w:rPr>
        <w:t>ế</w:t>
      </w:r>
      <w:r w:rsidRPr="001E3C8C">
        <w:rPr>
          <w:sz w:val="28"/>
          <w:szCs w:val="28"/>
          <w:lang w:eastAsia="ja-JP"/>
        </w:rPr>
        <w:t>.</w:t>
      </w:r>
    </w:p>
    <w:p w14:paraId="36297A70" w14:textId="77777777" w:rsidR="001E3C8C" w:rsidRPr="001E3C8C" w:rsidRDefault="001E3C8C" w:rsidP="001E3C8C">
      <w:pPr>
        <w:spacing w:before="40" w:afterLines="40" w:after="96"/>
        <w:ind w:firstLine="709"/>
        <w:rPr>
          <w:spacing w:val="-4"/>
          <w:sz w:val="28"/>
          <w:szCs w:val="28"/>
          <w:lang w:val="vi-VN"/>
        </w:rPr>
      </w:pPr>
      <w:r w:rsidRPr="001E3C8C">
        <w:rPr>
          <w:spacing w:val="-4"/>
          <w:sz w:val="28"/>
          <w:szCs w:val="28"/>
          <w:lang w:val="vi-VN"/>
        </w:rPr>
        <w:t>- Tên chủ đầu tư: Trường Đại học Mở Thành phố Hồ Chí Minh</w:t>
      </w:r>
    </w:p>
    <w:p w14:paraId="704AEDA1" w14:textId="77777777" w:rsidR="001E3C8C" w:rsidRPr="001E3C8C" w:rsidRDefault="001E3C8C" w:rsidP="001E3C8C">
      <w:pPr>
        <w:spacing w:before="40" w:afterLines="40" w:after="96"/>
        <w:ind w:firstLine="709"/>
        <w:rPr>
          <w:spacing w:val="-4"/>
          <w:sz w:val="28"/>
          <w:szCs w:val="28"/>
          <w:lang w:val="vi-VN"/>
        </w:rPr>
      </w:pPr>
      <w:r w:rsidRPr="001E3C8C">
        <w:rPr>
          <w:spacing w:val="-4"/>
          <w:sz w:val="28"/>
          <w:szCs w:val="28"/>
          <w:lang w:val="vi-VN"/>
        </w:rPr>
        <w:t>- Nguồn vốn: Nguồn thu sự nghiệp của Trường Đại học Mở Thành phố Hồ Chí Minh</w:t>
      </w:r>
    </w:p>
    <w:p w14:paraId="058B3C9E" w14:textId="77777777" w:rsidR="001E3C8C" w:rsidRPr="001E3C8C" w:rsidRDefault="001E3C8C" w:rsidP="001E3C8C">
      <w:pPr>
        <w:widowControl w:val="0"/>
        <w:spacing w:before="120" w:after="120" w:line="264" w:lineRule="auto"/>
        <w:ind w:firstLine="709"/>
        <w:rPr>
          <w:spacing w:val="-4"/>
          <w:sz w:val="28"/>
          <w:szCs w:val="28"/>
          <w:lang w:val="vi-VN"/>
        </w:rPr>
      </w:pPr>
      <w:r w:rsidRPr="001E3C8C">
        <w:rPr>
          <w:spacing w:val="-4"/>
          <w:sz w:val="28"/>
          <w:szCs w:val="28"/>
          <w:lang w:val="vi-VN"/>
        </w:rPr>
        <w:t>- Địa điểm: Tại Trường Đại học Mở Thành phố Hồ Chí Minh, số 97 Võ Văn Tần, Phường Xuân Hòa, Thành phố Hồ Chí Minh.</w:t>
      </w:r>
    </w:p>
    <w:bookmarkEnd w:id="1"/>
    <w:p w14:paraId="49A12814" w14:textId="77777777" w:rsidR="001E3C8C" w:rsidRPr="001E3C8C" w:rsidRDefault="001E3C8C" w:rsidP="001E3C8C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1E3C8C">
        <w:rPr>
          <w:b/>
          <w:i/>
          <w:sz w:val="28"/>
          <w:szCs w:val="28"/>
          <w:lang w:val="nl-NL"/>
        </w:rPr>
        <w:t>1.2. Yêu cầu về kỹ thuật</w:t>
      </w:r>
    </w:p>
    <w:p w14:paraId="468B6753" w14:textId="77777777" w:rsidR="001E3C8C" w:rsidRPr="001E3C8C" w:rsidRDefault="001E3C8C" w:rsidP="001E3C8C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1E3C8C">
        <w:rPr>
          <w:b/>
          <w:sz w:val="28"/>
          <w:szCs w:val="28"/>
          <w:lang w:val="nl-NL"/>
        </w:rPr>
        <w:t>a. Yêu cầu về chủng loại, số lượng, thông số kỹ thuật và tiêu chuẩn của hàng hóa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5"/>
        <w:gridCol w:w="1901"/>
        <w:gridCol w:w="1740"/>
        <w:gridCol w:w="1734"/>
        <w:gridCol w:w="1264"/>
        <w:gridCol w:w="780"/>
        <w:gridCol w:w="886"/>
      </w:tblGrid>
      <w:tr w:rsidR="001E3C8C" w:rsidRPr="001E3C8C" w14:paraId="2C132B36" w14:textId="77777777" w:rsidTr="00C80CFC">
        <w:trPr>
          <w:trHeight w:val="684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B38BD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1C5EE3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Tên sách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0F518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Tác giả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777044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Nhà xuất bản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A8C50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Năm xuất bản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5A7F7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96C79" w14:textId="77777777" w:rsidR="001E3C8C" w:rsidRPr="001E3C8C" w:rsidRDefault="001E3C8C" w:rsidP="00C80CFC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E3C8C">
              <w:rPr>
                <w:b/>
                <w:bCs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1E3C8C" w:rsidRPr="001E3C8C" w14:paraId="30D9BA5B" w14:textId="77777777" w:rsidTr="00C80CFC">
        <w:trPr>
          <w:trHeight w:val="100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481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7A6A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ISE Essentials of Investments,</w:t>
            </w:r>
            <w:r w:rsidRPr="001E3C8C">
              <w:rPr>
                <w:sz w:val="26"/>
                <w:szCs w:val="26"/>
                <w:lang w:val="vi-VN"/>
              </w:rPr>
              <w:t xml:space="preserve"> </w:t>
            </w:r>
            <w:r w:rsidRPr="001E3C8C">
              <w:rPr>
                <w:sz w:val="26"/>
                <w:szCs w:val="26"/>
              </w:rPr>
              <w:t>12</w:t>
            </w:r>
            <w:r w:rsidRPr="001E3C8C">
              <w:rPr>
                <w:sz w:val="26"/>
                <w:szCs w:val="26"/>
                <w:vertAlign w:val="superscript"/>
              </w:rPr>
              <w:t>th</w:t>
            </w:r>
            <w:r w:rsidRPr="001E3C8C">
              <w:rPr>
                <w:sz w:val="26"/>
                <w:szCs w:val="26"/>
                <w:lang w:val="vi-VN"/>
              </w:rPr>
              <w:t xml:space="preserve"> </w:t>
            </w:r>
            <w:r w:rsidRPr="001E3C8C">
              <w:rPr>
                <w:sz w:val="26"/>
                <w:szCs w:val="26"/>
              </w:rPr>
              <w:t>Edition--&gt;13E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09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Zvi Bodie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A1F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McGraw- Hill</w:t>
            </w:r>
            <w:r w:rsidRPr="001E3C8C">
              <w:rPr>
                <w:sz w:val="26"/>
                <w:szCs w:val="26"/>
                <w:lang w:val="vi-VN"/>
              </w:rPr>
              <w:t xml:space="preserve"> </w:t>
            </w:r>
            <w:r w:rsidRPr="001E3C8C">
              <w:rPr>
                <w:sz w:val="26"/>
                <w:szCs w:val="26"/>
              </w:rPr>
              <w:t>Education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EE78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17F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 xml:space="preserve">Cuốn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16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5</w:t>
            </w:r>
          </w:p>
        </w:tc>
      </w:tr>
      <w:tr w:rsidR="001E3C8C" w:rsidRPr="001E3C8C" w14:paraId="30700409" w14:textId="77777777" w:rsidTr="00C80CFC">
        <w:trPr>
          <w:trHeight w:val="126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DAA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3CF9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AE Global Business, 5th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EA9C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Mike W. Peng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2776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Cengage Learning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39B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B73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92F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0C1E7392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D71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DF87" w14:textId="77777777" w:rsidR="001E3C8C" w:rsidRPr="001E3C8C" w:rsidRDefault="001E3C8C" w:rsidP="00C80CFC">
            <w:pPr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Incoterms® 2020: ICC rules for the use of domestic and international trade terms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1F6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Denton, John W. H.,; foreword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4FD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International Chamber of Commerce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A07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2DF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01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5</w:t>
            </w:r>
          </w:p>
        </w:tc>
      </w:tr>
      <w:tr w:rsidR="001E3C8C" w:rsidRPr="001E3C8C" w14:paraId="5F662C77" w14:textId="77777777" w:rsidTr="00C80CFC">
        <w:trPr>
          <w:trHeight w:val="132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C4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6754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ISE International Business: Competing in the Global Marketplace, 14th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E6C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Charles W. L. Hill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473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McGraw-Hill Education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B27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B4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9AE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64E2CC3B" w14:textId="77777777" w:rsidTr="00C80CFC">
        <w:trPr>
          <w:trHeight w:val="126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C91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lastRenderedPageBreak/>
              <w:t>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0A0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International financial management, 15th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6DF8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Jeff Madura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A6C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Cengage Learning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DD8E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733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ED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07FE5DBB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EE1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9B7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Sustainability policy: Hastening the transition to a cleaner economy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B3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Steven Cohen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D7D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Wiley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2C73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20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FE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2</w:t>
            </w:r>
          </w:p>
        </w:tc>
      </w:tr>
      <w:tr w:rsidR="001E3C8C" w:rsidRPr="001E3C8C" w14:paraId="4A2F134E" w14:textId="77777777" w:rsidTr="00C80CFC">
        <w:trPr>
          <w:trHeight w:val="100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3E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0E7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The Oxford handbook of corporate social responsibility: psychological and organizational perspectives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3788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  <w:lang w:eastAsia="vi-VN"/>
              </w:rPr>
              <w:t>Abagail McWilliams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863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Oxford University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FB5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824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6BD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67B32234" w14:textId="77777777" w:rsidTr="00C80CFC">
        <w:trPr>
          <w:trHeight w:val="163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7E9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5DF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Current issues in corporate social responsibility: an international consideration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ACA3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Samuel O. Idowu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DC6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Springer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67C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8FEB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15E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2</w:t>
            </w:r>
          </w:p>
        </w:tc>
      </w:tr>
      <w:tr w:rsidR="001E3C8C" w:rsidRPr="001E3C8C" w14:paraId="6CCA82DE" w14:textId="77777777" w:rsidTr="00C80CFC">
        <w:trPr>
          <w:trHeight w:val="157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16D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8F4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Strategic Management: A Competitive Advantage Approach, Concepts and Cases, Global Edition, 18th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80C3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Fred R. David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48C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Pearson Education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BA7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4D6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DF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5</w:t>
            </w:r>
          </w:p>
        </w:tc>
      </w:tr>
      <w:tr w:rsidR="001E3C8C" w:rsidRPr="001E3C8C" w14:paraId="309856F9" w14:textId="77777777" w:rsidTr="00C80CFC">
        <w:trPr>
          <w:trHeight w:val="132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0F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678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Quantitative Analysis for Management, Global Edition, 14th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DAB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Barry Render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4F4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Pearson Education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872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352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DE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331138BB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244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34E" w14:textId="77777777" w:rsidR="001E3C8C" w:rsidRPr="001E3C8C" w:rsidRDefault="001E3C8C" w:rsidP="00C80CFC">
            <w:pPr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Statistics for business &amp; economics, 14th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0B0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David R. Anderson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978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Cengage Learning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269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C9C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E0A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5</w:t>
            </w:r>
          </w:p>
        </w:tc>
      </w:tr>
      <w:tr w:rsidR="001E3C8C" w:rsidRPr="001E3C8C" w14:paraId="40D9FDB8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24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lastRenderedPageBreak/>
              <w:t>12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DB8" w14:textId="77777777" w:rsidR="001E3C8C" w:rsidRPr="001E3C8C" w:rsidRDefault="001E3C8C" w:rsidP="00C80CFC">
            <w:pPr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ISE Intercultural Communication in Contexts, 9th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EB7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Judith N. Martin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84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</w:rPr>
              <w:t>McGraw-Hill</w:t>
            </w:r>
            <w:r w:rsidRPr="001E3C8C">
              <w:rPr>
                <w:sz w:val="26"/>
                <w:szCs w:val="26"/>
                <w:lang w:val="vi-VN"/>
              </w:rPr>
              <w:t xml:space="preserve"> </w:t>
            </w:r>
            <w:r w:rsidRPr="001E3C8C">
              <w:rPr>
                <w:sz w:val="26"/>
                <w:szCs w:val="26"/>
              </w:rPr>
              <w:t>Education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E72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D2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E41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  <w:tr w:rsidR="001E3C8C" w:rsidRPr="001E3C8C" w14:paraId="6FA698D5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7FA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3EA" w14:textId="77777777" w:rsidR="001E3C8C" w:rsidRPr="001E3C8C" w:rsidRDefault="001E3C8C" w:rsidP="00C80CFC">
            <w:pPr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International Business: The New Realities, Global Edition, 5th edition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44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S Tamer Cavusgil, Gary Knight, John R. Riesenberger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AEA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Pearson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70B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824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A12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5</w:t>
            </w:r>
          </w:p>
        </w:tc>
      </w:tr>
      <w:tr w:rsidR="001E3C8C" w:rsidRPr="001E3C8C" w14:paraId="7F57AA55" w14:textId="77777777" w:rsidTr="00C80CFC">
        <w:trPr>
          <w:trHeight w:val="94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0A7A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E820" w14:textId="77777777" w:rsidR="001E3C8C" w:rsidRPr="001E3C8C" w:rsidRDefault="001E3C8C" w:rsidP="00C80CFC">
            <w:pPr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Negotiating (DK Essential Managers)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C7D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by DK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195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eastAsia="vi-VN"/>
              </w:rPr>
            </w:pPr>
            <w:r w:rsidRPr="001E3C8C">
              <w:rPr>
                <w:sz w:val="26"/>
                <w:szCs w:val="26"/>
              </w:rPr>
              <w:t>DK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9BA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2021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449" w14:textId="77777777" w:rsidR="001E3C8C" w:rsidRPr="001E3C8C" w:rsidRDefault="001E3C8C" w:rsidP="00C80CFC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E3C8C">
              <w:rPr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20" w14:textId="77777777" w:rsidR="001E3C8C" w:rsidRPr="001E3C8C" w:rsidRDefault="001E3C8C" w:rsidP="00C80CFC">
            <w:pPr>
              <w:jc w:val="center"/>
              <w:rPr>
                <w:sz w:val="26"/>
                <w:szCs w:val="26"/>
              </w:rPr>
            </w:pPr>
            <w:r w:rsidRPr="001E3C8C">
              <w:rPr>
                <w:sz w:val="26"/>
                <w:szCs w:val="26"/>
              </w:rPr>
              <w:t>10</w:t>
            </w:r>
          </w:p>
        </w:tc>
      </w:tr>
    </w:tbl>
    <w:p w14:paraId="133CB41A" w14:textId="77777777" w:rsidR="001E3C8C" w:rsidRPr="001E3C8C" w:rsidRDefault="001E3C8C" w:rsidP="001E3C8C">
      <w:pPr>
        <w:spacing w:before="120" w:after="120" w:line="264" w:lineRule="auto"/>
        <w:ind w:firstLine="709"/>
        <w:jc w:val="left"/>
        <w:rPr>
          <w:b/>
          <w:sz w:val="28"/>
          <w:szCs w:val="28"/>
          <w:lang w:val="nl-NL"/>
        </w:rPr>
      </w:pPr>
      <w:r w:rsidRPr="001E3C8C">
        <w:rPr>
          <w:b/>
          <w:sz w:val="28"/>
          <w:szCs w:val="28"/>
          <w:lang w:val="nl-NL"/>
        </w:rPr>
        <w:t>b. Các yêu cầu khác</w:t>
      </w:r>
    </w:p>
    <w:p w14:paraId="1AD5F6B4" w14:textId="0624148D" w:rsidR="001E3C8C" w:rsidRPr="001E3C8C" w:rsidRDefault="001E3C8C" w:rsidP="001E3C8C">
      <w:pPr>
        <w:ind w:firstLine="567"/>
        <w:rPr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- Sách đúng năm xuất bản yêu cầu hoặc ấn bản sau năm yêu cầu cũng được chấp nhận . Ví dụ yêu cầu sách xuất bản năm 2020 thì ấn bản sau năm 2020 (năm 2021, 2022, 2023, 2024...) được chấp nhận.</w:t>
      </w:r>
    </w:p>
    <w:p w14:paraId="31351F25" w14:textId="6D58A001" w:rsidR="001E3C8C" w:rsidRPr="001E3C8C" w:rsidRDefault="001E3C8C" w:rsidP="001E3C8C">
      <w:pPr>
        <w:ind w:firstLine="567"/>
        <w:rPr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- Sách mới 100%;</w:t>
      </w:r>
    </w:p>
    <w:p w14:paraId="7BFF3601" w14:textId="3B7C2808" w:rsidR="001E3C8C" w:rsidRPr="001E3C8C" w:rsidRDefault="001E3C8C" w:rsidP="001E3C8C">
      <w:pPr>
        <w:ind w:firstLine="567"/>
        <w:rPr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- Sách in, bìa mềm, chấp nhận sách bìa cứng nhưng không chấp nhận sách bìa đục lỗ (loose leaf).</w:t>
      </w:r>
    </w:p>
    <w:p w14:paraId="1D662625" w14:textId="77777777" w:rsidR="001E3C8C" w:rsidRPr="001E3C8C" w:rsidRDefault="001E3C8C" w:rsidP="001E3C8C">
      <w:pPr>
        <w:pStyle w:val="SectionVIHeader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Mục 2. Bản vẽ</w:t>
      </w:r>
    </w:p>
    <w:p w14:paraId="72D2093E" w14:textId="77777777" w:rsidR="001E3C8C" w:rsidRPr="001E3C8C" w:rsidRDefault="001E3C8C" w:rsidP="001E3C8C">
      <w:pPr>
        <w:spacing w:before="120" w:after="120" w:line="264" w:lineRule="auto"/>
        <w:ind w:firstLine="709"/>
        <w:rPr>
          <w:i/>
          <w:iCs/>
          <w:spacing w:val="-4"/>
          <w:sz w:val="28"/>
          <w:szCs w:val="28"/>
          <w:lang w:val="nl-NL"/>
        </w:rPr>
      </w:pPr>
      <w:r w:rsidRPr="001E3C8C">
        <w:rPr>
          <w:sz w:val="28"/>
          <w:szCs w:val="28"/>
          <w:lang w:val="nl-NL"/>
        </w:rPr>
        <w:t>Không có bản vẽ</w:t>
      </w:r>
    </w:p>
    <w:p w14:paraId="7EB98B60" w14:textId="77777777" w:rsidR="001E3C8C" w:rsidRPr="001E3C8C" w:rsidRDefault="001E3C8C" w:rsidP="001E3C8C">
      <w:pPr>
        <w:pStyle w:val="SectionVIHeader"/>
        <w:widowControl w:val="0"/>
        <w:spacing w:after="120" w:line="264" w:lineRule="auto"/>
        <w:ind w:firstLine="709"/>
        <w:jc w:val="left"/>
        <w:rPr>
          <w:sz w:val="32"/>
          <w:szCs w:val="32"/>
          <w:lang w:val="nl-NL"/>
        </w:rPr>
      </w:pPr>
      <w:r w:rsidRPr="001E3C8C">
        <w:rPr>
          <w:sz w:val="28"/>
          <w:lang w:val="nl-NL"/>
        </w:rPr>
        <w:t>Mục 3. Kiểm tra và thử nghiệm</w:t>
      </w:r>
    </w:p>
    <w:p w14:paraId="2F24EBD2" w14:textId="77777777" w:rsidR="001E3C8C" w:rsidRPr="001E3C8C" w:rsidRDefault="001E3C8C" w:rsidP="001E3C8C">
      <w:pPr>
        <w:spacing w:after="200" w:line="276" w:lineRule="auto"/>
        <w:ind w:firstLine="709"/>
        <w:jc w:val="left"/>
        <w:rPr>
          <w:i/>
          <w:iCs/>
          <w:sz w:val="28"/>
          <w:lang w:val="nl-NL"/>
        </w:rPr>
      </w:pPr>
      <w:r w:rsidRPr="001E3C8C">
        <w:rPr>
          <w:sz w:val="28"/>
          <w:lang w:val="nl-NL"/>
        </w:rPr>
        <w:t xml:space="preserve">Các kiểm tra và thử nghiệm cần tiến hành gồm có: </w:t>
      </w:r>
      <w:r w:rsidRPr="001E3C8C">
        <w:rPr>
          <w:sz w:val="28"/>
          <w:szCs w:val="28"/>
          <w:lang w:val="nl-NL"/>
        </w:rPr>
        <w:t>Ch</w:t>
      </w:r>
      <w:r w:rsidRPr="001E3C8C">
        <w:rPr>
          <w:sz w:val="28"/>
          <w:szCs w:val="28"/>
          <w:lang w:val="vi-VN"/>
        </w:rPr>
        <w:t>ủ đầu</w:t>
      </w:r>
      <w:r w:rsidRPr="001E3C8C">
        <w:rPr>
          <w:sz w:val="28"/>
          <w:szCs w:val="28"/>
          <w:lang w:val="nl-NL"/>
        </w:rPr>
        <w:t xml:space="preserve"> tư sẽ kiểm tra sách khi Nhà thầu bàn giao. Nếu sách bị lỗi thì Chủ đầu tư báo Nhà thầu thu hồi để đổi sách đạt chất lượng.</w:t>
      </w:r>
    </w:p>
    <w:bookmarkEnd w:id="0"/>
    <w:p w14:paraId="1339571A" w14:textId="77777777" w:rsidR="005D0FB2" w:rsidRPr="001E3C8C" w:rsidRDefault="005D0FB2"/>
    <w:sectPr w:rsidR="005D0FB2" w:rsidRPr="001E3C8C" w:rsidSect="00CA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8C"/>
    <w:rsid w:val="001E3C8C"/>
    <w:rsid w:val="005D0FB2"/>
    <w:rsid w:val="00CA2D38"/>
    <w:rsid w:val="00D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CAD27"/>
  <w15:chartTrackingRefBased/>
  <w15:docId w15:val="{244060D5-D3B2-4C52-AC2B-3A95B22D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E3C8C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1E3C8C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customStyle="1" w:styleId="SectionVIHeader">
    <w:name w:val="Section VI. Header"/>
    <w:basedOn w:val="Normal"/>
    <w:rsid w:val="001E3C8C"/>
    <w:pPr>
      <w:spacing w:before="120" w:after="240"/>
      <w:jc w:val="center"/>
    </w:pPr>
    <w:rPr>
      <w:b/>
      <w:sz w:val="36"/>
    </w:rPr>
  </w:style>
  <w:style w:type="table" w:styleId="TableGrid">
    <w:name w:val="Table Grid"/>
    <w:basedOn w:val="TableNormal"/>
    <w:uiPriority w:val="39"/>
    <w:rsid w:val="001E3C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2</cp:revision>
  <dcterms:created xsi:type="dcterms:W3CDTF">2025-11-03T03:50:00Z</dcterms:created>
  <dcterms:modified xsi:type="dcterms:W3CDTF">2025-11-03T04:04:00Z</dcterms:modified>
</cp:coreProperties>
</file>