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70E" w14:textId="1024B261" w:rsidR="008B7D00" w:rsidRPr="009B4E9B" w:rsidRDefault="008B7D00" w:rsidP="0037474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B4E9B">
        <w:rPr>
          <w:rFonts w:asciiTheme="majorHAnsi" w:hAnsiTheme="majorHAnsi" w:cstheme="majorHAnsi"/>
          <w:b/>
          <w:bCs/>
          <w:sz w:val="28"/>
          <w:szCs w:val="28"/>
        </w:rPr>
        <w:t>Mục 3. Tiêu chuẩn đánh giá về kỹ thuật</w:t>
      </w:r>
    </w:p>
    <w:tbl>
      <w:tblPr>
        <w:tblW w:w="9661" w:type="dxa"/>
        <w:tblInd w:w="863" w:type="dxa"/>
        <w:tblCellMar>
          <w:left w:w="113" w:type="dxa"/>
          <w:right w:w="31" w:type="dxa"/>
        </w:tblCellMar>
        <w:tblLook w:val="04A0" w:firstRow="1" w:lastRow="0" w:firstColumn="1" w:lastColumn="0" w:noHBand="0" w:noVBand="1"/>
      </w:tblPr>
      <w:tblGrid>
        <w:gridCol w:w="719"/>
        <w:gridCol w:w="7057"/>
        <w:gridCol w:w="1885"/>
      </w:tblGrid>
      <w:tr w:rsidR="008B7D00" w:rsidRPr="009B4E9B" w14:paraId="5181B642" w14:textId="77777777" w:rsidTr="009B4E9B">
        <w:trPr>
          <w:trHeight w:val="290"/>
          <w:tblHeader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24C9E" w14:textId="77777777" w:rsidR="008B7D00" w:rsidRPr="009B4E9B" w:rsidRDefault="008B7D00" w:rsidP="009B4E9B">
            <w:pPr>
              <w:spacing w:before="120" w:after="120" w:line="288" w:lineRule="auto"/>
              <w:ind w:left="45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2E8E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Nội dung đánh giá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70B94D" w14:textId="1117CD31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Đánh giá </w:t>
            </w:r>
          </w:p>
        </w:tc>
      </w:tr>
      <w:tr w:rsidR="008B7D00" w:rsidRPr="009B4E9B" w14:paraId="7E8E2043" w14:textId="77777777" w:rsidTr="009B4E9B">
        <w:trPr>
          <w:trHeight w:val="1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9E268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I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FA737" w14:textId="77777777" w:rsidR="008B7D00" w:rsidRPr="009B4E9B" w:rsidRDefault="008B7D00" w:rsidP="009B4E9B">
            <w:pPr>
              <w:spacing w:before="120" w:after="120" w:line="288" w:lineRule="auto"/>
              <w:ind w:right="1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Yêu cầu kỹ thuật, chất lượng sau sửa chữa của thiết bị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D77F" w14:textId="77777777" w:rsidR="008B7D00" w:rsidRPr="009B4E9B" w:rsidRDefault="008B7D00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374743" w:rsidRPr="009B4E9B" w14:paraId="793C2527" w14:textId="77777777" w:rsidTr="009B4E9B">
        <w:trPr>
          <w:trHeight w:val="619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74F538" w14:textId="5C8709E0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029AE" w14:textId="3A6B297D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Đáp ứng các tiêu chí theo yêu cầu tại Mục </w:t>
            </w:r>
            <w:r w:rsidR="005D7D8F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II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Chương V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BC4DC" w14:textId="70DF5694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70A601F3" w14:textId="77777777" w:rsidTr="009B4E9B">
        <w:trPr>
          <w:trHeight w:val="691"/>
        </w:trPr>
        <w:tc>
          <w:tcPr>
            <w:tcW w:w="7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6A457A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819FB" w14:textId="3646EFBF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Không đáp ứng một trong các tiêu chí theo yêu cầu tại Mục </w:t>
            </w:r>
            <w:r w:rsidR="00484BD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II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, Chương V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9A905" w14:textId="58A89BA2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4613B5E4" w14:textId="77777777" w:rsidTr="009B4E9B">
        <w:trPr>
          <w:trHeight w:val="105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8B7BB" w14:textId="4392C57E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D517C" w14:textId="68822B21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Có cam kết sử dụng các vật tư, phụ tùng mới dùng để thay thế phải đảm bảo mới 100%, chưa qua sử dụng, có nguồn gốc xuất xứ rõ ràng, đảm bảo quy cách, chất lượng và phù hợp với 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Phương tiện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cần sửa chữa.</w:t>
            </w:r>
            <w:r w:rsidR="00BB046C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Đối với các vật tư, phụ tùng chính phải đảm bảo chính hãng.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BBFA3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6FD5924C" w14:textId="77777777" w:rsidTr="009B4E9B">
        <w:trPr>
          <w:trHeight w:val="201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5D852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8C298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cam kết, hoặc cam kết không đủ, không đúng so với 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DFDFC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2F60886F" w14:textId="77777777" w:rsidTr="009B4E9B">
        <w:trPr>
          <w:trHeight w:val="19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5A6139" w14:textId="70AF5AEC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AC08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Có cam kết các chi tiết sửa chữa, phục hồi đảm bảo yêu cầu kỹ thuật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B781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2410BED2" w14:textId="77777777" w:rsidTr="009B4E9B">
        <w:trPr>
          <w:trHeight w:val="197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E97C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007BF" w14:textId="77777777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Không có cam kết, hoặc cam kết không đủ, không đúng so với 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61216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6BC91B77" w14:textId="77777777" w:rsidTr="009B4E9B">
        <w:trPr>
          <w:trHeight w:val="195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DFA120" w14:textId="123FFC02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50851" w14:textId="464EDB01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Tiến độ cung cấp dịch vụ hợp lý, khả thi, phù hợp với đề xuất kỹ thuật và đáp ứng 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CCE0A" w14:textId="3E07BFCB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19D389DB" w14:textId="77777777" w:rsidTr="009B4E9B">
        <w:trPr>
          <w:trHeight w:val="195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F8929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B725" w14:textId="4EFEF008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Tiến độ cung cấp dịch vụ không hợp lý, khả thi, phù hợp với đề xuất kỹ thuật và đáp ứng 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7EAB1" w14:textId="52655459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1E58CE66" w14:textId="77777777" w:rsidTr="009B4E9B">
        <w:trPr>
          <w:trHeight w:val="195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966C4" w14:textId="5F2A8C6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8216E" w14:textId="572FC292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Yêu cầu về thời gian bảo hành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74398" w14:textId="77777777" w:rsidR="00374743" w:rsidRPr="009B4E9B" w:rsidRDefault="00374743" w:rsidP="009B4E9B">
            <w:pPr>
              <w:spacing w:before="120" w:after="120" w:line="288" w:lineRule="auto"/>
              <w:ind w:left="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374743" w:rsidRPr="009B4E9B" w14:paraId="7F59EB3D" w14:textId="77777777" w:rsidTr="009B4E9B">
        <w:trPr>
          <w:trHeight w:val="210"/>
        </w:trPr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F8DCEB1" w14:textId="4844C441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F43C6" w14:textId="0E0FD553" w:rsidR="00374743" w:rsidRPr="009B4E9B" w:rsidRDefault="0035377D" w:rsidP="009B4E9B">
            <w:pPr>
              <w:tabs>
                <w:tab w:val="left" w:pos="6655"/>
              </w:tabs>
              <w:spacing w:before="120" w:after="120" w:line="288" w:lineRule="auto"/>
              <w:ind w:right="10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Có cam kết </w:t>
            </w:r>
            <w:r w:rsidRPr="00811E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Thời gian bảo hành với hạng mục sơn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tối thiểu </w:t>
            </w:r>
            <w:r w:rsidRPr="00811E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là 06 tháng; thời gian bảo hành với hạng mục cẩu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tối thiểu</w:t>
            </w:r>
            <w:r w:rsidRPr="00811E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là 600 giờ hoạt động cẩu nâng, hạ đầu tiên; thời gian bảo hành với các hạng mục khác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tối thiểu</w:t>
            </w:r>
            <w:r w:rsidRPr="00811E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là 06 tháng hoặc hoặc 15.000 km hoạt động đầu tiên kể từ ngày nghiệm thu bàn giao xe đưa vào sử dụng tuỳ theo điều kiện nào đến trước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. 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7FD37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Đạt</w:t>
            </w:r>
          </w:p>
        </w:tc>
      </w:tr>
      <w:tr w:rsidR="00374743" w:rsidRPr="009B4E9B" w14:paraId="69FE01CD" w14:textId="77777777" w:rsidTr="009B4E9B">
        <w:trPr>
          <w:trHeight w:val="249"/>
        </w:trPr>
        <w:tc>
          <w:tcPr>
            <w:tcW w:w="7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26F35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11B65" w14:textId="64BD84C0" w:rsidR="00374743" w:rsidRPr="009B4E9B" w:rsidRDefault="00374743" w:rsidP="009B4E9B">
            <w:pPr>
              <w:tabs>
                <w:tab w:val="left" w:pos="6655"/>
              </w:tabs>
              <w:spacing w:before="120" w:after="120" w:line="288" w:lineRule="auto"/>
              <w:ind w:right="105" w:hanging="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Không có cam kết, hoặc cam kết không đủ, không </w:t>
            </w:r>
            <w:r w:rsidR="00D06B5D"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đáp ứng yêu cầu của </w:t>
            </w:r>
            <w:r w:rsidRPr="009B4E9B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E-HSMT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4D50B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nl-NL"/>
              </w:rPr>
              <w:t>Không đạt</w:t>
            </w:r>
          </w:p>
        </w:tc>
      </w:tr>
      <w:tr w:rsidR="00374743" w:rsidRPr="009B4E9B" w14:paraId="0C5CF933" w14:textId="77777777" w:rsidTr="009B4E9B">
        <w:trPr>
          <w:trHeight w:val="251"/>
        </w:trPr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80A96" w14:textId="594E4469" w:rsidR="00374743" w:rsidRPr="009B4E9B" w:rsidRDefault="00374743" w:rsidP="009B4E9B">
            <w:pPr>
              <w:spacing w:before="120" w:after="120" w:line="288" w:lineRule="auto"/>
              <w:ind w:left="9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AF2A8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Tổng hợp kết quả đánh giá</w:t>
            </w:r>
          </w:p>
          <w:p w14:paraId="319C12E4" w14:textId="0E31EAB1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(I ÷ II)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720B" w14:textId="77777777" w:rsidR="00374743" w:rsidRPr="009B4E9B" w:rsidRDefault="00374743" w:rsidP="009B4E9B">
            <w:pPr>
              <w:spacing w:before="120" w:after="12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9B4E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Đạt / không đạt</w:t>
            </w:r>
          </w:p>
        </w:tc>
      </w:tr>
    </w:tbl>
    <w:p w14:paraId="33DF733C" w14:textId="7DE6D41C" w:rsidR="00374743" w:rsidRPr="000E45B4" w:rsidRDefault="00374743" w:rsidP="00EC599B">
      <w:pPr>
        <w:pStyle w:val="TOC1"/>
        <w:spacing w:before="0" w:line="312" w:lineRule="auto"/>
        <w:ind w:left="0" w:right="26" w:firstLine="1276"/>
        <w:rPr>
          <w:b w:val="0"/>
          <w:sz w:val="26"/>
          <w:szCs w:val="26"/>
          <w:lang w:val="es-ES"/>
        </w:rPr>
      </w:pPr>
      <w:r w:rsidRPr="009B4E9B">
        <w:rPr>
          <w:b w:val="0"/>
          <w:sz w:val="26"/>
          <w:szCs w:val="26"/>
          <w:lang w:val="es-ES"/>
        </w:rPr>
        <w:t>Nhà thầu được đánh giá là đạt yêu cầu khi các tiêu chuẩn trên được đánh giá là đạt.</w:t>
      </w:r>
      <w:r w:rsidRPr="000E45B4">
        <w:rPr>
          <w:b w:val="0"/>
          <w:sz w:val="26"/>
          <w:szCs w:val="26"/>
          <w:lang w:val="es-ES"/>
        </w:rPr>
        <w:t xml:space="preserve"> </w:t>
      </w:r>
    </w:p>
    <w:p w14:paraId="303920C9" w14:textId="77777777" w:rsidR="00142B4F" w:rsidRDefault="00142B4F">
      <w:pPr>
        <w:rPr>
          <w:lang w:val="en-US"/>
        </w:rPr>
      </w:pPr>
    </w:p>
    <w:sectPr w:rsidR="00142B4F" w:rsidSect="008C2B55">
      <w:pgSz w:w="12240" w:h="15840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7007"/>
    <w:multiLevelType w:val="hybridMultilevel"/>
    <w:tmpl w:val="38F43D0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D00"/>
    <w:rsid w:val="00022589"/>
    <w:rsid w:val="000471D7"/>
    <w:rsid w:val="00062333"/>
    <w:rsid w:val="000667E3"/>
    <w:rsid w:val="000824D9"/>
    <w:rsid w:val="000C1378"/>
    <w:rsid w:val="00142B4F"/>
    <w:rsid w:val="00163E20"/>
    <w:rsid w:val="00177ACA"/>
    <w:rsid w:val="00190FFC"/>
    <w:rsid w:val="001D0964"/>
    <w:rsid w:val="001F7E00"/>
    <w:rsid w:val="002110D8"/>
    <w:rsid w:val="00217CAC"/>
    <w:rsid w:val="002278BC"/>
    <w:rsid w:val="002A6698"/>
    <w:rsid w:val="002C6AEE"/>
    <w:rsid w:val="002D44EF"/>
    <w:rsid w:val="002D62E7"/>
    <w:rsid w:val="002E35A0"/>
    <w:rsid w:val="002F12BB"/>
    <w:rsid w:val="0030579D"/>
    <w:rsid w:val="00324AFB"/>
    <w:rsid w:val="0033336B"/>
    <w:rsid w:val="0035377D"/>
    <w:rsid w:val="00374743"/>
    <w:rsid w:val="003B5437"/>
    <w:rsid w:val="00454EF2"/>
    <w:rsid w:val="00484BD0"/>
    <w:rsid w:val="004A2FC0"/>
    <w:rsid w:val="0051286C"/>
    <w:rsid w:val="0055503B"/>
    <w:rsid w:val="00583772"/>
    <w:rsid w:val="005C0E72"/>
    <w:rsid w:val="005D221D"/>
    <w:rsid w:val="005D7D8F"/>
    <w:rsid w:val="0067211D"/>
    <w:rsid w:val="006B01AF"/>
    <w:rsid w:val="006E3B79"/>
    <w:rsid w:val="0073634A"/>
    <w:rsid w:val="007839F7"/>
    <w:rsid w:val="007A3AC8"/>
    <w:rsid w:val="00816B72"/>
    <w:rsid w:val="0084629E"/>
    <w:rsid w:val="00856E74"/>
    <w:rsid w:val="00883E9D"/>
    <w:rsid w:val="008B7D00"/>
    <w:rsid w:val="008C2B55"/>
    <w:rsid w:val="00901EC8"/>
    <w:rsid w:val="009A2E7E"/>
    <w:rsid w:val="009B3B46"/>
    <w:rsid w:val="009B4E9B"/>
    <w:rsid w:val="009C5CD1"/>
    <w:rsid w:val="00A624F3"/>
    <w:rsid w:val="00A651FC"/>
    <w:rsid w:val="00AC77A7"/>
    <w:rsid w:val="00BB046C"/>
    <w:rsid w:val="00BF3E59"/>
    <w:rsid w:val="00C40091"/>
    <w:rsid w:val="00C406C3"/>
    <w:rsid w:val="00C87E21"/>
    <w:rsid w:val="00CD302C"/>
    <w:rsid w:val="00D06B5D"/>
    <w:rsid w:val="00DA1408"/>
    <w:rsid w:val="00E2119C"/>
    <w:rsid w:val="00E34002"/>
    <w:rsid w:val="00E46C46"/>
    <w:rsid w:val="00EA4E46"/>
    <w:rsid w:val="00EB1C8E"/>
    <w:rsid w:val="00EC363A"/>
    <w:rsid w:val="00EC599B"/>
    <w:rsid w:val="00F02F71"/>
    <w:rsid w:val="00F12E3F"/>
    <w:rsid w:val="00F52479"/>
    <w:rsid w:val="00FA3B98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120161"/>
  <w15:chartTrackingRefBased/>
  <w15:docId w15:val="{E847B564-0C7C-4386-AA2D-C70E65A5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B55"/>
    <w:pPr>
      <w:ind w:left="720"/>
      <w:contextualSpacing/>
    </w:pPr>
  </w:style>
  <w:style w:type="paragraph" w:styleId="TOC1">
    <w:name w:val="toc 1"/>
    <w:basedOn w:val="Normal"/>
    <w:next w:val="Normal"/>
    <w:uiPriority w:val="39"/>
    <w:rsid w:val="00374743"/>
    <w:pPr>
      <w:tabs>
        <w:tab w:val="right" w:leader="dot" w:pos="9000"/>
      </w:tabs>
      <w:suppressAutoHyphens/>
      <w:spacing w:before="240" w:after="0" w:line="240" w:lineRule="auto"/>
      <w:ind w:left="720" w:right="720" w:hanging="720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TNC</dc:creator>
  <cp:keywords/>
  <dc:description/>
  <cp:lastModifiedBy>Bùi Trọng Dục (NPTS)</cp:lastModifiedBy>
  <cp:revision>6</cp:revision>
  <cp:lastPrinted>2025-03-24T07:26:00Z</cp:lastPrinted>
  <dcterms:created xsi:type="dcterms:W3CDTF">2025-11-14T03:08:00Z</dcterms:created>
  <dcterms:modified xsi:type="dcterms:W3CDTF">2025-11-14T09:06:00Z</dcterms:modified>
</cp:coreProperties>
</file>