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529" w:rsidRPr="003F6969" w:rsidRDefault="002A3529" w:rsidP="003F6969">
      <w:pPr>
        <w:pStyle w:val="TOC1"/>
        <w:rPr>
          <w:rFonts w:ascii="Times New Roman" w:hAnsi="Times New Roman" w:cs="Times New Roman"/>
        </w:rPr>
      </w:pPr>
      <w:r w:rsidRPr="003F6969">
        <w:rPr>
          <w:rFonts w:ascii="Times New Roman" w:hAnsi="Times New Roman" w:cs="Times New Roman"/>
        </w:rPr>
        <w:t xml:space="preserve">Mục </w:t>
      </w:r>
      <w:r w:rsidRPr="003F6969">
        <w:rPr>
          <w:rFonts w:ascii="Times New Roman" w:hAnsi="Times New Roman" w:cs="Times New Roman"/>
          <w:lang w:val="pl-PL"/>
        </w:rPr>
        <w:t>3</w:t>
      </w:r>
      <w:r w:rsidRPr="003F6969">
        <w:rPr>
          <w:rFonts w:ascii="Times New Roman" w:hAnsi="Times New Roman" w:cs="Times New Roman"/>
        </w:rPr>
        <w:t>. Tiêu chuẩn đánh giá về kỹ thuật</w:t>
      </w:r>
    </w:p>
    <w:p w:rsidR="002A3529" w:rsidRPr="003F6969" w:rsidRDefault="002A3529" w:rsidP="002A3529">
      <w:pPr>
        <w:spacing w:before="80" w:after="80" w:line="264" w:lineRule="auto"/>
        <w:ind w:firstLine="709"/>
        <w:rPr>
          <w:sz w:val="28"/>
          <w:szCs w:val="28"/>
          <w:lang w:val="es-ES"/>
        </w:rPr>
      </w:pPr>
      <w:r w:rsidRPr="003F6969">
        <w:rPr>
          <w:sz w:val="28"/>
          <w:szCs w:val="28"/>
          <w:lang w:val="es-ES"/>
        </w:rPr>
        <w:t xml:space="preserve">E-HSDT được đánh giá là đáp ứng yêu cầu về kỹ thuật khi có tất cả các tiêu chí tổng quát đều được đánh giá là đạt. </w:t>
      </w:r>
    </w:p>
    <w:p w:rsidR="002A3529" w:rsidRPr="003F6969" w:rsidRDefault="002A3529" w:rsidP="002A3529">
      <w:pPr>
        <w:spacing w:before="80" w:after="80" w:line="264" w:lineRule="auto"/>
        <w:ind w:firstLine="709"/>
        <w:rPr>
          <w:sz w:val="28"/>
          <w:szCs w:val="28"/>
          <w:lang w:val="es-ES"/>
        </w:rPr>
      </w:pPr>
    </w:p>
    <w:tbl>
      <w:tblPr>
        <w:tblW w:w="9808" w:type="dxa"/>
        <w:tblCellMar>
          <w:top w:w="119" w:type="dxa"/>
          <w:left w:w="101" w:type="dxa"/>
          <w:bottom w:w="5" w:type="dxa"/>
        </w:tblCellMar>
        <w:tblLook w:val="04A0" w:firstRow="1" w:lastRow="0" w:firstColumn="1" w:lastColumn="0" w:noHBand="0" w:noVBand="1"/>
      </w:tblPr>
      <w:tblGrid>
        <w:gridCol w:w="739"/>
        <w:gridCol w:w="2861"/>
        <w:gridCol w:w="3094"/>
        <w:gridCol w:w="3114"/>
      </w:tblGrid>
      <w:tr w:rsidR="002A3529" w:rsidRPr="003F6969" w:rsidTr="009955D2">
        <w:trPr>
          <w:trHeight w:val="20"/>
          <w:tblHeader/>
        </w:trPr>
        <w:tc>
          <w:tcPr>
            <w:tcW w:w="701" w:type="dxa"/>
            <w:vMerge w:val="restart"/>
            <w:tcBorders>
              <w:top w:val="single" w:sz="4" w:space="0" w:color="000000"/>
              <w:left w:val="single" w:sz="4" w:space="0" w:color="000000"/>
              <w:bottom w:val="single" w:sz="4" w:space="0" w:color="000000"/>
              <w:right w:val="single" w:sz="2" w:space="0" w:color="000000"/>
            </w:tcBorders>
            <w:vAlign w:val="center"/>
          </w:tcPr>
          <w:p w:rsidR="002A3529" w:rsidRPr="003F6969" w:rsidRDefault="002A3529" w:rsidP="009955D2">
            <w:pPr>
              <w:adjustRightInd w:val="0"/>
              <w:jc w:val="center"/>
              <w:rPr>
                <w:b/>
                <w:bCs/>
                <w:sz w:val="28"/>
                <w:szCs w:val="28"/>
              </w:rPr>
            </w:pPr>
            <w:r w:rsidRPr="003F6969">
              <w:rPr>
                <w:b/>
                <w:bCs/>
                <w:sz w:val="28"/>
                <w:szCs w:val="28"/>
              </w:rPr>
              <w:t>STT</w:t>
            </w:r>
          </w:p>
        </w:tc>
        <w:tc>
          <w:tcPr>
            <w:tcW w:w="2873" w:type="dxa"/>
            <w:vMerge w:val="restart"/>
            <w:tcBorders>
              <w:top w:val="single" w:sz="4" w:space="0" w:color="000000"/>
              <w:left w:val="single" w:sz="2" w:space="0" w:color="000000"/>
              <w:bottom w:val="single" w:sz="4" w:space="0" w:color="000000"/>
              <w:right w:val="single" w:sz="4" w:space="0" w:color="000000"/>
            </w:tcBorders>
            <w:vAlign w:val="center"/>
          </w:tcPr>
          <w:p w:rsidR="002A3529" w:rsidRPr="003F6969" w:rsidRDefault="002A3529" w:rsidP="009955D2">
            <w:pPr>
              <w:adjustRightInd w:val="0"/>
              <w:ind w:right="105"/>
              <w:jc w:val="center"/>
              <w:rPr>
                <w:b/>
                <w:bCs/>
                <w:sz w:val="28"/>
                <w:szCs w:val="28"/>
              </w:rPr>
            </w:pPr>
            <w:r w:rsidRPr="003F6969">
              <w:rPr>
                <w:b/>
                <w:bCs/>
                <w:sz w:val="28"/>
                <w:szCs w:val="28"/>
              </w:rPr>
              <w:t>Nội dung yêu cầu</w:t>
            </w:r>
          </w:p>
        </w:tc>
        <w:tc>
          <w:tcPr>
            <w:tcW w:w="6234" w:type="dxa"/>
            <w:gridSpan w:val="2"/>
            <w:tcBorders>
              <w:top w:val="single" w:sz="4" w:space="0" w:color="000000"/>
              <w:left w:val="single" w:sz="4" w:space="0" w:color="000000"/>
              <w:bottom w:val="single" w:sz="2" w:space="0" w:color="000000"/>
              <w:right w:val="single" w:sz="4" w:space="0" w:color="000000"/>
            </w:tcBorders>
          </w:tcPr>
          <w:p w:rsidR="002A3529" w:rsidRPr="003F6969" w:rsidRDefault="002A3529" w:rsidP="009955D2">
            <w:pPr>
              <w:adjustRightInd w:val="0"/>
              <w:snapToGrid w:val="0"/>
              <w:ind w:right="108"/>
              <w:jc w:val="center"/>
              <w:rPr>
                <w:b/>
                <w:bCs/>
                <w:sz w:val="28"/>
                <w:szCs w:val="28"/>
              </w:rPr>
            </w:pPr>
            <w:r w:rsidRPr="003F6969">
              <w:rPr>
                <w:b/>
                <w:bCs/>
                <w:sz w:val="28"/>
                <w:szCs w:val="28"/>
              </w:rPr>
              <w:t>Mứ</w:t>
            </w:r>
            <w:bookmarkStart w:id="0" w:name="_GoBack"/>
            <w:bookmarkEnd w:id="0"/>
            <w:r w:rsidRPr="003F6969">
              <w:rPr>
                <w:b/>
                <w:bCs/>
                <w:sz w:val="28"/>
                <w:szCs w:val="28"/>
              </w:rPr>
              <w:t>c độ đáp ứng</w:t>
            </w:r>
          </w:p>
        </w:tc>
      </w:tr>
      <w:tr w:rsidR="002A3529" w:rsidRPr="003F6969" w:rsidTr="009955D2">
        <w:trPr>
          <w:trHeight w:val="20"/>
          <w:tblHeader/>
        </w:trPr>
        <w:tc>
          <w:tcPr>
            <w:tcW w:w="0" w:type="auto"/>
            <w:vMerge/>
            <w:tcBorders>
              <w:top w:val="nil"/>
              <w:left w:val="single" w:sz="4" w:space="0" w:color="000000"/>
              <w:bottom w:val="single" w:sz="4" w:space="0" w:color="000000"/>
              <w:right w:val="single" w:sz="2" w:space="0" w:color="000000"/>
            </w:tcBorders>
            <w:vAlign w:val="center"/>
          </w:tcPr>
          <w:p w:rsidR="002A3529" w:rsidRPr="003F6969" w:rsidRDefault="002A3529" w:rsidP="009955D2">
            <w:pPr>
              <w:adjustRightInd w:val="0"/>
              <w:jc w:val="center"/>
              <w:rPr>
                <w:b/>
                <w:bCs/>
                <w:sz w:val="28"/>
                <w:szCs w:val="28"/>
              </w:rPr>
            </w:pPr>
          </w:p>
        </w:tc>
        <w:tc>
          <w:tcPr>
            <w:tcW w:w="2873" w:type="dxa"/>
            <w:vMerge/>
            <w:tcBorders>
              <w:top w:val="nil"/>
              <w:left w:val="single" w:sz="2" w:space="0" w:color="000000"/>
              <w:bottom w:val="single" w:sz="4" w:space="0" w:color="000000"/>
              <w:right w:val="single" w:sz="4" w:space="0" w:color="000000"/>
            </w:tcBorders>
            <w:vAlign w:val="center"/>
          </w:tcPr>
          <w:p w:rsidR="002A3529" w:rsidRPr="003F6969" w:rsidRDefault="002A3529" w:rsidP="009955D2">
            <w:pPr>
              <w:adjustRightInd w:val="0"/>
              <w:jc w:val="center"/>
              <w:rPr>
                <w:b/>
                <w:bCs/>
                <w:sz w:val="28"/>
                <w:szCs w:val="28"/>
              </w:rPr>
            </w:pPr>
          </w:p>
        </w:tc>
        <w:tc>
          <w:tcPr>
            <w:tcW w:w="3107" w:type="dxa"/>
            <w:tcBorders>
              <w:top w:val="single" w:sz="2" w:space="0" w:color="000000"/>
              <w:left w:val="single" w:sz="4" w:space="0" w:color="000000"/>
              <w:bottom w:val="single" w:sz="4" w:space="0" w:color="000000"/>
              <w:right w:val="single" w:sz="4" w:space="0" w:color="000000"/>
            </w:tcBorders>
          </w:tcPr>
          <w:p w:rsidR="002A3529" w:rsidRPr="003F6969" w:rsidRDefault="002A3529" w:rsidP="009955D2">
            <w:pPr>
              <w:adjustRightInd w:val="0"/>
              <w:snapToGrid w:val="0"/>
              <w:ind w:right="102"/>
              <w:jc w:val="center"/>
              <w:rPr>
                <w:b/>
                <w:bCs/>
                <w:sz w:val="28"/>
                <w:szCs w:val="28"/>
              </w:rPr>
            </w:pPr>
            <w:r w:rsidRPr="003F6969">
              <w:rPr>
                <w:b/>
                <w:bCs/>
                <w:sz w:val="28"/>
                <w:szCs w:val="28"/>
              </w:rPr>
              <w:t>Đạt</w:t>
            </w:r>
          </w:p>
        </w:tc>
        <w:tc>
          <w:tcPr>
            <w:tcW w:w="3127" w:type="dxa"/>
            <w:tcBorders>
              <w:top w:val="single" w:sz="2" w:space="0" w:color="000000"/>
              <w:left w:val="single" w:sz="4" w:space="0" w:color="000000"/>
              <w:bottom w:val="single" w:sz="4" w:space="0" w:color="000000"/>
              <w:right w:val="single" w:sz="4" w:space="0" w:color="000000"/>
            </w:tcBorders>
          </w:tcPr>
          <w:p w:rsidR="002A3529" w:rsidRPr="003F6969" w:rsidRDefault="002A3529" w:rsidP="009955D2">
            <w:pPr>
              <w:adjustRightInd w:val="0"/>
              <w:snapToGrid w:val="0"/>
              <w:ind w:right="106"/>
              <w:jc w:val="center"/>
              <w:rPr>
                <w:b/>
                <w:bCs/>
                <w:sz w:val="28"/>
                <w:szCs w:val="28"/>
              </w:rPr>
            </w:pPr>
            <w:r w:rsidRPr="003F6969">
              <w:rPr>
                <w:b/>
                <w:bCs/>
                <w:sz w:val="28"/>
                <w:szCs w:val="28"/>
              </w:rPr>
              <w:t>Không đạt</w:t>
            </w:r>
          </w:p>
        </w:tc>
      </w:tr>
      <w:tr w:rsidR="002A3529" w:rsidRPr="003F6969" w:rsidTr="009955D2">
        <w:trPr>
          <w:trHeight w:val="20"/>
        </w:trPr>
        <w:tc>
          <w:tcPr>
            <w:tcW w:w="701" w:type="dxa"/>
            <w:tcBorders>
              <w:top w:val="single" w:sz="4" w:space="0" w:color="000000"/>
              <w:left w:val="single" w:sz="4" w:space="0" w:color="000000"/>
              <w:bottom w:val="single" w:sz="4"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1</w:t>
            </w:r>
          </w:p>
        </w:tc>
        <w:tc>
          <w:tcPr>
            <w:tcW w:w="2873" w:type="dxa"/>
            <w:tcBorders>
              <w:top w:val="single" w:sz="4" w:space="0" w:color="000000"/>
              <w:left w:val="single" w:sz="2"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Nguồn gốc xuất xứ, nhà sản xuất hàng hóa nêu trong E-HSDT</w:t>
            </w:r>
          </w:p>
        </w:tc>
        <w:tc>
          <w:tcPr>
            <w:tcW w:w="310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Tất cả các danh mục hàng hóa chào phải có nguồn gốc xuất xứ, Nhà sản xuất cụ thể rõ ràng (đáp ứng quy định về tính hợp lệ của hàng hoá tại Mục 1.3. Chương V - Yêu cầu về kỹ thuật).</w:t>
            </w:r>
          </w:p>
        </w:tc>
        <w:tc>
          <w:tcPr>
            <w:tcW w:w="312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 Không có xuất xứ.</w:t>
            </w:r>
          </w:p>
          <w:p w:rsidR="002A3529" w:rsidRPr="003F6969" w:rsidRDefault="002A3529" w:rsidP="009955D2">
            <w:pPr>
              <w:rPr>
                <w:sz w:val="28"/>
                <w:szCs w:val="28"/>
              </w:rPr>
            </w:pPr>
            <w:r w:rsidRPr="003F6969">
              <w:rPr>
                <w:sz w:val="28"/>
                <w:szCs w:val="28"/>
              </w:rPr>
              <w:t xml:space="preserve">- Hoặc không có xuất xứ, Nhà sản xuất cụ thể rõ ràng theo quy định về tính hợp lệ của hàng hoá tại Mục 1.3. Chương V - Yêu cầu về kỹ thuật </w:t>
            </w:r>
          </w:p>
        </w:tc>
      </w:tr>
      <w:tr w:rsidR="002A3529" w:rsidRPr="003F6969" w:rsidTr="009955D2">
        <w:trPr>
          <w:trHeight w:val="20"/>
        </w:trPr>
        <w:tc>
          <w:tcPr>
            <w:tcW w:w="701" w:type="dxa"/>
            <w:tcBorders>
              <w:top w:val="single" w:sz="4" w:space="0" w:color="000000"/>
              <w:left w:val="single" w:sz="4" w:space="0" w:color="000000"/>
              <w:bottom w:val="single" w:sz="4"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2</w:t>
            </w:r>
          </w:p>
        </w:tc>
        <w:tc>
          <w:tcPr>
            <w:tcW w:w="2873" w:type="dxa"/>
            <w:tcBorders>
              <w:top w:val="single" w:sz="4" w:space="0" w:color="000000"/>
              <w:left w:val="single" w:sz="2"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Quy cách, thông số kỹ thuật của hàng hóa: theo như Mục 1.2 Chương V - Yêu cầu về kỹ thuật.</w:t>
            </w:r>
          </w:p>
          <w:p w:rsidR="002A3529" w:rsidRPr="003F6969" w:rsidRDefault="002A3529" w:rsidP="009955D2">
            <w:pPr>
              <w:rPr>
                <w:sz w:val="28"/>
                <w:szCs w:val="28"/>
              </w:rPr>
            </w:pPr>
            <w:r w:rsidRPr="003F6969">
              <w:rPr>
                <w:sz w:val="28"/>
                <w:szCs w:val="28"/>
              </w:rPr>
              <w:t>Trường hợp nhà thầu đề xuất hàng hóa chào là tương đương, nhà thầu phải lập bảng phân tích, chứng minh, so sánh các thông số chi tiết theo như Mục 1.2 Chương V - Yêu cầu về kỹ thuật.</w:t>
            </w:r>
          </w:p>
        </w:tc>
        <w:tc>
          <w:tcPr>
            <w:tcW w:w="310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 xml:space="preserve">Hàng hóa có thông số kỹ thuật, ứng dụng, đặc tính, thông số kỹ thuật, tiêu chuẩn sản xuất, tiêu chuẩn chế tạo và tài liệu kỹ thuật của nhà sản xuất đáp ứng theo yêu cầu tại Mục 1.2 Chương V - Yêu cầu về kỹ thuật. </w:t>
            </w:r>
          </w:p>
          <w:p w:rsidR="002A3529" w:rsidRPr="003F6969" w:rsidRDefault="002A3529" w:rsidP="009955D2">
            <w:pPr>
              <w:rPr>
                <w:sz w:val="28"/>
                <w:szCs w:val="28"/>
              </w:rPr>
            </w:pPr>
            <w:r w:rsidRPr="003F6969">
              <w:rPr>
                <w:sz w:val="28"/>
                <w:szCs w:val="28"/>
              </w:rPr>
              <w:t>Có lập bảng phân tích, chứng minh, so sánh các thông số chi tiết của Nhà sản xuất theo như Mục 1.2 Chương V - Yêu cầu về kỹ thuật đối với trường hợp nhà thầu đề xuất hàng hóa chào là tương đương</w:t>
            </w:r>
          </w:p>
        </w:tc>
        <w:tc>
          <w:tcPr>
            <w:tcW w:w="312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 Hàng hóa có thông số kỹ thuật hoặc ứng dụng hoặc đặc tính hoặc tiêu chuẩn sản xuất hoặc tiêu chuẩn chế tạo hoặc tài liệu kỹ thuật của nhà sản xuất không đáp ứng theo yêu cầu tại Mục 1.2 Chương V- Yêu cầu về kỹ thuật.</w:t>
            </w:r>
          </w:p>
          <w:p w:rsidR="002A3529" w:rsidRPr="003F6969" w:rsidRDefault="002A3529" w:rsidP="009955D2">
            <w:pPr>
              <w:rPr>
                <w:sz w:val="28"/>
                <w:szCs w:val="28"/>
              </w:rPr>
            </w:pPr>
            <w:r w:rsidRPr="003F6969">
              <w:rPr>
                <w:sz w:val="28"/>
                <w:szCs w:val="28"/>
              </w:rPr>
              <w:t xml:space="preserve">- Không lập bảng phân tích, chứng minh, so sánh các thông số chi tiết của Nhà sản xuất theo như Mục 1.2 Chương V - Yêu cầu về kỹ thuật đối với trường hợp nhà thầu đề xuất hàng hóa chào là tương đương </w:t>
            </w:r>
          </w:p>
        </w:tc>
      </w:tr>
      <w:tr w:rsidR="002A3529" w:rsidRPr="003F6969" w:rsidTr="009955D2">
        <w:trPr>
          <w:trHeight w:val="20"/>
        </w:trPr>
        <w:tc>
          <w:tcPr>
            <w:tcW w:w="701" w:type="dxa"/>
            <w:tcBorders>
              <w:top w:val="single" w:sz="4" w:space="0" w:color="000000"/>
              <w:left w:val="single" w:sz="4" w:space="0" w:color="000000"/>
              <w:bottom w:val="single" w:sz="4"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3</w:t>
            </w:r>
          </w:p>
        </w:tc>
        <w:tc>
          <w:tcPr>
            <w:tcW w:w="2873" w:type="dxa"/>
            <w:tcBorders>
              <w:top w:val="single" w:sz="4" w:space="0" w:color="000000"/>
              <w:left w:val="single" w:sz="2"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 xml:space="preserve">Chất lượng hàng hóa và tiêu chuẩn kỹ thuật theo quy định tại Mục 1.3. </w:t>
            </w:r>
            <w:r w:rsidRPr="003F6969">
              <w:rPr>
                <w:sz w:val="28"/>
                <w:szCs w:val="28"/>
              </w:rPr>
              <w:lastRenderedPageBreak/>
              <w:t>Chương V - Yêu cầu về kỹ thuật</w:t>
            </w:r>
          </w:p>
        </w:tc>
        <w:tc>
          <w:tcPr>
            <w:tcW w:w="310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lastRenderedPageBreak/>
              <w:t>Nhà thầu có cam kết đáp ứng yêu cầu.</w:t>
            </w:r>
          </w:p>
        </w:tc>
        <w:tc>
          <w:tcPr>
            <w:tcW w:w="3127" w:type="dxa"/>
            <w:tcBorders>
              <w:top w:val="single" w:sz="4" w:space="0" w:color="000000"/>
              <w:left w:val="single" w:sz="4" w:space="0" w:color="000000"/>
              <w:bottom w:val="single" w:sz="4" w:space="0" w:color="000000"/>
              <w:right w:val="single" w:sz="4" w:space="0" w:color="000000"/>
            </w:tcBorders>
            <w:vAlign w:val="center"/>
          </w:tcPr>
          <w:p w:rsidR="002A3529" w:rsidRPr="003F6969" w:rsidRDefault="002A3529" w:rsidP="009955D2">
            <w:pPr>
              <w:rPr>
                <w:sz w:val="28"/>
                <w:szCs w:val="28"/>
              </w:rPr>
            </w:pPr>
            <w:r w:rsidRPr="003F6969">
              <w:rPr>
                <w:sz w:val="28"/>
                <w:szCs w:val="28"/>
              </w:rPr>
              <w:t xml:space="preserve">Không có cam kết hoặc có cam kết nhưng không đáp ứng yêu cầu </w:t>
            </w:r>
          </w:p>
        </w:tc>
      </w:tr>
      <w:tr w:rsidR="002A3529" w:rsidRPr="003F6969" w:rsidTr="009955D2">
        <w:trPr>
          <w:trHeight w:val="20"/>
        </w:trPr>
        <w:tc>
          <w:tcPr>
            <w:tcW w:w="701" w:type="dxa"/>
            <w:tcBorders>
              <w:top w:val="single" w:sz="4" w:space="0" w:color="000000"/>
              <w:left w:val="single" w:sz="4" w:space="0" w:color="000000"/>
              <w:bottom w:val="single" w:sz="2"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4</w:t>
            </w:r>
          </w:p>
        </w:tc>
        <w:tc>
          <w:tcPr>
            <w:tcW w:w="2873" w:type="dxa"/>
            <w:tcBorders>
              <w:top w:val="single" w:sz="4" w:space="0" w:color="000000"/>
              <w:left w:val="single" w:sz="2" w:space="0" w:color="000000"/>
              <w:bottom w:val="single" w:sz="2" w:space="0" w:color="000000"/>
              <w:right w:val="single" w:sz="4" w:space="0" w:color="000000"/>
            </w:tcBorders>
          </w:tcPr>
          <w:p w:rsidR="002A3529" w:rsidRPr="003F6969" w:rsidRDefault="002A3529" w:rsidP="009955D2">
            <w:pPr>
              <w:adjustRightInd w:val="0"/>
              <w:spacing w:before="60" w:after="60"/>
              <w:ind w:left="1" w:right="105"/>
              <w:rPr>
                <w:sz w:val="28"/>
                <w:szCs w:val="28"/>
              </w:rPr>
            </w:pPr>
            <w:r w:rsidRPr="003F6969">
              <w:rPr>
                <w:sz w:val="28"/>
                <w:szCs w:val="28"/>
              </w:rPr>
              <w:t>Thời gian giao hàng đạt yêu cầu theo quy định tại Mục 1.1 Chương V</w:t>
            </w:r>
            <w:r w:rsidRPr="003F6969">
              <w:rPr>
                <w:rFonts w:eastAsia="DengXian"/>
                <w:sz w:val="28"/>
                <w:szCs w:val="28"/>
                <w:lang w:eastAsia="zh-CN"/>
              </w:rPr>
              <w:t xml:space="preserve">, </w:t>
            </w:r>
            <w:r w:rsidRPr="003F6969">
              <w:rPr>
                <w:sz w:val="28"/>
                <w:szCs w:val="28"/>
              </w:rPr>
              <w:t>E-HSMT</w:t>
            </w:r>
          </w:p>
        </w:tc>
        <w:tc>
          <w:tcPr>
            <w:tcW w:w="3107" w:type="dxa"/>
            <w:tcBorders>
              <w:top w:val="single" w:sz="4" w:space="0" w:color="000000"/>
              <w:left w:val="single" w:sz="4" w:space="0" w:color="000000"/>
              <w:bottom w:val="single" w:sz="2" w:space="0" w:color="000000"/>
              <w:right w:val="single" w:sz="4" w:space="0" w:color="000000"/>
            </w:tcBorders>
          </w:tcPr>
          <w:p w:rsidR="002A3529" w:rsidRPr="003F6969" w:rsidRDefault="002A3529" w:rsidP="009955D2">
            <w:pPr>
              <w:adjustRightInd w:val="0"/>
              <w:spacing w:before="60" w:after="60"/>
              <w:ind w:right="102"/>
              <w:rPr>
                <w:sz w:val="28"/>
                <w:szCs w:val="28"/>
              </w:rPr>
            </w:pPr>
            <w:r w:rsidRPr="003F6969">
              <w:rPr>
                <w:sz w:val="28"/>
                <w:szCs w:val="28"/>
              </w:rPr>
              <w:t>≤ thời gian yêu cầu.</w:t>
            </w:r>
          </w:p>
        </w:tc>
        <w:tc>
          <w:tcPr>
            <w:tcW w:w="3127" w:type="dxa"/>
            <w:tcBorders>
              <w:top w:val="single" w:sz="4" w:space="0" w:color="000000"/>
              <w:left w:val="single" w:sz="4" w:space="0" w:color="000000"/>
              <w:bottom w:val="single" w:sz="2" w:space="0" w:color="000000"/>
              <w:right w:val="single" w:sz="4" w:space="0" w:color="000000"/>
            </w:tcBorders>
          </w:tcPr>
          <w:p w:rsidR="002A3529" w:rsidRPr="003F6969" w:rsidRDefault="002A3529" w:rsidP="009955D2">
            <w:pPr>
              <w:adjustRightInd w:val="0"/>
              <w:spacing w:before="60" w:after="60"/>
              <w:ind w:right="102"/>
              <w:rPr>
                <w:sz w:val="28"/>
                <w:szCs w:val="28"/>
              </w:rPr>
            </w:pPr>
            <w:r w:rsidRPr="003F6969">
              <w:rPr>
                <w:sz w:val="28"/>
                <w:szCs w:val="28"/>
              </w:rPr>
              <w:t>&gt; thời gian yêu cầu.</w:t>
            </w:r>
          </w:p>
        </w:tc>
      </w:tr>
      <w:tr w:rsidR="002A3529" w:rsidRPr="003F6969" w:rsidTr="009955D2">
        <w:trPr>
          <w:trHeight w:val="20"/>
        </w:trPr>
        <w:tc>
          <w:tcPr>
            <w:tcW w:w="701" w:type="dxa"/>
            <w:tcBorders>
              <w:top w:val="single" w:sz="2" w:space="0" w:color="000000"/>
              <w:left w:val="single" w:sz="4" w:space="0" w:color="000000"/>
              <w:bottom w:val="single" w:sz="2"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5</w:t>
            </w:r>
          </w:p>
        </w:tc>
        <w:tc>
          <w:tcPr>
            <w:tcW w:w="2873" w:type="dxa"/>
            <w:tcBorders>
              <w:top w:val="single" w:sz="2" w:space="0" w:color="000000"/>
              <w:left w:val="single" w:sz="2"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Thời gian bảo hành theo quy định tại Mục 1.3 Chương V - Yêu cầu về kỹ thuật</w:t>
            </w:r>
          </w:p>
        </w:tc>
        <w:tc>
          <w:tcPr>
            <w:tcW w:w="3107" w:type="dxa"/>
            <w:tcBorders>
              <w:top w:val="single" w:sz="2" w:space="0" w:color="000000"/>
              <w:left w:val="single" w:sz="4"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 xml:space="preserve">≥ thời gian yêu cầu </w:t>
            </w:r>
          </w:p>
        </w:tc>
        <w:tc>
          <w:tcPr>
            <w:tcW w:w="3127" w:type="dxa"/>
            <w:tcBorders>
              <w:top w:val="single" w:sz="2" w:space="0" w:color="000000"/>
              <w:left w:val="single" w:sz="4"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&lt; thời gian yêu cầu</w:t>
            </w:r>
          </w:p>
        </w:tc>
      </w:tr>
      <w:tr w:rsidR="002A3529" w:rsidRPr="003F6969" w:rsidTr="009955D2">
        <w:trPr>
          <w:trHeight w:val="2733"/>
        </w:trPr>
        <w:tc>
          <w:tcPr>
            <w:tcW w:w="701" w:type="dxa"/>
            <w:tcBorders>
              <w:top w:val="single" w:sz="2" w:space="0" w:color="000000"/>
              <w:left w:val="single" w:sz="4" w:space="0" w:color="000000"/>
              <w:bottom w:val="single" w:sz="2" w:space="0" w:color="000000"/>
              <w:right w:val="single" w:sz="2" w:space="0" w:color="000000"/>
            </w:tcBorders>
            <w:vAlign w:val="center"/>
          </w:tcPr>
          <w:p w:rsidR="002A3529" w:rsidRPr="003F6969" w:rsidRDefault="002A3529" w:rsidP="009955D2">
            <w:pPr>
              <w:adjustRightInd w:val="0"/>
              <w:spacing w:before="60" w:after="60"/>
              <w:ind w:left="36"/>
              <w:jc w:val="center"/>
              <w:rPr>
                <w:sz w:val="28"/>
                <w:szCs w:val="28"/>
              </w:rPr>
            </w:pPr>
            <w:r w:rsidRPr="003F6969">
              <w:rPr>
                <w:rFonts w:eastAsia="DengXian"/>
                <w:sz w:val="28"/>
                <w:szCs w:val="28"/>
                <w:lang w:eastAsia="zh-CN"/>
              </w:rPr>
              <w:t>6</w:t>
            </w:r>
          </w:p>
        </w:tc>
        <w:tc>
          <w:tcPr>
            <w:tcW w:w="2873" w:type="dxa"/>
            <w:tcBorders>
              <w:top w:val="single" w:sz="2" w:space="0" w:color="000000"/>
              <w:left w:val="single" w:sz="2"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Chứng từ kèm theo hàng hóa theo quy định tại Mục 1.3 Chương V - Yêu cầu về kỹ thuật</w:t>
            </w:r>
          </w:p>
        </w:tc>
        <w:tc>
          <w:tcPr>
            <w:tcW w:w="3107" w:type="dxa"/>
            <w:tcBorders>
              <w:top w:val="single" w:sz="2" w:space="0" w:color="000000"/>
              <w:left w:val="single" w:sz="4"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Nhà thầu có cam kết về việc cung cấp các chứng từ để chứng minh tính hợp lệ, đáp ứng của hàng hoá theo quy định tại Mục 1.3. Chương V - Yêu cầu về kỹ thuật.</w:t>
            </w:r>
          </w:p>
        </w:tc>
        <w:tc>
          <w:tcPr>
            <w:tcW w:w="3127" w:type="dxa"/>
            <w:tcBorders>
              <w:top w:val="single" w:sz="2" w:space="0" w:color="000000"/>
              <w:left w:val="single" w:sz="4" w:space="0" w:color="000000"/>
              <w:bottom w:val="single" w:sz="2" w:space="0" w:color="000000"/>
              <w:right w:val="single" w:sz="4" w:space="0" w:color="000000"/>
            </w:tcBorders>
            <w:vAlign w:val="center"/>
          </w:tcPr>
          <w:p w:rsidR="002A3529" w:rsidRPr="003F6969" w:rsidRDefault="002A3529" w:rsidP="009955D2">
            <w:pPr>
              <w:rPr>
                <w:sz w:val="28"/>
                <w:szCs w:val="28"/>
              </w:rPr>
            </w:pPr>
            <w:r w:rsidRPr="003F6969">
              <w:rPr>
                <w:sz w:val="28"/>
                <w:szCs w:val="28"/>
              </w:rPr>
              <w:t>Nhà thầu không có cam kết hoặc có cam kết nhưng không đáp ứng yêu cầu về việc cung cấp các chứng từ để chứng minh tính hợp lệ, đáp ứng của hàng hoá theo quy định tại Mục 1.3. Chương V - Yêu cầu về kỹ thuật.</w:t>
            </w:r>
          </w:p>
        </w:tc>
      </w:tr>
    </w:tbl>
    <w:p w:rsidR="002A3529" w:rsidRPr="003F6969" w:rsidRDefault="002A3529" w:rsidP="002A3529">
      <w:pPr>
        <w:jc w:val="left"/>
        <w:rPr>
          <w:sz w:val="28"/>
          <w:szCs w:val="28"/>
        </w:rPr>
      </w:pPr>
      <w:r w:rsidRPr="003F6969">
        <w:rPr>
          <w:sz w:val="28"/>
          <w:szCs w:val="28"/>
        </w:rPr>
        <w:t>Ghi chú:</w:t>
      </w:r>
    </w:p>
    <w:p w:rsidR="002A3529" w:rsidRPr="003F6969" w:rsidRDefault="002A3529" w:rsidP="002A3529">
      <w:pPr>
        <w:rPr>
          <w:sz w:val="28"/>
          <w:szCs w:val="28"/>
        </w:rPr>
      </w:pPr>
      <w:r w:rsidRPr="003F6969">
        <w:rPr>
          <w:sz w:val="28"/>
          <w:szCs w:val="28"/>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p w:rsidR="002A3529" w:rsidRPr="003F6969" w:rsidRDefault="002A3529" w:rsidP="002A3529">
      <w:pPr>
        <w:spacing w:before="80" w:after="80" w:line="264" w:lineRule="auto"/>
        <w:ind w:firstLine="709"/>
        <w:rPr>
          <w:sz w:val="28"/>
          <w:szCs w:val="28"/>
          <w:lang w:val="es-ES"/>
        </w:rPr>
      </w:pPr>
      <w:r w:rsidRPr="003F6969">
        <w:rPr>
          <w:sz w:val="28"/>
          <w:szCs w:val="28"/>
        </w:rPr>
        <w:t>Việc đánh giá dựa trên Hồ sơ dự thầu và nội dung làm rõ giữa Chủ đầu tư và Nhà thầu trong quá trình đánh giá.</w:t>
      </w:r>
    </w:p>
    <w:p w:rsidR="003E07EA" w:rsidRPr="003F6969" w:rsidRDefault="003E07EA"/>
    <w:sectPr w:rsidR="003E07EA" w:rsidRPr="003F6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29"/>
    <w:rsid w:val="002A3529"/>
    <w:rsid w:val="003E07EA"/>
    <w:rsid w:val="003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ADD71-2704-419B-A58B-A3CBD7FE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5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F6969"/>
    <w:pPr>
      <w:tabs>
        <w:tab w:val="right" w:leader="dot" w:pos="9062"/>
      </w:tabs>
      <w:spacing w:before="80" w:after="80" w:line="264" w:lineRule="auto"/>
      <w:jc w:val="center"/>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Nhu Tram</dc:creator>
  <cp:keywords/>
  <dc:description/>
  <cp:lastModifiedBy>Phan Thi Nhu Tram</cp:lastModifiedBy>
  <cp:revision>2</cp:revision>
  <dcterms:created xsi:type="dcterms:W3CDTF">2025-11-05T08:06:00Z</dcterms:created>
  <dcterms:modified xsi:type="dcterms:W3CDTF">2025-11-05T08:15:00Z</dcterms:modified>
</cp:coreProperties>
</file>