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AC" w:rsidRPr="00E43213" w:rsidRDefault="00BC66AC" w:rsidP="00BC66AC">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Chương VII. ĐIỀU KIỆN CỤ THỂ CỦA HỢP ĐỒNG</w:t>
      </w:r>
    </w:p>
    <w:p w:rsidR="00BC66AC" w:rsidRPr="00E43213" w:rsidRDefault="00BC66AC" w:rsidP="00BC66AC">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toàn bộ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phải được Chủ đầu tư ghi đầy đủ trước khi phát hành E-HSMT.</w:t>
      </w:r>
    </w:p>
    <w:p w:rsidR="00BC66AC" w:rsidRPr="00E43213" w:rsidRDefault="00BC66AC" w:rsidP="00BC66AC">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3"/>
        <w:gridCol w:w="7661"/>
      </w:tblGrid>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1.1</w:t>
            </w:r>
          </w:p>
        </w:tc>
        <w:tc>
          <w:tcPr>
            <w:tcW w:w="4095" w:type="pct"/>
          </w:tcPr>
          <w:p w:rsidR="00BC66AC" w:rsidRPr="002D659B" w:rsidRDefault="00BC66AC" w:rsidP="007F5B3F">
            <w:pPr>
              <w:rPr>
                <w:rFonts w:ascii="Arial" w:eastAsia="Times New Roman" w:hAnsi="Arial" w:cs="Arial"/>
                <w:bCs/>
                <w:color w:val="000000" w:themeColor="text1"/>
                <w:sz w:val="20"/>
                <w:szCs w:val="20"/>
                <w:lang w:val="en-US"/>
              </w:rPr>
            </w:pPr>
            <w:r w:rsidRPr="00E43213">
              <w:rPr>
                <w:rFonts w:ascii="Arial" w:eastAsia="Times New Roman" w:hAnsi="Arial" w:cs="Arial"/>
                <w:bCs/>
                <w:color w:val="000000" w:themeColor="text1"/>
                <w:sz w:val="20"/>
                <w:szCs w:val="20"/>
              </w:rPr>
              <w:t>Chủ đầu tư là</w:t>
            </w:r>
            <w:r>
              <w:rPr>
                <w:rFonts w:ascii="Arial" w:eastAsia="Times New Roman" w:hAnsi="Arial" w:cs="Arial"/>
                <w:bCs/>
                <w:color w:val="000000" w:themeColor="text1"/>
                <w:sz w:val="20"/>
                <w:szCs w:val="20"/>
                <w:lang w:val="en-US"/>
              </w:rPr>
              <w:t>: Nhà máy Z117</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1.3</w:t>
            </w:r>
          </w:p>
        </w:tc>
        <w:tc>
          <w:tcPr>
            <w:tcW w:w="4095" w:type="pct"/>
          </w:tcPr>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Nhà thầu:_____</w:t>
            </w:r>
            <w:r w:rsidRPr="00E43213">
              <w:rPr>
                <w:rFonts w:ascii="Arial" w:eastAsia="Times New Roman" w:hAnsi="Arial" w:cs="Arial"/>
                <w:bCs/>
                <w:i/>
                <w:color w:val="000000" w:themeColor="text1"/>
                <w:sz w:val="20"/>
                <w:szCs w:val="20"/>
              </w:rPr>
              <w:t>[ghi tên Nhà thầu trúng thầu].</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Địa điểm Dự án/ Điểm giao hàng cuối cùng là: </w:t>
            </w:r>
            <w:r w:rsidRPr="002D659B">
              <w:rPr>
                <w:rFonts w:ascii="Arial" w:eastAsia="Times New Roman" w:hAnsi="Arial" w:cs="Arial"/>
                <w:bCs/>
                <w:color w:val="000000" w:themeColor="text1"/>
                <w:sz w:val="20"/>
                <w:szCs w:val="20"/>
              </w:rPr>
              <w:t>Nhà máy Z117</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2.8</w:t>
            </w:r>
          </w:p>
        </w:tc>
        <w:tc>
          <w:tcPr>
            <w:tcW w:w="4095" w:type="pct"/>
          </w:tcPr>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Các tài liệu sau đây cũng là một phần của Hợp đồng: </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4</w:t>
            </w:r>
          </w:p>
        </w:tc>
        <w:tc>
          <w:tcPr>
            <w:tcW w:w="4095" w:type="pct"/>
          </w:tcPr>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Chủ đầu tư </w:t>
            </w:r>
            <w:r>
              <w:rPr>
                <w:rFonts w:ascii="Arial" w:eastAsia="Times New Roman" w:hAnsi="Arial" w:cs="Arial"/>
                <w:bCs/>
                <w:color w:val="000000" w:themeColor="text1"/>
                <w:sz w:val="20"/>
                <w:szCs w:val="20"/>
                <w:lang w:val="en-US"/>
              </w:rPr>
              <w:t>có thể</w:t>
            </w:r>
            <w:r w:rsidRPr="00E43213">
              <w:rPr>
                <w:rFonts w:ascii="Arial" w:eastAsia="Times New Roman" w:hAnsi="Arial" w:cs="Arial"/>
                <w:bCs/>
                <w:color w:val="000000" w:themeColor="text1"/>
                <w:sz w:val="20"/>
                <w:szCs w:val="20"/>
              </w:rPr>
              <w:t xml:space="preserve"> ủy quyền các nghĩa vụ và trách nhiệm của mình cho người khác.</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5.1</w:t>
            </w:r>
          </w:p>
        </w:tc>
        <w:tc>
          <w:tcPr>
            <w:tcW w:w="4095" w:type="pct"/>
          </w:tcPr>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thông báo cần gửi về Chủ đầu tư theo địa chỉ dưới đây:</w:t>
            </w:r>
          </w:p>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Người nhận: </w:t>
            </w:r>
            <w:r w:rsidRPr="002D659B">
              <w:rPr>
                <w:rFonts w:ascii="Arial" w:eastAsia="Times New Roman" w:hAnsi="Arial" w:cs="Arial"/>
                <w:bCs/>
                <w:color w:val="000000" w:themeColor="text1"/>
                <w:sz w:val="20"/>
                <w:szCs w:val="20"/>
              </w:rPr>
              <w:t>Nhà máy Z117</w:t>
            </w:r>
          </w:p>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Địa chỉ: </w:t>
            </w:r>
            <w:r w:rsidRPr="002D659B">
              <w:rPr>
                <w:rFonts w:ascii="Arial" w:eastAsia="Times New Roman" w:hAnsi="Arial" w:cs="Arial"/>
                <w:bCs/>
                <w:color w:val="000000" w:themeColor="text1"/>
                <w:sz w:val="20"/>
                <w:szCs w:val="20"/>
              </w:rPr>
              <w:t>Đường 16, Thôn Cả, Xã Sóc Sơn, TP Hà Nội</w:t>
            </w:r>
          </w:p>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Điện thoại: </w:t>
            </w:r>
            <w:r w:rsidRPr="002D659B">
              <w:rPr>
                <w:rFonts w:ascii="Arial" w:eastAsia="Times New Roman" w:hAnsi="Arial" w:cs="Arial"/>
                <w:bCs/>
                <w:color w:val="000000" w:themeColor="text1"/>
                <w:sz w:val="20"/>
                <w:szCs w:val="20"/>
              </w:rPr>
              <w:t>(04) 3884 3323</w:t>
            </w:r>
          </w:p>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Fax: ____</w:t>
            </w:r>
            <w:r w:rsidRPr="00E43213">
              <w:rPr>
                <w:rFonts w:ascii="Arial" w:eastAsia="Times New Roman" w:hAnsi="Arial" w:cs="Arial"/>
                <w:bCs/>
                <w:i/>
                <w:color w:val="000000" w:themeColor="text1"/>
                <w:sz w:val="20"/>
                <w:szCs w:val="20"/>
              </w:rPr>
              <w:t>[ghi số fax, bao gồm mã quốc gia và mã thành phố]</w:t>
            </w:r>
            <w:r w:rsidRPr="00E43213">
              <w:rPr>
                <w:rFonts w:ascii="Arial" w:eastAsia="Times New Roman" w:hAnsi="Arial" w:cs="Arial"/>
                <w:bCs/>
                <w:color w:val="000000" w:themeColor="text1"/>
                <w:sz w:val="20"/>
                <w:szCs w:val="20"/>
              </w:rPr>
              <w:t>.</w:t>
            </w:r>
          </w:p>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email: _____</w:t>
            </w:r>
            <w:r w:rsidRPr="00E43213">
              <w:rPr>
                <w:rFonts w:ascii="Arial" w:eastAsia="Times New Roman" w:hAnsi="Arial" w:cs="Arial"/>
                <w:bCs/>
                <w:i/>
                <w:color w:val="000000" w:themeColor="text1"/>
                <w:sz w:val="20"/>
                <w:szCs w:val="20"/>
              </w:rPr>
              <w:t>[ghi địa chỉ email (nếu có)]</w:t>
            </w:r>
            <w:r w:rsidRPr="00E43213">
              <w:rPr>
                <w:rFonts w:ascii="Arial" w:eastAsia="Times New Roman" w:hAnsi="Arial" w:cs="Arial"/>
                <w:bCs/>
                <w:color w:val="000000" w:themeColor="text1"/>
                <w:sz w:val="20"/>
                <w:szCs w:val="20"/>
              </w:rPr>
              <w:t>.</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6.1</w:t>
            </w:r>
          </w:p>
        </w:tc>
        <w:tc>
          <w:tcPr>
            <w:tcW w:w="4095" w:type="pct"/>
          </w:tcPr>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Hình thức bảo đảm thực hiện hợp đồng: </w:t>
            </w:r>
            <w:r w:rsidRPr="002D659B">
              <w:rPr>
                <w:rFonts w:ascii="Arial" w:eastAsia="Times New Roman" w:hAnsi="Arial" w:cs="Arial"/>
                <w:bCs/>
                <w:i/>
                <w:color w:val="000000" w:themeColor="text1"/>
                <w:sz w:val="20"/>
                <w:szCs w:val="20"/>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6.2</w:t>
            </w:r>
          </w:p>
        </w:tc>
        <w:tc>
          <w:tcPr>
            <w:tcW w:w="4095" w:type="pct"/>
          </w:tcPr>
          <w:p w:rsidR="00BC66AC" w:rsidRPr="002D659B" w:rsidRDefault="00BC66AC" w:rsidP="007F5B3F">
            <w:pPr>
              <w:rPr>
                <w:rFonts w:ascii="Arial" w:eastAsia="Times New Roman" w:hAnsi="Arial" w:cs="Arial"/>
                <w:bCs/>
                <w:color w:val="000000" w:themeColor="text1"/>
                <w:sz w:val="20"/>
                <w:szCs w:val="20"/>
                <w:lang w:val="en-US"/>
              </w:rPr>
            </w:pPr>
            <w:r w:rsidRPr="00E43213">
              <w:rPr>
                <w:rFonts w:ascii="Arial" w:eastAsia="Times New Roman" w:hAnsi="Arial" w:cs="Arial"/>
                <w:bCs/>
                <w:color w:val="000000" w:themeColor="text1"/>
                <w:sz w:val="20"/>
                <w:szCs w:val="20"/>
              </w:rPr>
              <w:t xml:space="preserve">Thời hạn hoàn trả bảo đảm thực hiện hợp đồng: </w:t>
            </w:r>
            <w:r w:rsidRPr="002D659B">
              <w:rPr>
                <w:rFonts w:ascii="Arial" w:eastAsia="Times New Roman" w:hAnsi="Arial" w:cs="Arial"/>
                <w:bCs/>
                <w:color w:val="000000" w:themeColor="text1"/>
                <w:sz w:val="20"/>
                <w:szCs w:val="20"/>
                <w:lang w:val="en-US"/>
              </w:rPr>
              <w:t>Ngay sau khi Bên B hoàn thành bàn giao, nghiệm thu toàn bộ hàng hóa cho bên A và bên B chuyển sang nghĩa vụ bảo hành.</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7.1</w:t>
            </w:r>
          </w:p>
        </w:tc>
        <w:tc>
          <w:tcPr>
            <w:tcW w:w="4095" w:type="pct"/>
          </w:tcPr>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Danh sách nhà thầu phụ: _____</w:t>
            </w:r>
            <w:r w:rsidRPr="00E43213">
              <w:rPr>
                <w:rFonts w:ascii="Arial" w:eastAsia="Times New Roman" w:hAnsi="Arial" w:cs="Arial"/>
                <w:bCs/>
                <w:i/>
                <w:color w:val="000000" w:themeColor="text1"/>
                <w:sz w:val="20"/>
                <w:szCs w:val="20"/>
              </w:rPr>
              <w:t>[ghi danh sách nhà thầu phụ phù hợp với danh sách nhà thầu phụ nêu trong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bCs/>
                <w:i/>
                <w:color w:val="000000" w:themeColor="text1"/>
                <w:sz w:val="20"/>
                <w:szCs w:val="20"/>
              </w:rPr>
              <w:t>]</w:t>
            </w:r>
            <w:r w:rsidRPr="00E43213">
              <w:rPr>
                <w:rFonts w:ascii="Arial" w:eastAsia="Times New Roman" w:hAnsi="Arial" w:cs="Arial"/>
                <w:bCs/>
                <w:color w:val="000000" w:themeColor="text1"/>
                <w:sz w:val="20"/>
                <w:szCs w:val="20"/>
              </w:rPr>
              <w:t>.</w:t>
            </w:r>
          </w:p>
        </w:tc>
      </w:tr>
      <w:tr w:rsidR="00BC66AC" w:rsidRPr="00E43213" w:rsidTr="007F5B3F">
        <w:tc>
          <w:tcPr>
            <w:tcW w:w="905" w:type="pct"/>
          </w:tcPr>
          <w:p w:rsidR="00BC66AC" w:rsidRPr="00E43213" w:rsidRDefault="00BC66AC" w:rsidP="007F5B3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7.3</w:t>
            </w:r>
          </w:p>
        </w:tc>
        <w:tc>
          <w:tcPr>
            <w:tcW w:w="4095" w:type="pct"/>
          </w:tcPr>
          <w:p w:rsidR="00BC66AC" w:rsidRPr="00E43213" w:rsidRDefault="00BC66AC" w:rsidP="007F5B3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Nêu các yêu cầu cần thiết khác về nhà thầu phụ _____</w:t>
            </w:r>
            <w:r w:rsidRPr="00E43213">
              <w:rPr>
                <w:rFonts w:ascii="Arial" w:eastAsia="Times New Roman" w:hAnsi="Arial" w:cs="Arial"/>
                <w:bCs/>
                <w:i/>
                <w:color w:val="000000" w:themeColor="text1"/>
                <w:sz w:val="20"/>
                <w:szCs w:val="20"/>
              </w:rPr>
              <w:t>[ghi yêu cầu khác về nhà thầu phụ (nếu có)]</w:t>
            </w:r>
            <w:r w:rsidRPr="00E43213">
              <w:rPr>
                <w:rFonts w:ascii="Arial" w:eastAsia="Times New Roman" w:hAnsi="Arial" w:cs="Arial"/>
                <w:bCs/>
                <w:color w:val="000000" w:themeColor="text1"/>
                <w:sz w:val="20"/>
                <w:szCs w:val="20"/>
              </w:rPr>
              <w:t>.</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8.2</w:t>
            </w:r>
          </w:p>
        </w:tc>
        <w:tc>
          <w:tcPr>
            <w:tcW w:w="4095" w:type="pct"/>
          </w:tcPr>
          <w:p w:rsidR="00BC66AC" w:rsidRPr="002D659B" w:rsidRDefault="00BC66AC" w:rsidP="007F5B3F">
            <w:pPr>
              <w:rPr>
                <w:rFonts w:ascii="Arial" w:eastAsia="Times New Roman" w:hAnsi="Arial" w:cs="Arial"/>
                <w:color w:val="000000" w:themeColor="text1"/>
                <w:sz w:val="20"/>
                <w:szCs w:val="20"/>
                <w:lang w:val="en-US"/>
              </w:rPr>
            </w:pPr>
            <w:r w:rsidRPr="00E43213">
              <w:rPr>
                <w:rFonts w:ascii="Arial" w:eastAsia="Times New Roman" w:hAnsi="Arial" w:cs="Arial"/>
                <w:color w:val="000000" w:themeColor="text1"/>
                <w:sz w:val="20"/>
                <w:szCs w:val="20"/>
              </w:rPr>
              <w:t>- Thời gian để tiến hành hòa giải</w:t>
            </w:r>
            <w:r>
              <w:rPr>
                <w:rFonts w:ascii="Arial" w:eastAsia="Times New Roman" w:hAnsi="Arial" w:cs="Arial"/>
                <w:color w:val="000000" w:themeColor="text1"/>
                <w:sz w:val="20"/>
                <w:szCs w:val="20"/>
                <w:lang w:val="en-US"/>
              </w:rPr>
              <w:t>: 15 ngày</w:t>
            </w:r>
          </w:p>
          <w:p w:rsidR="00BC66AC" w:rsidRPr="002D659B" w:rsidRDefault="00BC66AC" w:rsidP="007F5B3F">
            <w:pPr>
              <w:rPr>
                <w:rFonts w:ascii="Arial" w:eastAsia="Times New Roman" w:hAnsi="Arial" w:cs="Arial"/>
                <w:color w:val="000000" w:themeColor="text1"/>
                <w:sz w:val="20"/>
                <w:szCs w:val="20"/>
                <w:lang w:val="en-US"/>
              </w:rPr>
            </w:pPr>
            <w:r w:rsidRPr="00E43213">
              <w:rPr>
                <w:rFonts w:ascii="Arial" w:eastAsia="Times New Roman" w:hAnsi="Arial" w:cs="Arial"/>
                <w:color w:val="000000" w:themeColor="text1"/>
                <w:sz w:val="20"/>
                <w:szCs w:val="20"/>
              </w:rPr>
              <w:t>- Giải quyết tranh chấp</w:t>
            </w:r>
            <w:r>
              <w:rPr>
                <w:rFonts w:ascii="Arial" w:eastAsia="Times New Roman" w:hAnsi="Arial" w:cs="Arial"/>
                <w:color w:val="000000" w:themeColor="text1"/>
                <w:sz w:val="20"/>
                <w:szCs w:val="20"/>
                <w:lang w:val="en-US"/>
              </w:rPr>
              <w:t xml:space="preserve">: </w:t>
            </w:r>
            <w:r w:rsidRPr="002D659B">
              <w:rPr>
                <w:rFonts w:ascii="Arial" w:eastAsia="Times New Roman" w:hAnsi="Arial" w:cs="Arial"/>
                <w:color w:val="000000" w:themeColor="text1"/>
                <w:sz w:val="20"/>
                <w:szCs w:val="20"/>
                <w:lang w:val="en-US"/>
              </w:rPr>
              <w:t>Các bên có trách nhiệm giải quyết các tranh chấp phát sinh giữa hai bên thông qua thương lượng, hòa giải. Trong trường hợp hai bên không thống nhất, trong vòng 15 ngày hai bên sẽ đệ trình tranh chấp lên Tòa án kinh tế do bên A chỉ định. Quyết định của Tòa án sẽ là quyết định cuối cùng buộc hai bên phải thi hành. Bên thua kiện sẽ chịu mọi chi phí có liên quan (trừ khi có thỏa thuận khác).</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10</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cung cấp các thông tin và chứng từ sau đây về việc vận chuyển thuốc :___</w:t>
            </w:r>
            <w:r w:rsidRPr="00E43213">
              <w:rPr>
                <w:rFonts w:ascii="Arial" w:eastAsia="Times New Roman" w:hAnsi="Arial" w:cs="Arial"/>
                <w:i/>
                <w:iCs/>
                <w:color w:val="000000" w:themeColor="text1"/>
                <w:sz w:val="20"/>
                <w:szCs w:val="20"/>
              </w:rPr>
              <w:t>Hóa đơn thuốc và phiếu kiểm nghiệm cho từng lô hàng].</w:t>
            </w:r>
          </w:p>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Chủ đầu tư phải nhận được các tài liệu chứng từ nói trên trước khi thuốc đến nơi, nếu không Nhà thầu sẽ phải chịu trách nhiệm về bất kỳ chi phí nào phát sinh do việc này.</w:t>
            </w:r>
          </w:p>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cam kết phiếu kiểm nghiệm cho từng lô hàng đạt yêu cầu chất lượng theo đúng hồ sơ đăng ký thuốc đã được cơ quan có thẩm quyền phê duyệt.</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12</w:t>
            </w:r>
          </w:p>
        </w:tc>
        <w:tc>
          <w:tcPr>
            <w:tcW w:w="4095" w:type="pct"/>
          </w:tcPr>
          <w:p w:rsidR="00BC66AC" w:rsidRPr="002D659B" w:rsidRDefault="00BC66AC" w:rsidP="007F5B3F">
            <w:pPr>
              <w:rPr>
                <w:rFonts w:ascii="Arial" w:eastAsia="Times New Roman" w:hAnsi="Arial" w:cs="Arial"/>
                <w:color w:val="000000" w:themeColor="text1"/>
                <w:sz w:val="20"/>
                <w:szCs w:val="20"/>
                <w:lang w:val="en-US"/>
              </w:rPr>
            </w:pPr>
            <w:r w:rsidRPr="00E43213">
              <w:rPr>
                <w:rFonts w:ascii="Arial" w:eastAsia="Times New Roman" w:hAnsi="Arial" w:cs="Arial"/>
                <w:color w:val="000000" w:themeColor="text1"/>
                <w:sz w:val="20"/>
                <w:szCs w:val="20"/>
              </w:rPr>
              <w:t>Loại hợp đồng</w:t>
            </w:r>
            <w:r>
              <w:rPr>
                <w:rFonts w:ascii="Arial" w:eastAsia="Times New Roman" w:hAnsi="Arial" w:cs="Arial"/>
                <w:color w:val="000000" w:themeColor="text1"/>
                <w:sz w:val="20"/>
                <w:szCs w:val="20"/>
                <w:lang w:val="en-US"/>
              </w:rPr>
              <w:t>: trọn gói.</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13.1</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Giá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giá hợp đồng theo giá trị nêu trong Thư chấp thuận E- HSDT và trao hợp đồng]</w:t>
            </w:r>
            <w:r w:rsidRPr="00E43213">
              <w:rPr>
                <w:rFonts w:ascii="Arial" w:eastAsia="Times New Roman" w:hAnsi="Arial" w:cs="Arial"/>
                <w:color w:val="000000" w:themeColor="text1"/>
                <w:sz w:val="20"/>
                <w:szCs w:val="20"/>
              </w:rPr>
              <w:t>.</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14</w:t>
            </w:r>
          </w:p>
        </w:tc>
        <w:tc>
          <w:tcPr>
            <w:tcW w:w="4095" w:type="pct"/>
          </w:tcPr>
          <w:p w:rsidR="00BC66AC" w:rsidRPr="002D659B" w:rsidRDefault="00BC66AC" w:rsidP="007F5B3F">
            <w:pPr>
              <w:rPr>
                <w:rFonts w:ascii="Arial" w:eastAsia="Times New Roman" w:hAnsi="Arial" w:cs="Arial"/>
                <w:color w:val="000000" w:themeColor="text1"/>
                <w:sz w:val="20"/>
                <w:szCs w:val="20"/>
                <w:lang w:val="en-US"/>
              </w:rPr>
            </w:pPr>
            <w:r w:rsidRPr="00E43213">
              <w:rPr>
                <w:rFonts w:ascii="Arial" w:eastAsia="Times New Roman" w:hAnsi="Arial" w:cs="Arial"/>
                <w:color w:val="000000" w:themeColor="text1"/>
                <w:sz w:val="20"/>
                <w:szCs w:val="20"/>
              </w:rPr>
              <w:t>Điều chỉnh thuế</w:t>
            </w:r>
            <w:r>
              <w:rPr>
                <w:rFonts w:ascii="Arial" w:eastAsia="Times New Roman" w:hAnsi="Arial" w:cs="Arial"/>
                <w:color w:val="000000" w:themeColor="text1"/>
                <w:sz w:val="20"/>
                <w:szCs w:val="20"/>
                <w:lang w:val="en-US"/>
              </w:rPr>
              <w:t xml:space="preserve">: </w:t>
            </w:r>
            <w:r w:rsidRPr="002D659B">
              <w:rPr>
                <w:rFonts w:ascii="Arial" w:eastAsia="Times New Roman" w:hAnsi="Arial" w:cs="Arial"/>
                <w:color w:val="000000" w:themeColor="text1"/>
                <w:sz w:val="20"/>
                <w:szCs w:val="20"/>
                <w:lang w:val="en-US"/>
              </w:rPr>
              <w:t>được phép</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15.1</w:t>
            </w:r>
          </w:p>
        </w:tc>
        <w:tc>
          <w:tcPr>
            <w:tcW w:w="4095" w:type="pct"/>
          </w:tcPr>
          <w:p w:rsidR="00BC66AC" w:rsidRPr="002D659B" w:rsidRDefault="00BC66AC" w:rsidP="007F5B3F">
            <w:pPr>
              <w:rPr>
                <w:rFonts w:ascii="Arial" w:eastAsia="Times New Roman" w:hAnsi="Arial" w:cs="Arial"/>
                <w:color w:val="000000" w:themeColor="text1"/>
                <w:sz w:val="20"/>
                <w:szCs w:val="20"/>
                <w:lang w:val="en-US"/>
              </w:rPr>
            </w:pPr>
            <w:r w:rsidRPr="00E43213">
              <w:rPr>
                <w:rFonts w:ascii="Arial" w:eastAsia="Times New Roman" w:hAnsi="Arial" w:cs="Arial"/>
                <w:color w:val="000000" w:themeColor="text1"/>
                <w:sz w:val="20"/>
                <w:szCs w:val="20"/>
              </w:rPr>
              <w:t>Phương thức thanh toán</w:t>
            </w:r>
            <w:r>
              <w:rPr>
                <w:rFonts w:ascii="Arial" w:eastAsia="Times New Roman" w:hAnsi="Arial" w:cs="Arial"/>
                <w:color w:val="000000" w:themeColor="text1"/>
                <w:sz w:val="20"/>
                <w:szCs w:val="20"/>
                <w:lang w:val="en-US"/>
              </w:rPr>
              <w:t xml:space="preserve">: </w:t>
            </w:r>
            <w:r w:rsidRPr="002D659B">
              <w:rPr>
                <w:rFonts w:ascii="Arial" w:eastAsia="Times New Roman" w:hAnsi="Arial" w:cs="Arial"/>
                <w:color w:val="000000" w:themeColor="text1"/>
                <w:sz w:val="20"/>
                <w:szCs w:val="20"/>
                <w:lang w:val="en-US"/>
              </w:rPr>
              <w:t xml:space="preserve">Thanh toán bằng chuyển khoản. Thanh toán 100 % giá trị hợp đồng còn lại kể từ khi bên A nhận được bộ thanh toán hợp lệ của bên B, gồm: </w:t>
            </w:r>
          </w:p>
          <w:p w:rsidR="00BC66AC" w:rsidRPr="002D659B" w:rsidRDefault="00BC66AC" w:rsidP="007F5B3F">
            <w:pPr>
              <w:rPr>
                <w:rFonts w:ascii="Arial" w:eastAsia="Times New Roman" w:hAnsi="Arial" w:cs="Arial"/>
                <w:color w:val="000000" w:themeColor="text1"/>
                <w:sz w:val="20"/>
                <w:szCs w:val="20"/>
                <w:lang w:val="en-US"/>
              </w:rPr>
            </w:pPr>
            <w:r w:rsidRPr="002D659B">
              <w:rPr>
                <w:rFonts w:ascii="Arial" w:eastAsia="Times New Roman" w:hAnsi="Arial" w:cs="Arial"/>
                <w:color w:val="000000" w:themeColor="text1"/>
                <w:sz w:val="20"/>
                <w:szCs w:val="20"/>
                <w:lang w:val="en-US"/>
              </w:rPr>
              <w:t>- Biên bản bàn giao, bàn giao nghiệm thu, thanh lý hợp đồng.</w:t>
            </w:r>
          </w:p>
          <w:p w:rsidR="00BC66AC" w:rsidRPr="002D659B" w:rsidRDefault="00BC66AC" w:rsidP="007F5B3F">
            <w:pPr>
              <w:rPr>
                <w:rFonts w:ascii="Arial" w:eastAsia="Times New Roman" w:hAnsi="Arial" w:cs="Arial"/>
                <w:color w:val="000000" w:themeColor="text1"/>
                <w:sz w:val="20"/>
                <w:szCs w:val="20"/>
                <w:lang w:val="en-US"/>
              </w:rPr>
            </w:pPr>
            <w:r w:rsidRPr="002D659B">
              <w:rPr>
                <w:rFonts w:ascii="Arial" w:eastAsia="Times New Roman" w:hAnsi="Arial" w:cs="Arial"/>
                <w:color w:val="000000" w:themeColor="text1"/>
                <w:sz w:val="20"/>
                <w:szCs w:val="20"/>
                <w:lang w:val="en-US"/>
              </w:rPr>
              <w:t>- Giấy đề nghị thanh toán.</w:t>
            </w:r>
          </w:p>
          <w:p w:rsidR="00BC66AC" w:rsidRPr="002D659B" w:rsidRDefault="00BC66AC" w:rsidP="007F5B3F">
            <w:pPr>
              <w:rPr>
                <w:rFonts w:ascii="Arial" w:eastAsia="Times New Roman" w:hAnsi="Arial" w:cs="Arial"/>
                <w:color w:val="000000" w:themeColor="text1"/>
                <w:sz w:val="20"/>
                <w:szCs w:val="20"/>
                <w:lang w:val="en-US"/>
              </w:rPr>
            </w:pPr>
            <w:r w:rsidRPr="002D659B">
              <w:rPr>
                <w:rFonts w:ascii="Arial" w:eastAsia="Times New Roman" w:hAnsi="Arial" w:cs="Arial"/>
                <w:color w:val="000000" w:themeColor="text1"/>
                <w:sz w:val="20"/>
                <w:szCs w:val="20"/>
                <w:lang w:val="en-US"/>
              </w:rPr>
              <w:t>- Hóa đơn tài chính.</w:t>
            </w:r>
          </w:p>
          <w:p w:rsidR="00BC66AC" w:rsidRPr="002D659B" w:rsidRDefault="00BC66AC" w:rsidP="007F5B3F">
            <w:pPr>
              <w:rPr>
                <w:rFonts w:ascii="Arial" w:eastAsia="Times New Roman" w:hAnsi="Arial" w:cs="Arial"/>
                <w:color w:val="000000" w:themeColor="text1"/>
                <w:sz w:val="20"/>
                <w:szCs w:val="20"/>
                <w:lang w:val="en-US"/>
              </w:rPr>
            </w:pPr>
            <w:r w:rsidRPr="002D659B">
              <w:rPr>
                <w:rFonts w:ascii="Arial" w:eastAsia="Times New Roman" w:hAnsi="Arial" w:cs="Arial"/>
                <w:color w:val="000000" w:themeColor="text1"/>
                <w:sz w:val="20"/>
                <w:szCs w:val="20"/>
                <w:lang w:val="en-US"/>
              </w:rPr>
              <w:t>- Phụ lục 08a.</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rsidR="00BC66AC" w:rsidRPr="002D659B" w:rsidRDefault="00BC66AC" w:rsidP="007F5B3F">
            <w:pP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Đóng gói thuốc</w:t>
            </w:r>
            <w:r>
              <w:rPr>
                <w:rFonts w:ascii="Arial" w:eastAsia="Times New Roman" w:hAnsi="Arial" w:cs="Arial"/>
                <w:color w:val="000000" w:themeColor="text1"/>
                <w:sz w:val="20"/>
                <w:szCs w:val="20"/>
                <w:lang w:val="en-US"/>
              </w:rPr>
              <w:t xml:space="preserve">: </w:t>
            </w:r>
            <w:r w:rsidRPr="002D659B">
              <w:rPr>
                <w:rFonts w:ascii="Arial" w:eastAsia="Times New Roman" w:hAnsi="Arial" w:cs="Arial"/>
                <w:color w:val="000000" w:themeColor="text1"/>
                <w:sz w:val="20"/>
                <w:szCs w:val="20"/>
                <w:lang w:val="en-US"/>
              </w:rPr>
              <w:t>hàng hóa đóng gói theo tiêu chuẩn của nhà sản xuất và yêu cầu của chủ đầu tư</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20</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Nội dung bảo hiểm: </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21</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 xml:space="preserve">Yêu cầu về vận chuyển thuốc : </w:t>
            </w:r>
            <w:r w:rsidRPr="002D659B">
              <w:rPr>
                <w:rFonts w:ascii="Arial" w:eastAsia="Times New Roman" w:hAnsi="Arial" w:cs="Arial"/>
                <w:color w:val="000000" w:themeColor="text1"/>
                <w:sz w:val="20"/>
                <w:szCs w:val="20"/>
              </w:rPr>
              <w:t xml:space="preserve">Theo hợp đồng, Nhà thầu phải vận chuyển hàng hóa đến địa điểm dự án. Việc vận chuyển hàng hóa đến địa điểm dự án, bao gồm cả bảo </w:t>
            </w:r>
            <w:r w:rsidRPr="002D659B">
              <w:rPr>
                <w:rFonts w:ascii="Arial" w:eastAsia="Times New Roman" w:hAnsi="Arial" w:cs="Arial"/>
                <w:color w:val="000000" w:themeColor="text1"/>
                <w:sz w:val="20"/>
                <w:szCs w:val="20"/>
              </w:rPr>
              <w:lastRenderedPageBreak/>
              <w:t>hiểm và lưu kho theo quy định trong hợp đồng, do Nhà thầu thực hiện; các chi phí liên quan được tính trong giá hợp đồng</w:t>
            </w:r>
          </w:p>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 xml:space="preserve">Các yêu cầu khác: </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22.1</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Kiểm tra, thử nghiệm </w:t>
            </w:r>
            <w:r w:rsidRPr="00E43213">
              <w:rPr>
                <w:rFonts w:ascii="Arial" w:eastAsia="Times New Roman" w:hAnsi="Arial" w:cs="Arial"/>
                <w:i/>
                <w:iCs/>
                <w:color w:val="000000" w:themeColor="text1"/>
                <w:sz w:val="20"/>
                <w:szCs w:val="20"/>
              </w:rPr>
              <w:t xml:space="preserve">thuốc </w:t>
            </w:r>
            <w:r w:rsidRPr="00E43213">
              <w:rPr>
                <w:rFonts w:ascii="Arial" w:eastAsia="Times New Roman" w:hAnsi="Arial" w:cs="Arial"/>
                <w:color w:val="000000" w:themeColor="text1"/>
                <w:sz w:val="20"/>
                <w:szCs w:val="20"/>
              </w:rPr>
              <w:t xml:space="preserve">: </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23</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Tổng giá trị bồi thường thiệt hại tối đa là:</w:t>
            </w:r>
            <w:r>
              <w:rPr>
                <w:rFonts w:ascii="Arial" w:eastAsia="Times New Roman" w:hAnsi="Arial" w:cs="Arial"/>
                <w:color w:val="000000" w:themeColor="text1"/>
                <w:sz w:val="20"/>
                <w:szCs w:val="20"/>
                <w:u w:val="single"/>
                <w:lang w:val="en-US"/>
              </w:rPr>
              <w:t xml:space="preserve"> 8</w:t>
            </w:r>
            <w:r w:rsidRPr="00E43213">
              <w:rPr>
                <w:rFonts w:ascii="Arial" w:eastAsia="Times New Roman" w:hAnsi="Arial" w:cs="Arial"/>
                <w:color w:val="000000" w:themeColor="text1"/>
                <w:sz w:val="20"/>
                <w:szCs w:val="20"/>
              </w:rPr>
              <w:t xml:space="preserve">% </w:t>
            </w:r>
          </w:p>
          <w:p w:rsidR="00BC66AC" w:rsidRPr="00E43213" w:rsidRDefault="00BC66AC" w:rsidP="007F5B3F">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Mức khấu trừ: </w:t>
            </w:r>
            <w:r>
              <w:rPr>
                <w:rFonts w:ascii="Arial" w:eastAsia="Times New Roman" w:hAnsi="Arial" w:cs="Arial"/>
                <w:color w:val="000000" w:themeColor="text1"/>
                <w:sz w:val="20"/>
                <w:szCs w:val="20"/>
                <w:lang w:val="en-US"/>
              </w:rPr>
              <w:t>2</w:t>
            </w:r>
            <w:r>
              <w:rPr>
                <w:rFonts w:ascii="Arial" w:eastAsia="Times New Roman" w:hAnsi="Arial" w:cs="Arial"/>
                <w:color w:val="000000" w:themeColor="text1"/>
                <w:sz w:val="20"/>
                <w:szCs w:val="20"/>
              </w:rPr>
              <w:t>%/</w:t>
            </w:r>
            <w:r>
              <w:rPr>
                <w:rFonts w:ascii="Arial" w:eastAsia="Times New Roman" w:hAnsi="Arial" w:cs="Arial"/>
                <w:color w:val="000000" w:themeColor="text1"/>
                <w:sz w:val="20"/>
                <w:szCs w:val="20"/>
                <w:lang w:val="en-US"/>
              </w:rPr>
              <w:t>ngày</w:t>
            </w:r>
            <w:r w:rsidRPr="00E43213">
              <w:rPr>
                <w:rFonts w:ascii="Arial" w:eastAsia="Times New Roman" w:hAnsi="Arial" w:cs="Arial"/>
                <w:color w:val="000000" w:themeColor="text1"/>
                <w:sz w:val="20"/>
                <w:szCs w:val="20"/>
              </w:rPr>
              <w:t xml:space="preserve"> </w:t>
            </w:r>
            <w:r>
              <w:rPr>
                <w:rFonts w:ascii="Arial" w:eastAsia="Times New Roman" w:hAnsi="Arial" w:cs="Arial"/>
                <w:i/>
                <w:iCs/>
                <w:color w:val="000000" w:themeColor="text1"/>
                <w:sz w:val="20"/>
                <w:szCs w:val="20"/>
              </w:rPr>
              <w:t xml:space="preserve">(hoặc ngày, tháng...) </w:t>
            </w:r>
          </w:p>
          <w:p w:rsidR="00BC66AC" w:rsidRPr="00E43213" w:rsidRDefault="00BC66AC" w:rsidP="007F5B3F">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Mức khấu trừ tối đa: </w:t>
            </w:r>
            <w:r>
              <w:rPr>
                <w:rFonts w:ascii="Arial" w:eastAsia="Times New Roman" w:hAnsi="Arial" w:cs="Arial"/>
                <w:color w:val="000000" w:themeColor="text1"/>
                <w:sz w:val="20"/>
                <w:szCs w:val="20"/>
                <w:lang w:val="en-US"/>
              </w:rPr>
              <w:t>8</w:t>
            </w:r>
            <w:r w:rsidRPr="00E43213">
              <w:rPr>
                <w:rFonts w:ascii="Arial" w:eastAsia="Times New Roman" w:hAnsi="Arial" w:cs="Arial"/>
                <w:color w:val="000000" w:themeColor="text1"/>
                <w:sz w:val="20"/>
                <w:szCs w:val="20"/>
              </w:rPr>
              <w:t xml:space="preserve">% </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24.1</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Nội dung yêu cầu bảo đảm khác đối với thuốc : </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24.2</w:t>
            </w:r>
          </w:p>
        </w:tc>
        <w:tc>
          <w:tcPr>
            <w:tcW w:w="4095" w:type="pct"/>
          </w:tcPr>
          <w:p w:rsidR="00BC66AC"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Yêu cầu về chất lượng và hạn sử dụng: </w:t>
            </w:r>
          </w:p>
          <w:p w:rsidR="00BC66AC" w:rsidRPr="00E43213" w:rsidRDefault="00BC66AC" w:rsidP="007F5B3F">
            <w:pPr>
              <w:rPr>
                <w:rFonts w:ascii="Arial" w:eastAsia="Times New Roman" w:hAnsi="Arial" w:cs="Arial"/>
                <w:bCs/>
                <w:i/>
                <w:iCs/>
                <w:color w:val="000000" w:themeColor="text1"/>
                <w:sz w:val="20"/>
                <w:szCs w:val="20"/>
              </w:rPr>
            </w:pPr>
            <w:r w:rsidRPr="00E43213">
              <w:rPr>
                <w:rFonts w:ascii="Arial" w:eastAsia="Times New Roman" w:hAnsi="Arial" w:cs="Arial"/>
                <w:i/>
                <w:iCs/>
                <w:color w:val="000000" w:themeColor="text1"/>
                <w:sz w:val="20"/>
                <w:szCs w:val="20"/>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43213">
              <w:rPr>
                <w:rFonts w:ascii="Arial" w:eastAsia="Times New Roman" w:hAnsi="Arial" w:cs="Arial"/>
                <w:bCs/>
                <w:i/>
                <w:iCs/>
                <w:color w:val="000000" w:themeColor="text1"/>
                <w:sz w:val="20"/>
                <w:szCs w:val="20"/>
              </w:rPr>
              <w:t xml:space="preserve"> Trong trường hợp hạn sử dụng của thuốc không đáp ứng yêu cầu nêu trên, để bảo đảm có thuốc phục vụ nhu cầu </w:t>
            </w:r>
            <w:r w:rsidRPr="00E43213">
              <w:rPr>
                <w:rFonts w:ascii="Arial" w:eastAsia="Times New Roman" w:hAnsi="Arial" w:cs="Arial"/>
                <w:bCs/>
                <w:i/>
                <w:iCs/>
                <w:color w:val="000000" w:themeColor="text1"/>
                <w:sz w:val="20"/>
                <w:szCs w:val="20"/>
                <w:lang w:val="es-ES_tradnl"/>
              </w:rPr>
              <w:t>khám bệnh, chữa bệnh</w:t>
            </w:r>
            <w:r w:rsidRPr="00E43213">
              <w:rPr>
                <w:rFonts w:ascii="Arial" w:eastAsia="Times New Roman" w:hAnsi="Arial" w:cs="Arial"/>
                <w:bCs/>
                <w:i/>
                <w:iCs/>
                <w:color w:val="000000" w:themeColor="text1"/>
                <w:sz w:val="20"/>
                <w:szCs w:val="20"/>
              </w:rPr>
              <w:t xml:space="preserve">,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rPr>
              <w:t>đến</w:t>
            </w:r>
            <w:r w:rsidRPr="00E43213">
              <w:rPr>
                <w:rFonts w:ascii="Arial" w:eastAsia="Times New Roman" w:hAnsi="Arial" w:cs="Arial"/>
                <w:bCs/>
                <w:i/>
                <w:iCs/>
                <w:color w:val="000000" w:themeColor="text1"/>
                <w:sz w:val="20"/>
                <w:szCs w:val="20"/>
              </w:rPr>
              <w:t xml:space="preserve"> thời điểm thuốc cung ứng cho cơ sở y tế và không được yêu cầu cao hơn quy định nêu trên nhưng phải đảm bảo còn hạn sử dụng khi sử dụng thuốc cho bệnh nhân.</w:t>
            </w:r>
          </w:p>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w:t>
            </w:r>
            <w:r>
              <w:rPr>
                <w:rFonts w:ascii="Arial" w:eastAsia="Times New Roman" w:hAnsi="Arial" w:cs="Arial"/>
                <w:i/>
                <w:iCs/>
                <w:color w:val="000000" w:themeColor="text1"/>
                <w:sz w:val="20"/>
                <w:szCs w:val="20"/>
              </w:rPr>
              <w:t>bộ chi phí cho việc khắc phục…</w:t>
            </w: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26.1(d)</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nội dung khác v</w:t>
            </w:r>
            <w:r>
              <w:rPr>
                <w:rFonts w:ascii="Arial" w:eastAsia="Times New Roman" w:hAnsi="Arial" w:cs="Arial"/>
                <w:color w:val="000000" w:themeColor="text1"/>
                <w:sz w:val="20"/>
                <w:szCs w:val="20"/>
              </w:rPr>
              <w:t>ề hiệu chỉnh, bổ sung hợp đồng:</w:t>
            </w:r>
          </w:p>
          <w:p w:rsidR="00BC66AC" w:rsidRPr="00E43213" w:rsidRDefault="00BC66AC" w:rsidP="007F5B3F">
            <w:pPr>
              <w:rPr>
                <w:rFonts w:ascii="Arial" w:eastAsia="Times New Roman" w:hAnsi="Arial" w:cs="Arial"/>
                <w:color w:val="000000" w:themeColor="text1"/>
                <w:sz w:val="20"/>
                <w:szCs w:val="20"/>
              </w:rPr>
            </w:pPr>
          </w:p>
        </w:tc>
      </w:tr>
      <w:tr w:rsidR="00BC66AC" w:rsidRPr="00E43213" w:rsidTr="007F5B3F">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27.4</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Các trường hợp khác: </w:t>
            </w:r>
          </w:p>
        </w:tc>
      </w:tr>
      <w:tr w:rsidR="00BC66AC" w:rsidRPr="00E43213" w:rsidTr="007F5B3F">
        <w:trPr>
          <w:trHeight w:val="63"/>
        </w:trPr>
        <w:tc>
          <w:tcPr>
            <w:tcW w:w="90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28.1(d)</w:t>
            </w:r>
          </w:p>
        </w:tc>
        <w:tc>
          <w:tcPr>
            <w:tcW w:w="4095" w:type="pct"/>
          </w:tcPr>
          <w:p w:rsidR="00BC66AC" w:rsidRPr="00E43213" w:rsidRDefault="00BC66AC" w:rsidP="007F5B3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Các hành vi khác: </w:t>
            </w:r>
          </w:p>
        </w:tc>
      </w:tr>
    </w:tbl>
    <w:p w:rsidR="004900B5" w:rsidRDefault="004900B5">
      <w:bookmarkStart w:id="0" w:name="_GoBack"/>
      <w:bookmarkEnd w:id="0"/>
    </w:p>
    <w:sectPr w:rsidR="00490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AC"/>
    <w:rsid w:val="004900B5"/>
    <w:rsid w:val="00BC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AC9EA-B96D-4A3C-9DED-0BDD7F2A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66AC"/>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2025-11-05T08:40:00Z</dcterms:created>
  <dcterms:modified xsi:type="dcterms:W3CDTF">2025-11-05T08:40:00Z</dcterms:modified>
</cp:coreProperties>
</file>