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921" w:rsidRPr="00136921" w:rsidRDefault="00136921" w:rsidP="00136921">
      <w:pPr>
        <w:jc w:val="center"/>
        <w:rPr>
          <w:rFonts w:asciiTheme="majorHAnsi" w:eastAsia="Times New Roman" w:hAnsiTheme="majorHAnsi" w:cstheme="majorHAnsi"/>
          <w:b/>
          <w:bCs/>
          <w:color w:val="000000" w:themeColor="text1"/>
          <w:sz w:val="26"/>
          <w:szCs w:val="26"/>
        </w:rPr>
      </w:pPr>
      <w:r w:rsidRPr="00136921">
        <w:rPr>
          <w:rFonts w:asciiTheme="majorHAnsi" w:eastAsia="Times New Roman" w:hAnsiTheme="majorHAnsi" w:cstheme="majorHAnsi"/>
          <w:b/>
          <w:bCs/>
          <w:color w:val="000000" w:themeColor="text1"/>
          <w:sz w:val="26"/>
          <w:szCs w:val="26"/>
        </w:rPr>
        <w:t>Chương VII. ĐIỀU KIỆN CỤ THỂ CỦA HỢP ĐỒNG</w:t>
      </w:r>
    </w:p>
    <w:p w:rsidR="00136921" w:rsidRPr="00136921" w:rsidRDefault="00136921" w:rsidP="00136921">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Trừ khi có quy định khác, toàn bộ </w:t>
      </w:r>
      <w:r w:rsidRPr="00136921">
        <w:rPr>
          <w:rFonts w:asciiTheme="majorHAnsi" w:eastAsia="Times New Roman" w:hAnsiTheme="majorHAnsi" w:cstheme="majorHAnsi"/>
          <w:b/>
          <w:bCs/>
          <w:color w:val="000000" w:themeColor="text1"/>
          <w:sz w:val="26"/>
          <w:szCs w:val="26"/>
        </w:rPr>
        <w:t xml:space="preserve">ĐKCT </w:t>
      </w:r>
      <w:r w:rsidRPr="00136921">
        <w:rPr>
          <w:rFonts w:asciiTheme="majorHAnsi" w:eastAsia="Times New Roman" w:hAnsiTheme="majorHAnsi" w:cstheme="majorHAnsi"/>
          <w:color w:val="000000" w:themeColor="text1"/>
          <w:sz w:val="26"/>
          <w:szCs w:val="26"/>
        </w:rPr>
        <w:t>phải được Chủ đầu tư ghi đầy đủ 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50"/>
        <w:gridCol w:w="7465"/>
      </w:tblGrid>
      <w:tr w:rsidR="00136921" w:rsidRPr="00136921" w:rsidTr="001A70D0">
        <w:tc>
          <w:tcPr>
            <w:tcW w:w="905" w:type="pct"/>
          </w:tcPr>
          <w:p w:rsidR="00136921" w:rsidRPr="00136921" w:rsidRDefault="00136921" w:rsidP="001A70D0">
            <w:pPr>
              <w:rPr>
                <w:rFonts w:asciiTheme="majorHAnsi" w:eastAsia="Times New Roman" w:hAnsiTheme="majorHAnsi" w:cstheme="majorHAnsi"/>
                <w:b/>
                <w:bCs/>
                <w:color w:val="000000" w:themeColor="text1"/>
                <w:sz w:val="26"/>
                <w:szCs w:val="26"/>
              </w:rPr>
            </w:pPr>
            <w:r w:rsidRPr="00136921">
              <w:rPr>
                <w:rFonts w:asciiTheme="majorHAnsi" w:eastAsia="Times New Roman" w:hAnsiTheme="majorHAnsi" w:cstheme="majorHAnsi"/>
                <w:b/>
                <w:bCs/>
                <w:color w:val="000000" w:themeColor="text1"/>
                <w:sz w:val="26"/>
                <w:szCs w:val="26"/>
              </w:rPr>
              <w:t>ĐKC 1.1</w:t>
            </w:r>
          </w:p>
        </w:tc>
        <w:tc>
          <w:tcPr>
            <w:tcW w:w="4095" w:type="pct"/>
          </w:tcPr>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Chủ đầu tư là: Bệnh viện Đa khoa Trung ương Cần Thơ</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Địa chỉ: 315 Đường Nguyễn Văn Linh, Phường Tân An, Thành phố Cần Thơ</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Mã số thuế: 1800271748</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 xml:space="preserve">Số tài khoản: </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Điện thoại: 0292.3821288</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 xml:space="preserve">Fax: </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Email: vanthubvdktwct123@gmail.com</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b/>
                <w:bCs/>
                <w:color w:val="000000" w:themeColor="text1"/>
                <w:sz w:val="26"/>
                <w:szCs w:val="26"/>
              </w:rPr>
            </w:pPr>
            <w:r w:rsidRPr="00136921">
              <w:rPr>
                <w:rFonts w:asciiTheme="majorHAnsi" w:eastAsia="Times New Roman" w:hAnsiTheme="majorHAnsi" w:cstheme="majorHAnsi"/>
                <w:b/>
                <w:bCs/>
                <w:color w:val="000000" w:themeColor="text1"/>
                <w:sz w:val="26"/>
                <w:szCs w:val="26"/>
              </w:rPr>
              <w:t>ĐKC 1.3</w:t>
            </w:r>
          </w:p>
        </w:tc>
        <w:tc>
          <w:tcPr>
            <w:tcW w:w="4095" w:type="pct"/>
          </w:tcPr>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Nhà thầu:_____</w:t>
            </w:r>
            <w:r w:rsidRPr="00136921">
              <w:rPr>
                <w:rFonts w:asciiTheme="majorHAnsi" w:eastAsia="Times New Roman" w:hAnsiTheme="majorHAnsi" w:cstheme="majorHAnsi"/>
                <w:bCs/>
                <w:i/>
                <w:color w:val="000000" w:themeColor="text1"/>
                <w:sz w:val="26"/>
                <w:szCs w:val="26"/>
              </w:rPr>
              <w:t>[ghi tên Nhà thầu trúng thầu].</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b/>
                <w:bCs/>
                <w:color w:val="000000" w:themeColor="text1"/>
                <w:sz w:val="26"/>
                <w:szCs w:val="26"/>
              </w:rPr>
            </w:pPr>
            <w:r w:rsidRPr="00136921">
              <w:rPr>
                <w:rFonts w:asciiTheme="majorHAnsi" w:eastAsia="Times New Roman" w:hAnsiTheme="majorHAnsi" w:cstheme="majorHAnsi"/>
                <w:b/>
                <w:bCs/>
                <w:color w:val="000000" w:themeColor="text1"/>
                <w:sz w:val="26"/>
                <w:szCs w:val="26"/>
              </w:rPr>
              <w:t>ĐKC 1.9</w:t>
            </w:r>
          </w:p>
        </w:tc>
        <w:tc>
          <w:tcPr>
            <w:tcW w:w="4095" w:type="pct"/>
          </w:tcPr>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Địa điểm Dự án/ Điểm giao hàng cuối cùng là: Khoa Dược- Bệnh viện Đa khoa Trung ương Cần Thơ</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Địa chỉ: Số 315 Nguyễn Văn Linh, Phường Tân An, Tp. Cần Thơ</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b/>
                <w:bCs/>
                <w:color w:val="000000" w:themeColor="text1"/>
                <w:sz w:val="26"/>
                <w:szCs w:val="26"/>
              </w:rPr>
            </w:pPr>
            <w:r w:rsidRPr="00136921">
              <w:rPr>
                <w:rFonts w:asciiTheme="majorHAnsi" w:eastAsia="Times New Roman" w:hAnsiTheme="majorHAnsi" w:cstheme="majorHAnsi"/>
                <w:b/>
                <w:bCs/>
                <w:color w:val="000000" w:themeColor="text1"/>
                <w:sz w:val="26"/>
                <w:szCs w:val="26"/>
              </w:rPr>
              <w:t>ĐKC 2.8</w:t>
            </w:r>
          </w:p>
        </w:tc>
        <w:tc>
          <w:tcPr>
            <w:tcW w:w="4095" w:type="pct"/>
          </w:tcPr>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 xml:space="preserve">Các tài liệu sau đây cũng là một phần của Hợp đồng: </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1. Văn bản hợp đồng, kèm theo các phụ lục hợp đồng;</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 xml:space="preserve">2. E-ĐKCT của hợp đồng đã được điền đầy đủ các nội dung và bao gồm cả các nội dung hiệu chỉnh, bổ sung, làm rõ trong quá trình lựa chọn nhà thầu, hoàn </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thiện hợp đồng (nếu có);</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3. Biên bản hoàn thiện hợp đồng;</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4. E-ĐKC của hợp đồng;</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5. Quyết định phê duyệt kết quả lựa chọn nhà thầu;</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6. Thư chấp thuận E-HSDT và trao hợp đồng;</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7. E-HSDT và các văn bản làm rõ E-HSDT (nếu có) của Nhà thầu;</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8. E-HSMT và các tài liệu sửa đổi, làm rõ E-HSMT (nếu có);</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9. Các tài liệu khác quy định tại E-ĐKCT.</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b/>
                <w:bCs/>
                <w:color w:val="000000" w:themeColor="text1"/>
                <w:sz w:val="26"/>
                <w:szCs w:val="26"/>
              </w:rPr>
            </w:pPr>
            <w:r w:rsidRPr="00136921">
              <w:rPr>
                <w:rFonts w:asciiTheme="majorHAnsi" w:eastAsia="Times New Roman" w:hAnsiTheme="majorHAnsi" w:cstheme="majorHAnsi"/>
                <w:b/>
                <w:bCs/>
                <w:color w:val="000000" w:themeColor="text1"/>
                <w:sz w:val="26"/>
                <w:szCs w:val="26"/>
              </w:rPr>
              <w:t>ĐKC 4</w:t>
            </w:r>
          </w:p>
        </w:tc>
        <w:tc>
          <w:tcPr>
            <w:tcW w:w="4095" w:type="pct"/>
          </w:tcPr>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Chủ đầu tư có thể</w:t>
            </w:r>
            <w:r w:rsidRPr="00136921">
              <w:rPr>
                <w:rFonts w:asciiTheme="majorHAnsi" w:eastAsia="Times New Roman" w:hAnsiTheme="majorHAnsi" w:cstheme="majorHAnsi"/>
                <w:bCs/>
                <w:i/>
                <w:color w:val="000000" w:themeColor="text1"/>
                <w:sz w:val="26"/>
                <w:szCs w:val="26"/>
              </w:rPr>
              <w:t xml:space="preserve"> </w:t>
            </w:r>
            <w:r w:rsidRPr="00136921">
              <w:rPr>
                <w:rFonts w:asciiTheme="majorHAnsi" w:eastAsia="Times New Roman" w:hAnsiTheme="majorHAnsi" w:cstheme="majorHAnsi"/>
                <w:bCs/>
                <w:color w:val="000000" w:themeColor="text1"/>
                <w:sz w:val="26"/>
                <w:szCs w:val="26"/>
              </w:rPr>
              <w:t>ủy quyền các nghĩa vụ và trách nhiệm của mình cho người khác.</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b/>
                <w:bCs/>
                <w:color w:val="000000" w:themeColor="text1"/>
                <w:sz w:val="26"/>
                <w:szCs w:val="26"/>
              </w:rPr>
            </w:pPr>
            <w:r w:rsidRPr="00136921">
              <w:rPr>
                <w:rFonts w:asciiTheme="majorHAnsi" w:eastAsia="Times New Roman" w:hAnsiTheme="majorHAnsi" w:cstheme="majorHAnsi"/>
                <w:b/>
                <w:bCs/>
                <w:color w:val="000000" w:themeColor="text1"/>
                <w:sz w:val="26"/>
                <w:szCs w:val="26"/>
              </w:rPr>
              <w:t>ĐKC 5.1</w:t>
            </w:r>
          </w:p>
        </w:tc>
        <w:tc>
          <w:tcPr>
            <w:tcW w:w="4095" w:type="pct"/>
          </w:tcPr>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Các thông báo cần gửi về Chủ đầu tư theo địa chỉ dưới đây:</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Người nhận: Bệnh viện Đa khoa Trung ương Cần Thơ</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Địa chỉ: Số 315 Nguyễn Văn Linh, Phường Tân An, Tp. Cần Thơ</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Điện thoại: 0292.3821288</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Fax: 0292.3823167</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Địa chỉ email: vanthubvdktwct123@gmail.com</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b/>
                <w:bCs/>
                <w:color w:val="000000" w:themeColor="text1"/>
                <w:sz w:val="26"/>
                <w:szCs w:val="26"/>
              </w:rPr>
            </w:pPr>
            <w:r w:rsidRPr="00136921">
              <w:rPr>
                <w:rFonts w:asciiTheme="majorHAnsi" w:eastAsia="Times New Roman" w:hAnsiTheme="majorHAnsi" w:cstheme="majorHAnsi"/>
                <w:b/>
                <w:bCs/>
                <w:color w:val="000000" w:themeColor="text1"/>
                <w:sz w:val="26"/>
                <w:szCs w:val="26"/>
              </w:rPr>
              <w:t>ĐKC 6.1</w:t>
            </w:r>
          </w:p>
        </w:tc>
        <w:tc>
          <w:tcPr>
            <w:tcW w:w="4095" w:type="pct"/>
          </w:tcPr>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 Hình thức bảo đảm thực hiện hợp đồng:</w:t>
            </w:r>
            <w:r w:rsidRPr="00136921">
              <w:rPr>
                <w:rFonts w:asciiTheme="majorHAnsi" w:eastAsia="Times New Roman" w:hAnsiTheme="majorHAnsi" w:cstheme="majorHAnsi"/>
                <w:bCs/>
                <w:i/>
                <w:color w:val="000000" w:themeColor="text1"/>
                <w:sz w:val="26"/>
                <w:szCs w:val="26"/>
              </w:rPr>
              <w:t xml:space="preserve">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w:t>
            </w:r>
            <w:r w:rsidRPr="00136921">
              <w:rPr>
                <w:rFonts w:asciiTheme="majorHAnsi" w:eastAsia="Times New Roman" w:hAnsiTheme="majorHAnsi" w:cstheme="majorHAnsi"/>
                <w:bCs/>
                <w:i/>
                <w:color w:val="000000" w:themeColor="text1"/>
                <w:sz w:val="26"/>
                <w:szCs w:val="26"/>
              </w:rPr>
              <w:lastRenderedPageBreak/>
              <w:t>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136921">
              <w:rPr>
                <w:rFonts w:asciiTheme="majorHAnsi" w:eastAsia="Times New Roman" w:hAnsiTheme="majorHAnsi" w:cstheme="majorHAnsi"/>
                <w:bCs/>
                <w:color w:val="000000" w:themeColor="text1"/>
                <w:sz w:val="26"/>
                <w:szCs w:val="26"/>
              </w:rPr>
              <w:t>.</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Style w:val="Bodytext17"/>
                <w:rFonts w:asciiTheme="majorHAnsi" w:hAnsiTheme="majorHAnsi" w:cstheme="majorHAnsi"/>
                <w:color w:val="000000" w:themeColor="text1"/>
                <w:sz w:val="26"/>
                <w:szCs w:val="26"/>
              </w:rPr>
              <w:t xml:space="preserve">- Đối với lựa chọn nhà thầu tập trung, </w:t>
            </w:r>
            <w:r w:rsidRPr="00136921">
              <w:rPr>
                <w:rStyle w:val="BodyTextChar1"/>
                <w:rFonts w:asciiTheme="majorHAnsi" w:hAnsiTheme="majorHAnsi" w:cstheme="majorHAnsi"/>
                <w:color w:val="000000" w:themeColor="text1"/>
              </w:rPr>
              <w:t>Nhà thầu trúng thầu thực hiện biện pháp bảo đảm thực hiện hợp đồng cho từng đơn vị có nhu cầu mua sắm hoặc cho tổng số phần mà nhà thầu ký hợp đồng theo mẫu được quy định trong E-HSMT.</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 Giá trị bảo đảm thực hiện hợp đồng: 3 % Giá hợp đồng.</w:t>
            </w:r>
          </w:p>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 Hiệu lực của bảo đảm thực hiện hợp đồng: Bảo đảm thực hiện hợp đồng có hiệu lực kể từ ngày hợp đồng có hiệu lực cho đến khi toàn bộ thuốc được bàn giao, hai bên ký biên bản nghiệm thu và thanh lý hợp đồng.</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b/>
                <w:bCs/>
                <w:color w:val="000000" w:themeColor="text1"/>
                <w:sz w:val="26"/>
                <w:szCs w:val="26"/>
              </w:rPr>
            </w:pPr>
            <w:r w:rsidRPr="00136921">
              <w:rPr>
                <w:rFonts w:asciiTheme="majorHAnsi" w:eastAsia="Times New Roman" w:hAnsiTheme="majorHAnsi" w:cstheme="majorHAnsi"/>
                <w:b/>
                <w:bCs/>
                <w:color w:val="000000" w:themeColor="text1"/>
                <w:sz w:val="26"/>
                <w:szCs w:val="26"/>
              </w:rPr>
              <w:lastRenderedPageBreak/>
              <w:t>ĐKC 6.2</w:t>
            </w:r>
          </w:p>
        </w:tc>
        <w:tc>
          <w:tcPr>
            <w:tcW w:w="4095" w:type="pct"/>
          </w:tcPr>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Thời hạn hoàn trả bảo đảm thực hiện hợp đồng: Sau khi hai bên ký biên bản nghiệm thu và thanh lý hợp đồng.</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b/>
                <w:bCs/>
                <w:color w:val="000000" w:themeColor="text1"/>
                <w:sz w:val="26"/>
                <w:szCs w:val="26"/>
              </w:rPr>
            </w:pPr>
            <w:r w:rsidRPr="00136921">
              <w:rPr>
                <w:rFonts w:asciiTheme="majorHAnsi" w:eastAsia="Times New Roman" w:hAnsiTheme="majorHAnsi" w:cstheme="majorHAnsi"/>
                <w:b/>
                <w:bCs/>
                <w:color w:val="000000" w:themeColor="text1"/>
                <w:sz w:val="26"/>
                <w:szCs w:val="26"/>
              </w:rPr>
              <w:t>ĐKC 7.1</w:t>
            </w:r>
          </w:p>
        </w:tc>
        <w:tc>
          <w:tcPr>
            <w:tcW w:w="4095" w:type="pct"/>
          </w:tcPr>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Danh sách nhà thầu phụ: không áp dụng.</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b/>
                <w:bCs/>
                <w:color w:val="000000" w:themeColor="text1"/>
                <w:sz w:val="26"/>
                <w:szCs w:val="26"/>
              </w:rPr>
            </w:pPr>
            <w:r w:rsidRPr="00136921">
              <w:rPr>
                <w:rFonts w:asciiTheme="majorHAnsi" w:eastAsia="Times New Roman" w:hAnsiTheme="majorHAnsi" w:cstheme="majorHAnsi"/>
                <w:b/>
                <w:bCs/>
                <w:color w:val="000000" w:themeColor="text1"/>
                <w:sz w:val="26"/>
                <w:szCs w:val="26"/>
              </w:rPr>
              <w:t>ĐKC 7.3</w:t>
            </w:r>
          </w:p>
        </w:tc>
        <w:tc>
          <w:tcPr>
            <w:tcW w:w="4095" w:type="pct"/>
          </w:tcPr>
          <w:p w:rsidR="00136921" w:rsidRPr="00136921" w:rsidRDefault="00136921" w:rsidP="001A70D0">
            <w:pPr>
              <w:rPr>
                <w:rFonts w:asciiTheme="majorHAnsi" w:eastAsia="Times New Roman" w:hAnsiTheme="majorHAnsi" w:cstheme="majorHAnsi"/>
                <w:bCs/>
                <w:color w:val="000000" w:themeColor="text1"/>
                <w:sz w:val="26"/>
                <w:szCs w:val="26"/>
              </w:rPr>
            </w:pPr>
            <w:r w:rsidRPr="00136921">
              <w:rPr>
                <w:rFonts w:asciiTheme="majorHAnsi" w:eastAsia="Times New Roman" w:hAnsiTheme="majorHAnsi" w:cstheme="majorHAnsi"/>
                <w:bCs/>
                <w:color w:val="000000" w:themeColor="text1"/>
                <w:sz w:val="26"/>
                <w:szCs w:val="26"/>
              </w:rPr>
              <w:t>Nêu các yêu cầu cần thiết khác về nhà thầu phụ: không áp dụng</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8.2</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Thời gian để tiến hành hòa giải: 15 ngày</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Giải quyết tranh chấp:                15 ngày</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Nếu tranh chấp không thể giải quyết bằng thương lượng, hòa giải trong khoảng thời gian 15 ngày kể từ ngày phát sinh tranh chấp thì  bất kỳ bên nào cũng đều có thể yêu cầu đưa việc tranh chấp ra giải quyết tại Toà án Kinh tế TP.Cần Thơ.</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10</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Nhà thầu phải cung cấp các thông tin và chứng từ sau đ</w:t>
            </w:r>
            <w:r>
              <w:rPr>
                <w:rFonts w:asciiTheme="majorHAnsi" w:eastAsia="Times New Roman" w:hAnsiTheme="majorHAnsi" w:cstheme="majorHAnsi"/>
                <w:color w:val="000000" w:themeColor="text1"/>
                <w:sz w:val="26"/>
                <w:szCs w:val="26"/>
              </w:rPr>
              <w:t>ây về việc vận chuyển thuốc:</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iCs/>
                <w:color w:val="000000" w:themeColor="text1"/>
                <w:sz w:val="26"/>
                <w:szCs w:val="26"/>
              </w:rPr>
              <w:t>Hóa đơn thuốc và phiếu kiểm nghiệm cho từng lô hàng.</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Nhà thầu cam kết phiếu kiểm nghiệm cho từng lô hàng đạt yêu cầu chất lượng theo đúng hồ sơ đăng ký thuốc đã được cơ quan có thẩm quyền phê duyệt.</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12</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Loại hợp đồng: Theo đơn giá cố định</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13.1</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Giá hợp đồng: Giá hợp đồng theo giá trị của số lượng thuốc và giá thuốc trúng thầu. </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Đơn giá và giá hợp đồng đã bao gồm các loại thuế, phí các loại. </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Đối với các thuốc thuộc danh mục đàm phán giá và danh mục thầu quốc gia, sau khi có kết quả đàm phán giá và kết quả thầu quốc gia, nếu giá thuốc trúng thầu của gói thầu này cao hơn giá trúng thầu của gói đàm phán giá và thầu quốc gia, nhà thầu phải giảm giá bằng hoặc thấp hơn kể từ ngày bắt đầu có hiệu lực của thỏa thuận khung giữa nhà thầu và Trung tâm mua sắm tập trung cấp quốc gia (kể cả thuốc tồn kho tại Bệnh viện) </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14</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Điều chỉnh thuế: Không được phép</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15.1</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Phương thức thanh toán: Thanh toán bằng hình thức chuyển khoản, thanh toán nhiều lần trong quá trình thực hiện hợp đồng</w:t>
            </w:r>
          </w:p>
          <w:p w:rsidR="00136921" w:rsidRPr="00136921" w:rsidRDefault="00136921" w:rsidP="00136921">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Thời hạn thanh toán tr</w:t>
            </w:r>
            <w:r>
              <w:rPr>
                <w:rFonts w:asciiTheme="majorHAnsi" w:eastAsia="Times New Roman" w:hAnsiTheme="majorHAnsi" w:cstheme="majorHAnsi"/>
                <w:color w:val="000000" w:themeColor="text1"/>
                <w:sz w:val="26"/>
                <w:szCs w:val="26"/>
              </w:rPr>
              <w:t>ong vòng 90 ngày với điều kiện n</w:t>
            </w:r>
            <w:r w:rsidRPr="00136921">
              <w:rPr>
                <w:rFonts w:asciiTheme="majorHAnsi" w:eastAsia="Times New Roman" w:hAnsiTheme="majorHAnsi" w:cstheme="majorHAnsi"/>
                <w:color w:val="000000" w:themeColor="text1"/>
                <w:sz w:val="26"/>
                <w:szCs w:val="26"/>
              </w:rPr>
              <w:t xml:space="preserve">hà thầu xuất trình đầy đủ các chứng từ thanh toán theo đúng </w:t>
            </w:r>
            <w:r>
              <w:rPr>
                <w:rFonts w:asciiTheme="majorHAnsi" w:eastAsia="Times New Roman" w:hAnsiTheme="majorHAnsi" w:cstheme="majorHAnsi"/>
                <w:color w:val="000000" w:themeColor="text1"/>
                <w:sz w:val="26"/>
                <w:szCs w:val="26"/>
              </w:rPr>
              <w:t>quy</w:t>
            </w:r>
            <w:r w:rsidRPr="00136921">
              <w:rPr>
                <w:rFonts w:asciiTheme="majorHAnsi" w:eastAsia="Times New Roman" w:hAnsiTheme="majorHAnsi" w:cstheme="majorHAnsi"/>
                <w:color w:val="000000" w:themeColor="text1"/>
                <w:sz w:val="26"/>
                <w:szCs w:val="26"/>
              </w:rPr>
              <w:t xml:space="preserve"> định của pháp luật.</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19</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Đóng gói thuốc: </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Thuốc phải được đóng gói, bảo quản theo đúng quy cách và yêu cầu của nhà sản xuất theo đúng danh mục ghi trong hợp đồng;</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Hàng hóa phải đảm bảo các yêu cầu sau:</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-Còn nguyên hộp, nguyên đai, kiện (đối với hàng chẵn);</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-Còn nguyên nhãn, mác, tem; (không đựơc cạo, sửa, tẩy xóa) để tránh hư hỏng, nhầm lẫn trong quá trình vận chuyển đến địa điểm giao nhận cuối cùng như đã nêu trong hợp đồng;</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Với các thuốc lẻ (không đủ điều kiện đóng thùng) nhà thầu cần đóng gói theo đúng các nguyên tắc GDP khi giao nhận, vận chuyển;</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-Thông tin về hàng hóa phải ghi trên bao, kiện đóng gói; các chỉ dẫn cho việc bốc dỡ, vận chuyển, bảo quản,...</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20</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Nội dung bảo hiểm: Thuốc cung cấp theo hợp đồng phải được bảo hiểm đầy đủ để bù đắp những mất mát, tổn thất bất thường trong quá trình sản xuất, vận chuyển, lưu kho và giao hàng tới kho dược của bên mua.</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21</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Yêu cầu về vận chuyển thuốc : </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Thuốc phải được giao tại Khoa Dược của bên mua;</w:t>
            </w:r>
            <w:r w:rsidRPr="00136921">
              <w:rPr>
                <w:rFonts w:asciiTheme="majorHAnsi" w:eastAsia="Times New Roman" w:hAnsiTheme="majorHAnsi" w:cstheme="majorHAnsi"/>
                <w:color w:val="000000" w:themeColor="text1"/>
                <w:sz w:val="26"/>
                <w:szCs w:val="26"/>
              </w:rPr>
              <w:tab/>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Việc bảo quản hàng hóa trong quá trình vận chuyển phải đảm bảo đúng yêu cầu về nhiệt độ, độ ẩm... ghi trên bao bì của sản phẩm</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Các yêu cầu khác: Không</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22.1</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Kiểm tra, thử nghiệm thuốc:</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Bên mua hoặc đại diện bên mua có quyền kiểm tra hàng hóa để khẳng định hàng hóa có đặc tính kỹ thụât phù hợp với yêu cầu của Hợp đồng.</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a) Nội dung, thời gian, địa điểm kiểm tra trong quá trình giao nhận hàng:</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 Nội dung kiểm tra: tên thương mại, dạng bào chế, đường dùng, qui cách đóng gói, tiêu chuẩn chất lượng, hãng sản xuất, nước sản xuất, hạn dùng,…của hàng hóa do nhà thầu giao phải đúng với thông báo trúng thầu của Bệnh viện Đa khoa Trung ương Cần Thơ. </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Thời gian: tại thời điểm giao, nhận hàng.</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Địa điểm kiểm tra: tại Khoa Dược của Bên mua.</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b) Trong quá trình sử dụng: </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 Bệnh viện Đa khoa Trung ương Cần Thơ trực tiếp kiểm tra, giám sát chất lượng hàng hóa và tính phù hợp của hàng hóa trúng thầu với yêu cầu chuyên môn. </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c) Cách thức xử lý đối với hàng hóa do nhà thầu trúng thầu cung ứng không đúng với thông báo trúng thầu của Bệnh viện Đa khoa Trung ương Cần Thơ và hồ sơ dự thầu của nhà thầu hoặc hàng hóa có sự cố về chất lượng hoặc không phù hợp yêu cầu sử dụng không do lỗi của Bên mua:</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Bệnh viện Đa khoa Trung ương Cần Thơ có quyền từ chối tiếp nhận; ngưng sử dụng hàng hóa nêu trên và báo cáo bằng văn bản cho nhà thầu. Nhà thầu phải có giải trình bằng văn bản đến bên mua hàng trong vòng 05 ngày kề từ thời điểm nhận được văn bản thông báo của bên mua. Sau thời gian này Bệnh viện Đa khoa Trung ương Cần Thơ sẽ không xem xét, giải quyết.</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        Tuỳ tính chất sai lệch, chất lượng hàng hóa và tính phù hợp của hàng hóa trúng thầu với yêu cầu chuyên môn, Bệnh viện Đa khoa Trung ương Cần Thơ có thể tiếp tục cho phép nhập hàng; hoặc yêu cầu Bên bán thay thế bằng hàng hóa khác đáp ứng đúng các yêu cầu về đặc tính kỹ thuật của hàng hóa đã trúng thầu hoặc trong trường hợp bên bán không có khả năng thay thế hay điều chỉnh các hàng hóa không phù hợp, Bệnh viện Đa khoa Trung ương Cần Thơ có quyền tổ chức việc thay thế hay điều chỉnh đó nếu thấy cần thiết, mọi rủi ro, chi phí liên quan hoặc chênh lệch giá do Bên bán chịu. Các chi phí này, Bệnh viện Đa khoa Trung ương Cần Thơ sẽ trừ vào tiền bảo đảm thực hiện Hợp đồng hoặc trừ vào giá trị Hợp đồng đã thực hiện.</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23</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Tổng giá trị bồi thường thiệt hại tối đa là: 08% nội dung công việc chậm thực hiện.</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Trường hợp nhà thầu giao hàng chậm thì sẽ bị phạt theo quy định sau:</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Mức khấu trừ: 0,1% giá trị đơn hàng cho mỗi ngày chậm tiến độ.</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Mức khấu trừ tối đa: 8% giá trị đơn hàng không giao hàng được.</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24.1</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Nội dung yêu cầu bảo đảm khác đối với thuốc: Nội dung yêu cầu bảo đảm khác đối với thuốc: </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 Thuốc phải đảm bảo còn đầy đủ chất lượng như đã đăng ký với Bộ Y tế trong thời gian còn hạn dùng của hàng hóa. </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Tên thương mại, nước sản xuất, qui cách đóng gói, tiêu chuẩn chất lượng,…cụ thể theo thông báo trúng thầu.</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Trường hợp phát hiện các mặt hàng đã cung cấp kém chất lượng, khuyết tật,… bên mua sẽ thông báo bằng văn bản cho nhà thầu trúng thầu để xử lý. Trong vòng 15 ngày kể từ ngày bên mua gởi thông báo cho nhà thầu, nếu nhà thầu không liên hệ, trả lời bằng văn bản và xử lý các vấn đề có liên quan đến hàng hóa kém chất lượng thì bên mua xem như bên nhà thầu không thực hiện chế độ bảo hành, bên mua sẽ lập hội đồng xử lý các mặt hàng kém chất lượng đó theo quy định hiện hành.</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Mọi chi phí, trách nhiệm liên quan đến việc hàng hóa kém chất lượng gây ra trong thời gian còn hạn dùng nhà thầu phải chịu hoàn toàn trách nhiệm</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24.2</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 xml:space="preserve">Yêu cầu về chất lượng và hạn sử dụng: </w:t>
            </w:r>
          </w:p>
          <w:p w:rsidR="00136921" w:rsidRPr="00136921" w:rsidRDefault="00136921" w:rsidP="001A70D0">
            <w:pPr>
              <w:rPr>
                <w:rFonts w:asciiTheme="majorHAnsi" w:eastAsia="Times New Roman" w:hAnsiTheme="majorHAnsi" w:cstheme="majorHAnsi"/>
                <w:bCs/>
                <w:i/>
                <w:iCs/>
                <w:color w:val="000000" w:themeColor="text1"/>
                <w:sz w:val="26"/>
                <w:szCs w:val="26"/>
              </w:rPr>
            </w:pPr>
            <w:r w:rsidRPr="00136921">
              <w:rPr>
                <w:rFonts w:asciiTheme="majorHAnsi" w:eastAsia="Times New Roman" w:hAnsiTheme="majorHAnsi" w:cstheme="majorHAnsi"/>
                <w:i/>
                <w:iCs/>
                <w:color w:val="000000" w:themeColor="text1"/>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136921">
              <w:rPr>
                <w:rFonts w:asciiTheme="majorHAnsi" w:eastAsia="Times New Roman" w:hAnsiTheme="majorHAnsi" w:cstheme="majorHAnsi"/>
                <w:bCs/>
                <w:i/>
                <w:iCs/>
                <w:color w:val="000000" w:themeColor="text1"/>
                <w:sz w:val="26"/>
                <w:szCs w:val="26"/>
              </w:rPr>
              <w:t xml:space="preserve"> Trong trường hợp hạn sử dụng của thuốc không đáp ứng yêu cầu nêu trên, để bảo đảm có thuốc phục vụ nhu cầu </w:t>
            </w:r>
            <w:r w:rsidRPr="00136921">
              <w:rPr>
                <w:rFonts w:asciiTheme="majorHAnsi" w:eastAsia="Times New Roman" w:hAnsiTheme="majorHAnsi" w:cstheme="majorHAnsi"/>
                <w:bCs/>
                <w:i/>
                <w:iCs/>
                <w:color w:val="000000" w:themeColor="text1"/>
                <w:sz w:val="26"/>
                <w:szCs w:val="26"/>
                <w:lang w:val="es-ES_tradnl"/>
              </w:rPr>
              <w:t>khám bệnh, chữa bệnh</w:t>
            </w:r>
            <w:r w:rsidRPr="00136921">
              <w:rPr>
                <w:rFonts w:asciiTheme="majorHAnsi" w:eastAsia="Times New Roman" w:hAnsiTheme="majorHAnsi" w:cstheme="majorHAnsi"/>
                <w:bCs/>
                <w:i/>
                <w:iCs/>
                <w:color w:val="000000" w:themeColor="text1"/>
                <w:sz w:val="26"/>
                <w:szCs w:val="26"/>
              </w:rPr>
              <w:t xml:space="preserve">, căn cứ tình hình thực tế, Chủ đầu tư quyết định hạn sử dụng còn lại của thuốc trúng thầu tính </w:t>
            </w:r>
            <w:r w:rsidRPr="00136921">
              <w:rPr>
                <w:rFonts w:asciiTheme="majorHAnsi" w:eastAsia="Times New Roman" w:hAnsiTheme="majorHAnsi" w:cstheme="majorHAnsi"/>
                <w:i/>
                <w:iCs/>
                <w:color w:val="000000" w:themeColor="text1"/>
                <w:sz w:val="26"/>
                <w:szCs w:val="26"/>
              </w:rPr>
              <w:t>đến</w:t>
            </w:r>
            <w:r w:rsidRPr="00136921">
              <w:rPr>
                <w:rFonts w:asciiTheme="majorHAnsi" w:eastAsia="Times New Roman" w:hAnsiTheme="majorHAnsi" w:cstheme="majorHAnsi"/>
                <w:bCs/>
                <w:i/>
                <w:iCs/>
                <w:color w:val="000000" w:themeColor="text1"/>
                <w:sz w:val="26"/>
                <w:szCs w:val="26"/>
              </w:rPr>
              <w:t xml:space="preserve"> thời điểm thuốc cung ứng cho cơ sở y tế và không được yêu cầu cao hơn quy định nêu trên nhưng phải đảm bảo còn hạn sử dụng khi sử dụng thuốc cho bệnh nhân.</w:t>
            </w:r>
          </w:p>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i/>
                <w:iCs/>
                <w:color w:val="000000" w:themeColor="text1"/>
                <w:sz w:val="26"/>
                <w:szCs w:val="26"/>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26.1(d)</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Các nội dung khác về hiệu chỉnh, bổ sung hợp đồng:</w:t>
            </w:r>
            <w:r>
              <w:rPr>
                <w:rFonts w:asciiTheme="majorHAnsi" w:eastAsia="Times New Roman" w:hAnsiTheme="majorHAnsi" w:cstheme="majorHAnsi"/>
                <w:color w:val="000000" w:themeColor="text1"/>
                <w:sz w:val="26"/>
                <w:szCs w:val="26"/>
              </w:rPr>
              <w:t xml:space="preserve"> </w:t>
            </w:r>
            <w:r w:rsidRPr="00136921">
              <w:rPr>
                <w:rFonts w:asciiTheme="majorHAnsi" w:eastAsia="Times New Roman" w:hAnsiTheme="majorHAnsi" w:cstheme="majorHAnsi"/>
                <w:i/>
                <w:iCs/>
                <w:color w:val="000000" w:themeColor="text1"/>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bookmarkStart w:id="0" w:name="_GoBack"/>
            <w:bookmarkEnd w:id="0"/>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27.4</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Các trường hợp khác: Không áp dụng</w:t>
            </w:r>
          </w:p>
        </w:tc>
      </w:tr>
      <w:tr w:rsidR="00136921" w:rsidRPr="00136921" w:rsidTr="001A70D0">
        <w:tc>
          <w:tcPr>
            <w:tcW w:w="90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b/>
                <w:bCs/>
                <w:color w:val="000000" w:themeColor="text1"/>
                <w:sz w:val="26"/>
                <w:szCs w:val="26"/>
              </w:rPr>
              <w:t>ĐKC 28.1(d)</w:t>
            </w:r>
          </w:p>
        </w:tc>
        <w:tc>
          <w:tcPr>
            <w:tcW w:w="4095" w:type="pct"/>
          </w:tcPr>
          <w:p w:rsidR="00136921" w:rsidRPr="00136921" w:rsidRDefault="00136921" w:rsidP="001A70D0">
            <w:pPr>
              <w:rPr>
                <w:rFonts w:asciiTheme="majorHAnsi" w:eastAsia="Times New Roman" w:hAnsiTheme="majorHAnsi" w:cstheme="majorHAnsi"/>
                <w:color w:val="000000" w:themeColor="text1"/>
                <w:sz w:val="26"/>
                <w:szCs w:val="26"/>
              </w:rPr>
            </w:pPr>
            <w:r w:rsidRPr="00136921">
              <w:rPr>
                <w:rFonts w:asciiTheme="majorHAnsi" w:eastAsia="Times New Roman" w:hAnsiTheme="majorHAnsi" w:cstheme="majorHAnsi"/>
                <w:color w:val="000000" w:themeColor="text1"/>
                <w:sz w:val="26"/>
                <w:szCs w:val="26"/>
              </w:rPr>
              <w:t>Các hành vi khác: Không áp dụng</w:t>
            </w:r>
          </w:p>
        </w:tc>
      </w:tr>
    </w:tbl>
    <w:p w:rsidR="003C304B" w:rsidRPr="00136921" w:rsidRDefault="003C304B">
      <w:pPr>
        <w:rPr>
          <w:rFonts w:asciiTheme="majorHAnsi" w:hAnsiTheme="majorHAnsi" w:cstheme="majorHAnsi"/>
          <w:sz w:val="26"/>
          <w:szCs w:val="26"/>
        </w:rPr>
      </w:pPr>
    </w:p>
    <w:sectPr w:rsidR="003C304B" w:rsidRPr="00136921" w:rsidSect="00B5100E">
      <w:pgSz w:w="12240" w:h="15840"/>
      <w:pgMar w:top="1985" w:right="1134" w:bottom="1701"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21"/>
    <w:rsid w:val="00136921"/>
    <w:rsid w:val="002321EA"/>
    <w:rsid w:val="003C304B"/>
    <w:rsid w:val="005A0A4C"/>
    <w:rsid w:val="00993AAF"/>
    <w:rsid w:val="00B5100E"/>
    <w:rsid w:val="00F56D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1C72C"/>
  <w15:chartTrackingRefBased/>
  <w15:docId w15:val="{DF1DD83A-6561-4547-9D7B-54E4883F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6921"/>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136921"/>
    <w:rPr>
      <w:b/>
      <w:bCs/>
      <w:sz w:val="21"/>
      <w:szCs w:val="21"/>
      <w:shd w:val="clear" w:color="auto" w:fill="FFFFFF"/>
    </w:rPr>
  </w:style>
  <w:style w:type="paragraph" w:customStyle="1" w:styleId="Bodytext170">
    <w:name w:val="Body text (17)"/>
    <w:basedOn w:val="Normal"/>
    <w:link w:val="Bodytext17"/>
    <w:uiPriority w:val="99"/>
    <w:rsid w:val="00136921"/>
    <w:pPr>
      <w:shd w:val="clear" w:color="auto" w:fill="FFFFFF"/>
      <w:spacing w:line="240" w:lineRule="atLeast"/>
    </w:pPr>
    <w:rPr>
      <w:rFonts w:asciiTheme="minorHAnsi" w:eastAsiaTheme="minorHAnsi" w:hAnsiTheme="minorHAnsi" w:cstheme="minorBidi"/>
      <w:b/>
      <w:bCs/>
      <w:color w:val="auto"/>
      <w:sz w:val="21"/>
      <w:szCs w:val="21"/>
      <w:lang w:eastAsia="en-US" w:bidi="ar-SA"/>
    </w:rPr>
  </w:style>
  <w:style w:type="character" w:customStyle="1" w:styleId="BodyTextChar1">
    <w:name w:val="Body Text Char1"/>
    <w:uiPriority w:val="99"/>
    <w:locked/>
    <w:rsid w:val="00136921"/>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2304</Words>
  <Characters>8297</Characters>
  <Application>Microsoft Office Word</Application>
  <DocSecurity>0</DocSecurity>
  <Lines>224</Lines>
  <Paragraphs>147</Paragraphs>
  <ScaleCrop>false</ScaleCrop>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HỒ HẢI YẾN</dc:creator>
  <cp:keywords/>
  <dc:description/>
  <cp:lastModifiedBy>PHẠM HỒ HẢI YẾN</cp:lastModifiedBy>
  <cp:revision>1</cp:revision>
  <dcterms:created xsi:type="dcterms:W3CDTF">2025-11-06T02:53:00Z</dcterms:created>
  <dcterms:modified xsi:type="dcterms:W3CDTF">2025-11-06T02:56:00Z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74ce8210-b352-411b-8756-0ee969f0375c</vt:lpwstr>
  </property>
</Properties>
</file>