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8F5B" w14:textId="77777777" w:rsidR="000A1679" w:rsidRPr="00AF0148" w:rsidRDefault="000A1679" w:rsidP="000A1679">
      <w:pPr>
        <w:pStyle w:val="Heading1"/>
        <w:rPr>
          <w:rFonts w:ascii="Times New Roman" w:hAnsi="Times New Roman"/>
          <w:lang w:val="es-ES"/>
        </w:rPr>
      </w:pPr>
      <w:bookmarkStart w:id="0" w:name="_Toc154510932"/>
      <w:r w:rsidRPr="00AF0148">
        <w:rPr>
          <w:rFonts w:ascii="Times New Roman" w:hAnsi="Times New Roman"/>
          <w:lang w:val="it-IT"/>
        </w:rPr>
        <w:t xml:space="preserve">PHẦN 2. ĐIỀU </w:t>
      </w:r>
      <w:r w:rsidRPr="00AF0148">
        <w:rPr>
          <w:rFonts w:ascii="Times New Roman" w:hAnsi="Times New Roman"/>
          <w:lang w:val="es-ES"/>
        </w:rPr>
        <w:t>KHOẢN THAM CHIẾU</w:t>
      </w:r>
      <w:bookmarkEnd w:id="0"/>
    </w:p>
    <w:p w14:paraId="0BCD8AE0" w14:textId="77777777" w:rsidR="000A1679" w:rsidRPr="00AF0148" w:rsidRDefault="000A1679" w:rsidP="000A1679">
      <w:pPr>
        <w:pStyle w:val="Heading1"/>
        <w:rPr>
          <w:rFonts w:ascii="Times New Roman" w:hAnsi="Times New Roman"/>
          <w:lang w:val="es-ES"/>
        </w:rPr>
      </w:pPr>
      <w:bookmarkStart w:id="1" w:name="_Toc154510933"/>
      <w:r w:rsidRPr="00AF0148">
        <w:rPr>
          <w:rFonts w:ascii="Times New Roman" w:hAnsi="Times New Roman"/>
          <w:lang w:val="es-ES"/>
        </w:rPr>
        <w:t>CHƯƠNG V. ĐIỀU KHOẢN THAM CHIẾU</w:t>
      </w:r>
      <w:bookmarkEnd w:id="1"/>
    </w:p>
    <w:p w14:paraId="67557922" w14:textId="77777777" w:rsidR="000A1679" w:rsidRPr="00AF0148" w:rsidRDefault="000A1679" w:rsidP="000A1679">
      <w:pPr>
        <w:spacing w:before="60" w:after="60"/>
        <w:ind w:firstLine="720"/>
        <w:rPr>
          <w:bCs/>
          <w:i/>
          <w:iCs/>
          <w:sz w:val="28"/>
          <w:szCs w:val="28"/>
          <w:lang w:val="it-IT"/>
        </w:rPr>
      </w:pPr>
    </w:p>
    <w:p w14:paraId="5514EB50" w14:textId="77777777" w:rsidR="000A1679" w:rsidRPr="00AF0148" w:rsidRDefault="000A1679" w:rsidP="000A1679">
      <w:pPr>
        <w:spacing w:before="60" w:after="60"/>
        <w:ind w:firstLine="720"/>
        <w:rPr>
          <w:i/>
          <w:iCs/>
          <w:sz w:val="28"/>
          <w:szCs w:val="28"/>
          <w:lang w:val="it-IT"/>
        </w:rPr>
      </w:pPr>
      <w:r w:rsidRPr="00AF0148">
        <w:rPr>
          <w:bCs/>
          <w:i/>
          <w:iCs/>
          <w:sz w:val="28"/>
          <w:szCs w:val="28"/>
          <w:lang w:val="it-IT"/>
        </w:rPr>
        <w:t>“Điều khoản tham chiếu" bao gồm những nội dung chủ yếu sau:</w:t>
      </w:r>
    </w:p>
    <w:p w14:paraId="1E942D5D" w14:textId="77777777" w:rsidR="000A1679" w:rsidRPr="00AF0148" w:rsidRDefault="000A1679" w:rsidP="000A1679">
      <w:pPr>
        <w:spacing w:before="60" w:after="60"/>
        <w:ind w:firstLine="720"/>
        <w:rPr>
          <w:b/>
          <w:bCs/>
          <w:sz w:val="28"/>
          <w:szCs w:val="28"/>
          <w:lang w:val="it-IT"/>
        </w:rPr>
      </w:pPr>
      <w:r w:rsidRPr="00AF0148">
        <w:rPr>
          <w:b/>
          <w:sz w:val="28"/>
          <w:szCs w:val="28"/>
          <w:lang w:val="it-IT"/>
        </w:rPr>
        <w:t>I. Giới thiệu:</w:t>
      </w:r>
    </w:p>
    <w:p w14:paraId="359CFF55" w14:textId="77777777" w:rsidR="000A1679" w:rsidRPr="00AF0148" w:rsidRDefault="000A1679" w:rsidP="000A1679">
      <w:pPr>
        <w:spacing w:before="60" w:after="60"/>
        <w:ind w:firstLine="720"/>
        <w:rPr>
          <w:i/>
          <w:sz w:val="28"/>
          <w:szCs w:val="28"/>
          <w:lang w:val="it-IT"/>
        </w:rPr>
      </w:pPr>
      <w:r w:rsidRPr="00AF0148">
        <w:rPr>
          <w:bCs/>
          <w:i/>
          <w:sz w:val="28"/>
          <w:szCs w:val="28"/>
          <w:lang w:val="it-IT"/>
        </w:rPr>
        <w:t>Mô tả khái quát về dự án/dự toán mua sắm và gói thầu.</w:t>
      </w:r>
    </w:p>
    <w:p w14:paraId="62FC42B5" w14:textId="77777777" w:rsidR="000A1679" w:rsidRPr="00AF0148" w:rsidRDefault="000A1679" w:rsidP="000A1679">
      <w:pPr>
        <w:spacing w:before="60" w:after="60"/>
        <w:ind w:firstLine="720"/>
        <w:rPr>
          <w:bCs/>
          <w:i/>
          <w:sz w:val="28"/>
          <w:szCs w:val="28"/>
          <w:lang w:val="it-IT"/>
        </w:rPr>
      </w:pPr>
      <w:r w:rsidRPr="00AF0148">
        <w:rPr>
          <w:bCs/>
          <w:i/>
          <w:sz w:val="28"/>
          <w:szCs w:val="28"/>
          <w:lang w:val="it-IT"/>
        </w:rPr>
        <w:t>Mô tả mục đích tuyển chọn nhà thầu.</w:t>
      </w:r>
    </w:p>
    <w:p w14:paraId="02980A00" w14:textId="77777777" w:rsidR="000A1679" w:rsidRPr="00AF0148" w:rsidRDefault="000A1679" w:rsidP="000A1679">
      <w:pPr>
        <w:widowControl w:val="0"/>
        <w:spacing w:before="120"/>
        <w:ind w:firstLine="709"/>
        <w:rPr>
          <w:b/>
          <w:iCs/>
          <w:color w:val="000000"/>
          <w:sz w:val="28"/>
          <w:szCs w:val="28"/>
          <w:lang w:val="it-IT"/>
        </w:rPr>
      </w:pPr>
      <w:r w:rsidRPr="00AF0148">
        <w:rPr>
          <w:b/>
          <w:iCs/>
          <w:color w:val="000000"/>
          <w:sz w:val="28"/>
          <w:szCs w:val="28"/>
          <w:lang w:val="it-IT"/>
        </w:rPr>
        <w:t>1. Khái quát về dự án và gói thầu</w:t>
      </w:r>
    </w:p>
    <w:p w14:paraId="1DC45939" w14:textId="77777777" w:rsidR="000A1679" w:rsidRPr="00AF0148" w:rsidRDefault="000A1679" w:rsidP="000A1679">
      <w:pPr>
        <w:widowControl w:val="0"/>
        <w:spacing w:before="120"/>
        <w:ind w:firstLine="709"/>
        <w:rPr>
          <w:b/>
          <w:iCs/>
          <w:color w:val="000000"/>
          <w:sz w:val="28"/>
          <w:szCs w:val="28"/>
          <w:lang w:val="it-IT"/>
        </w:rPr>
      </w:pPr>
      <w:r w:rsidRPr="00AF0148">
        <w:rPr>
          <w:b/>
          <w:iCs/>
          <w:color w:val="000000"/>
          <w:sz w:val="28"/>
          <w:szCs w:val="28"/>
          <w:lang w:val="it-IT"/>
        </w:rPr>
        <w:t>1.1 Về dự án:</w:t>
      </w:r>
    </w:p>
    <w:p w14:paraId="109FB488" w14:textId="77777777" w:rsidR="000A1679" w:rsidRPr="00AF0148" w:rsidRDefault="000A1679" w:rsidP="000A1679">
      <w:pPr>
        <w:spacing w:before="120"/>
        <w:ind w:firstLine="709"/>
        <w:outlineLvl w:val="0"/>
        <w:rPr>
          <w:b/>
          <w:sz w:val="28"/>
          <w:szCs w:val="28"/>
          <w:lang w:val="nl-NL"/>
        </w:rPr>
      </w:pPr>
      <w:r w:rsidRPr="00AF0148">
        <w:rPr>
          <w:b/>
          <w:sz w:val="28"/>
          <w:szCs w:val="28"/>
          <w:lang w:val="nl-NL"/>
        </w:rPr>
        <w:t>1.1.1. Thông tin chung:</w:t>
      </w:r>
    </w:p>
    <w:p w14:paraId="59DD8133" w14:textId="77777777" w:rsidR="000A1679" w:rsidRPr="00AF0148" w:rsidRDefault="000A1679" w:rsidP="000A1679">
      <w:pPr>
        <w:spacing w:before="120"/>
        <w:ind w:firstLine="709"/>
        <w:outlineLvl w:val="0"/>
        <w:rPr>
          <w:sz w:val="28"/>
          <w:szCs w:val="28"/>
          <w:lang w:val="nl-NL"/>
        </w:rPr>
      </w:pPr>
      <w:r w:rsidRPr="00AF0148">
        <w:rPr>
          <w:sz w:val="28"/>
          <w:szCs w:val="28"/>
          <w:lang w:val="nl-NL"/>
        </w:rPr>
        <w:t>- Tên dự án: Sửa chữa, nâng cấp công trình Kè Bạch Đằng (đoạn từ cầu Hùng Vương đến cảng cá phường 6)</w:t>
      </w:r>
    </w:p>
    <w:p w14:paraId="21B2596C" w14:textId="77777777" w:rsidR="000A1679" w:rsidRPr="00AF0148" w:rsidRDefault="000A1679" w:rsidP="000A1679">
      <w:pPr>
        <w:spacing w:before="120"/>
        <w:ind w:firstLine="709"/>
        <w:outlineLvl w:val="0"/>
        <w:rPr>
          <w:spacing w:val="-4"/>
          <w:sz w:val="28"/>
          <w:szCs w:val="28"/>
        </w:rPr>
      </w:pPr>
      <w:r w:rsidRPr="00AF0148">
        <w:rPr>
          <w:spacing w:val="-4"/>
          <w:sz w:val="28"/>
          <w:szCs w:val="28"/>
        </w:rPr>
        <w:t xml:space="preserve">- Tổng mức đầu tư: </w:t>
      </w:r>
      <w:r w:rsidRPr="00AF0148">
        <w:rPr>
          <w:iCs/>
          <w:color w:val="000000"/>
          <w:sz w:val="28"/>
          <w:szCs w:val="28"/>
        </w:rPr>
        <w:t>135.000.000.000 đồng</w:t>
      </w:r>
      <w:r w:rsidRPr="00AF0148">
        <w:rPr>
          <w:spacing w:val="-4"/>
          <w:sz w:val="28"/>
          <w:szCs w:val="28"/>
        </w:rPr>
        <w:t>.</w:t>
      </w:r>
    </w:p>
    <w:p w14:paraId="521D3A2F" w14:textId="77777777" w:rsidR="000A1679" w:rsidRPr="00AF0148" w:rsidRDefault="000A1679" w:rsidP="000A1679">
      <w:pPr>
        <w:spacing w:before="120"/>
        <w:ind w:firstLine="709"/>
        <w:outlineLvl w:val="0"/>
        <w:rPr>
          <w:sz w:val="28"/>
          <w:szCs w:val="28"/>
          <w:lang w:val="vi-VN"/>
        </w:rPr>
      </w:pPr>
      <w:r w:rsidRPr="00AF0148">
        <w:rPr>
          <w:sz w:val="28"/>
          <w:szCs w:val="28"/>
        </w:rPr>
        <w:t xml:space="preserve">- </w:t>
      </w:r>
      <w:r w:rsidRPr="00AF0148">
        <w:rPr>
          <w:sz w:val="28"/>
          <w:szCs w:val="28"/>
          <w:lang w:val="nl-NL"/>
        </w:rPr>
        <w:t>C</w:t>
      </w:r>
      <w:r w:rsidRPr="00AF0148">
        <w:rPr>
          <w:sz w:val="28"/>
          <w:szCs w:val="28"/>
          <w:lang w:val="vi-VN"/>
        </w:rPr>
        <w:t>hủ đầu tư:</w:t>
      </w:r>
      <w:r w:rsidRPr="00AF0148">
        <w:rPr>
          <w:sz w:val="28"/>
          <w:szCs w:val="28"/>
          <w:lang w:val="nl-NL"/>
        </w:rPr>
        <w:t xml:space="preserve"> Ban Quản lý các dự án đầu tư xây dựng khu vực phía đông tỉnh Đaklak</w:t>
      </w:r>
      <w:r w:rsidRPr="00AF0148">
        <w:rPr>
          <w:sz w:val="28"/>
          <w:szCs w:val="28"/>
          <w:lang w:val="vi-VN"/>
        </w:rPr>
        <w:t>.</w:t>
      </w:r>
    </w:p>
    <w:p w14:paraId="464DEE85" w14:textId="77777777" w:rsidR="000A1679" w:rsidRPr="00AF0148" w:rsidRDefault="000A1679" w:rsidP="000A1679">
      <w:pPr>
        <w:spacing w:before="120" w:line="252" w:lineRule="auto"/>
        <w:ind w:firstLine="709"/>
        <w:rPr>
          <w:iCs/>
          <w:color w:val="000000"/>
          <w:sz w:val="28"/>
          <w:szCs w:val="28"/>
        </w:rPr>
      </w:pPr>
      <w:r w:rsidRPr="00AF0148">
        <w:rPr>
          <w:iCs/>
          <w:color w:val="000000"/>
          <w:sz w:val="28"/>
          <w:szCs w:val="28"/>
          <w:lang w:val="vi-VN"/>
        </w:rPr>
        <w:t>- Thời gian thực hiện dự án:</w:t>
      </w:r>
      <w:r w:rsidRPr="00AF0148">
        <w:rPr>
          <w:iCs/>
          <w:color w:val="000000"/>
          <w:sz w:val="28"/>
          <w:szCs w:val="28"/>
        </w:rPr>
        <w:t xml:space="preserve"> 2025-2027.</w:t>
      </w:r>
    </w:p>
    <w:p w14:paraId="36C44F2A" w14:textId="77777777" w:rsidR="000A1679" w:rsidRPr="00AF0148" w:rsidRDefault="000A1679" w:rsidP="000A1679">
      <w:pPr>
        <w:spacing w:before="120" w:line="252" w:lineRule="auto"/>
        <w:ind w:firstLine="709"/>
        <w:rPr>
          <w:iCs/>
          <w:color w:val="000000"/>
          <w:sz w:val="28"/>
          <w:szCs w:val="28"/>
          <w:lang w:val="vi-VN"/>
        </w:rPr>
      </w:pPr>
      <w:r w:rsidRPr="00AF0148">
        <w:rPr>
          <w:iCs/>
          <w:color w:val="000000"/>
          <w:sz w:val="28"/>
          <w:szCs w:val="28"/>
          <w:lang w:val="vi-VN"/>
        </w:rPr>
        <w:t>- Địa điểm, quy mô dự án:</w:t>
      </w:r>
    </w:p>
    <w:p w14:paraId="241DD8D9" w14:textId="77777777" w:rsidR="000A1679" w:rsidRPr="00AF0148" w:rsidRDefault="000A1679" w:rsidP="000A1679">
      <w:pPr>
        <w:spacing w:before="120" w:line="242" w:lineRule="auto"/>
        <w:ind w:firstLine="709"/>
        <w:rPr>
          <w:spacing w:val="-4"/>
          <w:sz w:val="28"/>
          <w:szCs w:val="28"/>
        </w:rPr>
      </w:pPr>
      <w:r w:rsidRPr="00AF0148">
        <w:rPr>
          <w:iCs/>
          <w:color w:val="000000"/>
          <w:sz w:val="28"/>
          <w:szCs w:val="28"/>
        </w:rPr>
        <w:t>+ Địa điểm: phường Tuy Hoà, tỉnh Đaklak</w:t>
      </w:r>
    </w:p>
    <w:p w14:paraId="2814C776" w14:textId="77777777" w:rsidR="000A1679" w:rsidRPr="00AF0148" w:rsidRDefault="000A1679" w:rsidP="000A1679">
      <w:pPr>
        <w:spacing w:before="120" w:line="245" w:lineRule="auto"/>
        <w:ind w:firstLine="720"/>
        <w:rPr>
          <w:rFonts w:eastAsia="Calibri"/>
          <w:b/>
          <w:sz w:val="28"/>
          <w:szCs w:val="28"/>
          <w:lang w:val="sv-SE"/>
        </w:rPr>
      </w:pPr>
      <w:r w:rsidRPr="00AF0148">
        <w:rPr>
          <w:b/>
          <w:spacing w:val="-4"/>
          <w:sz w:val="28"/>
          <w:szCs w:val="28"/>
        </w:rPr>
        <w:t xml:space="preserve">1.1.2. </w:t>
      </w:r>
      <w:r w:rsidRPr="00AF0148">
        <w:rPr>
          <w:rFonts w:eastAsia="Calibri"/>
          <w:b/>
          <w:sz w:val="28"/>
          <w:szCs w:val="28"/>
          <w:lang w:val="sv-SE"/>
        </w:rPr>
        <w:t>Quy mô:</w:t>
      </w:r>
    </w:p>
    <w:p w14:paraId="4034D069" w14:textId="77777777" w:rsidR="000A1679" w:rsidRPr="00AF0148" w:rsidRDefault="000A1679" w:rsidP="000A1679">
      <w:pPr>
        <w:spacing w:before="60" w:after="60"/>
        <w:ind w:firstLine="720"/>
        <w:rPr>
          <w:sz w:val="28"/>
          <w:szCs w:val="28"/>
        </w:rPr>
      </w:pPr>
      <w:r w:rsidRPr="00AF0148">
        <w:rPr>
          <w:sz w:val="28"/>
          <w:szCs w:val="28"/>
        </w:rPr>
        <w:t xml:space="preserve">* Quy mô đầu tư: Sửa chữa, nâng cấp công trình Kè Bạch Đằng (đoạn từ cầu Hùng Vương đến cảng cá Phường 6) với tổng chiều dài 1.130 m và các công trình trên tuyến, phụ trợ phục vụ thi công; trong đó bao gồm 03 đoạn như sau: Đoạn 1 từ Km0 đến Km0+823, dài 823 m; Đoạn 2 từ Km0+823 đến Km0+924, dài 101 m (khu vực tiếp giáp cầu tàu Hải đội biên phòng 2); Đoạn 3 từ Km0+924 đến cuối tuyến, dài 206 m. </w:t>
      </w:r>
    </w:p>
    <w:p w14:paraId="452C1E1E" w14:textId="77777777" w:rsidR="000A1679" w:rsidRPr="00AF0148" w:rsidRDefault="000A1679" w:rsidP="000A1679">
      <w:pPr>
        <w:spacing w:before="60" w:after="60"/>
        <w:ind w:firstLine="720"/>
        <w:rPr>
          <w:sz w:val="28"/>
          <w:szCs w:val="28"/>
        </w:rPr>
      </w:pPr>
      <w:r w:rsidRPr="00AF0148">
        <w:rPr>
          <w:sz w:val="28"/>
          <w:szCs w:val="28"/>
        </w:rPr>
        <w:t xml:space="preserve">Giải pháp thiết kế chủ yếu phương án chọn: </w:t>
      </w:r>
    </w:p>
    <w:p w14:paraId="488C33CC" w14:textId="77777777" w:rsidR="000A1679" w:rsidRPr="00AF0148" w:rsidRDefault="000A1679" w:rsidP="000A1679">
      <w:pPr>
        <w:spacing w:before="60" w:after="60"/>
        <w:ind w:firstLine="720"/>
        <w:rPr>
          <w:sz w:val="28"/>
          <w:szCs w:val="28"/>
        </w:rPr>
      </w:pPr>
      <w:r w:rsidRPr="00AF0148">
        <w:rPr>
          <w:sz w:val="28"/>
          <w:szCs w:val="28"/>
        </w:rPr>
        <w:t xml:space="preserve"> Các chỉ tiêu thiết kế: </w:t>
      </w:r>
    </w:p>
    <w:p w14:paraId="45ABFD37" w14:textId="77777777" w:rsidR="000A1679" w:rsidRPr="00AF0148" w:rsidRDefault="000A1679" w:rsidP="000A1679">
      <w:pPr>
        <w:spacing w:before="60" w:after="60"/>
        <w:ind w:firstLine="720"/>
        <w:rPr>
          <w:sz w:val="28"/>
          <w:szCs w:val="28"/>
        </w:rPr>
      </w:pPr>
      <w:r w:rsidRPr="00AF0148">
        <w:rPr>
          <w:sz w:val="28"/>
          <w:szCs w:val="28"/>
        </w:rPr>
        <w:t xml:space="preserve">- Tần suất mực nước thiết kế: P = 2%; </w:t>
      </w:r>
    </w:p>
    <w:p w14:paraId="721DF43B" w14:textId="77777777" w:rsidR="000A1679" w:rsidRPr="00AF0148" w:rsidRDefault="000A1679" w:rsidP="000A1679">
      <w:pPr>
        <w:spacing w:before="60" w:after="60"/>
        <w:ind w:firstLine="720"/>
        <w:rPr>
          <w:sz w:val="28"/>
          <w:szCs w:val="28"/>
        </w:rPr>
      </w:pPr>
      <w:r w:rsidRPr="00AF0148">
        <w:rPr>
          <w:sz w:val="28"/>
          <w:szCs w:val="28"/>
        </w:rPr>
        <w:t xml:space="preserve">- Chu kỳ an toàn của công trình: T = 50 năm; </w:t>
      </w:r>
    </w:p>
    <w:p w14:paraId="022F5FB1" w14:textId="77777777" w:rsidR="000A1679" w:rsidRPr="00AF0148" w:rsidRDefault="000A1679" w:rsidP="000A1679">
      <w:pPr>
        <w:spacing w:before="60" w:after="60"/>
        <w:ind w:firstLine="720"/>
        <w:rPr>
          <w:sz w:val="28"/>
          <w:szCs w:val="28"/>
        </w:rPr>
      </w:pPr>
      <w:r w:rsidRPr="00AF0148">
        <w:rPr>
          <w:sz w:val="28"/>
          <w:szCs w:val="28"/>
        </w:rPr>
        <w:t xml:space="preserve">- Trị số gia tăng độ cao an toàn: a = 0,4 m; </w:t>
      </w:r>
    </w:p>
    <w:p w14:paraId="6E76BE46" w14:textId="77777777" w:rsidR="000A1679" w:rsidRPr="00AF0148" w:rsidRDefault="000A1679" w:rsidP="000A1679">
      <w:pPr>
        <w:spacing w:before="60" w:after="60"/>
        <w:ind w:firstLine="720"/>
        <w:rPr>
          <w:sz w:val="28"/>
          <w:szCs w:val="28"/>
        </w:rPr>
      </w:pPr>
      <w:r w:rsidRPr="00AF0148">
        <w:rPr>
          <w:sz w:val="28"/>
          <w:szCs w:val="28"/>
        </w:rPr>
        <w:t xml:space="preserve">- Hệ số an toàn ổn định chống </w:t>
      </w:r>
      <w:proofErr w:type="gramStart"/>
      <w:r w:rsidRPr="00AF0148">
        <w:rPr>
          <w:sz w:val="28"/>
          <w:szCs w:val="28"/>
        </w:rPr>
        <w:t>trượt :</w:t>
      </w:r>
      <w:proofErr w:type="gramEnd"/>
      <w:r w:rsidRPr="00AF0148">
        <w:rPr>
          <w:sz w:val="28"/>
          <w:szCs w:val="28"/>
        </w:rPr>
        <w:t xml:space="preserve"> Tổ hợp cơ bản Kr = 1,25;</w:t>
      </w:r>
    </w:p>
    <w:p w14:paraId="5C6E6D61" w14:textId="77777777" w:rsidR="000A1679" w:rsidRPr="00AF0148" w:rsidRDefault="000A1679" w:rsidP="000A1679">
      <w:pPr>
        <w:spacing w:before="60" w:after="60"/>
        <w:ind w:firstLine="720"/>
        <w:rPr>
          <w:sz w:val="28"/>
          <w:szCs w:val="28"/>
        </w:rPr>
      </w:pPr>
      <w:r w:rsidRPr="00AF0148">
        <w:rPr>
          <w:sz w:val="28"/>
          <w:szCs w:val="28"/>
        </w:rPr>
        <w:t xml:space="preserve">- Hệ số ann toàn ổn định chống lật: </w:t>
      </w:r>
    </w:p>
    <w:p w14:paraId="13670D04" w14:textId="77777777" w:rsidR="000A1679" w:rsidRPr="00AF0148" w:rsidRDefault="000A1679" w:rsidP="000A1679">
      <w:pPr>
        <w:spacing w:before="60" w:after="60"/>
        <w:ind w:firstLine="720"/>
        <w:rPr>
          <w:sz w:val="28"/>
          <w:szCs w:val="28"/>
        </w:rPr>
      </w:pPr>
      <w:r w:rsidRPr="00AF0148">
        <w:rPr>
          <w:sz w:val="28"/>
          <w:szCs w:val="28"/>
        </w:rPr>
        <w:t xml:space="preserve">+ Tổ hợp đặc biệt K = 1,15; </w:t>
      </w:r>
    </w:p>
    <w:p w14:paraId="736AFFB5" w14:textId="77777777" w:rsidR="000A1679" w:rsidRPr="00AF0148" w:rsidRDefault="000A1679" w:rsidP="000A1679">
      <w:pPr>
        <w:spacing w:before="60" w:after="60"/>
        <w:ind w:firstLine="720"/>
        <w:rPr>
          <w:sz w:val="28"/>
          <w:szCs w:val="28"/>
        </w:rPr>
      </w:pPr>
      <w:r w:rsidRPr="00AF0148">
        <w:rPr>
          <w:sz w:val="28"/>
          <w:szCs w:val="28"/>
        </w:rPr>
        <w:t xml:space="preserve">+ Tổ hợp cơ bản K₁ = 1,5; </w:t>
      </w:r>
    </w:p>
    <w:p w14:paraId="6AE0B7DD" w14:textId="77777777" w:rsidR="000A1679" w:rsidRPr="00AF0148" w:rsidRDefault="000A1679" w:rsidP="000A1679">
      <w:pPr>
        <w:spacing w:before="60" w:after="60"/>
        <w:ind w:firstLine="720"/>
        <w:rPr>
          <w:sz w:val="28"/>
          <w:szCs w:val="28"/>
        </w:rPr>
      </w:pPr>
      <w:r w:rsidRPr="00AF0148">
        <w:rPr>
          <w:sz w:val="28"/>
          <w:szCs w:val="28"/>
        </w:rPr>
        <w:t xml:space="preserve">+ Tổ hợp đặc biệt K₁ = 1,4. 9.2.2. </w:t>
      </w:r>
    </w:p>
    <w:p w14:paraId="49FA95E4" w14:textId="77777777" w:rsidR="000A1679" w:rsidRPr="00AF0148" w:rsidRDefault="000A1679" w:rsidP="000A1679">
      <w:pPr>
        <w:spacing w:before="60" w:after="60"/>
        <w:ind w:firstLine="720"/>
        <w:rPr>
          <w:bCs/>
          <w:i/>
          <w:sz w:val="28"/>
          <w:szCs w:val="28"/>
          <w:highlight w:val="yellow"/>
          <w:lang w:val="it-IT"/>
        </w:rPr>
      </w:pPr>
      <w:r w:rsidRPr="00AF0148">
        <w:rPr>
          <w:sz w:val="28"/>
          <w:szCs w:val="28"/>
        </w:rPr>
        <w:lastRenderedPageBreak/>
        <w:t>Giải pháp thiết kế chủ yếu:</w:t>
      </w:r>
    </w:p>
    <w:p w14:paraId="2D55285E" w14:textId="77777777" w:rsidR="000A1679" w:rsidRPr="00AF0148" w:rsidRDefault="000A1679" w:rsidP="000A1679">
      <w:pPr>
        <w:spacing w:before="60" w:after="60"/>
        <w:ind w:firstLine="720"/>
        <w:rPr>
          <w:sz w:val="28"/>
          <w:szCs w:val="28"/>
        </w:rPr>
      </w:pPr>
      <w:r w:rsidRPr="00AF0148">
        <w:rPr>
          <w:sz w:val="28"/>
          <w:szCs w:val="28"/>
        </w:rPr>
        <w:t xml:space="preserve">a) Hình thức, kết cấu và các thông số thiết kế chủ yếu kè đoạn 1 và đoạn 3: </w:t>
      </w:r>
    </w:p>
    <w:p w14:paraId="36FA5E23" w14:textId="77777777" w:rsidR="000A1679" w:rsidRPr="00AF0148" w:rsidRDefault="000A1679" w:rsidP="000A1679">
      <w:pPr>
        <w:spacing w:before="60" w:after="60"/>
        <w:ind w:firstLine="720"/>
        <w:rPr>
          <w:sz w:val="28"/>
          <w:szCs w:val="28"/>
        </w:rPr>
      </w:pPr>
      <w:r w:rsidRPr="00AF0148">
        <w:rPr>
          <w:sz w:val="28"/>
          <w:szCs w:val="28"/>
        </w:rPr>
        <w:t xml:space="preserve">- Hình thức kè: Kè tường đứng, gia cố chân kè bên ngoài mái nghiêng. </w:t>
      </w:r>
    </w:p>
    <w:p w14:paraId="3DFA4333" w14:textId="77777777" w:rsidR="000A1679" w:rsidRPr="00AF0148" w:rsidRDefault="000A1679" w:rsidP="000A1679">
      <w:pPr>
        <w:spacing w:before="60" w:after="60"/>
        <w:ind w:firstLine="720"/>
        <w:rPr>
          <w:sz w:val="28"/>
          <w:szCs w:val="28"/>
        </w:rPr>
      </w:pPr>
      <w:r w:rsidRPr="00AF0148">
        <w:rPr>
          <w:sz w:val="28"/>
          <w:szCs w:val="28"/>
        </w:rPr>
        <w:t xml:space="preserve">- Phần đỉnh kè: Cao trình đỉnh kè +3,0 m; bề rộng mặt đỉnh kè 3 m. Kết cấu mặt đỉnh kè từ trên xuống gồm: Lát đá granite kích thước (30x60x3) cm, bê tông đạt cấp độ bền B15 (M200) đá (1x2) cm dày 10 cm, giấy dầu lót móng, trên nền cát đầm chặt đạt K &gt; 0,9. Phía sông thiết kế tường chắn sóng bằng bê tông cốt thép đạt cấp độ bền B30 (M400), đá (1x2) cm, bên trên đỉnh lắp hệ thống lan can. Phía bên trong kè bố trí bệ ngồi và bồn hoa tạo mỹ quan đô thị. </w:t>
      </w:r>
    </w:p>
    <w:p w14:paraId="44F0D73D" w14:textId="77777777" w:rsidR="000A1679" w:rsidRPr="00AF0148" w:rsidRDefault="000A1679" w:rsidP="000A1679">
      <w:pPr>
        <w:spacing w:before="60" w:after="60"/>
        <w:ind w:firstLine="720"/>
        <w:rPr>
          <w:sz w:val="28"/>
          <w:szCs w:val="28"/>
        </w:rPr>
      </w:pPr>
      <w:r w:rsidRPr="00AF0148">
        <w:rPr>
          <w:sz w:val="28"/>
          <w:szCs w:val="28"/>
        </w:rPr>
        <w:t xml:space="preserve">- Phần thân kè: Thân kè đắp cát chặt đạt K &gt; 0,9. - Phần chân kè: Cao trình thềm giảm sóng +1,5 m; bề rộng thềm giảm sóng B = 4,02 m; hệ số mái phía sông m = 2,0; cao trình đỉnh chân kè -1,6 m; cao trình đáy chân kè -3,8 m. Kết cấu chân kè bằng ống buy vuông bê tông cốt thép đúc sẵn đạt cấp độ bền B30 (M400) đá 1x2cm, kích thước LxB = (1,6x1,6)m. Phía bên trong ống buy gia cố lăng thể đá hộc hộ chân, bên ngoài gia cố bằng đá hộc, kết hợp cấu kiện bê tông đúc sẵn dày 50 cm. </w:t>
      </w:r>
    </w:p>
    <w:p w14:paraId="667E2596" w14:textId="77777777" w:rsidR="000A1679" w:rsidRPr="00AF0148" w:rsidRDefault="000A1679" w:rsidP="000A1679">
      <w:pPr>
        <w:spacing w:before="60" w:after="60"/>
        <w:ind w:firstLine="720"/>
        <w:rPr>
          <w:sz w:val="28"/>
          <w:szCs w:val="28"/>
        </w:rPr>
      </w:pPr>
      <w:r w:rsidRPr="00AF0148">
        <w:rPr>
          <w:sz w:val="28"/>
          <w:szCs w:val="28"/>
        </w:rPr>
        <w:t xml:space="preserve">b) Hình thức, kết cấu và các thông số thiết kế chủ yếu kè đoạn 2: </w:t>
      </w:r>
    </w:p>
    <w:p w14:paraId="1074D0F3" w14:textId="77777777" w:rsidR="000A1679" w:rsidRPr="00AF0148" w:rsidRDefault="000A1679" w:rsidP="000A1679">
      <w:pPr>
        <w:spacing w:before="60" w:after="60"/>
        <w:ind w:firstLine="720"/>
        <w:rPr>
          <w:sz w:val="28"/>
          <w:szCs w:val="28"/>
        </w:rPr>
      </w:pPr>
      <w:r w:rsidRPr="00AF0148">
        <w:rPr>
          <w:sz w:val="28"/>
          <w:szCs w:val="28"/>
        </w:rPr>
        <w:t xml:space="preserve">- Hình thức kè: Kè tường đứng, gia cố chân kè bên ngoài mái nghiêng. </w:t>
      </w:r>
    </w:p>
    <w:p w14:paraId="6C80AB81" w14:textId="77777777" w:rsidR="000A1679" w:rsidRPr="00AF0148" w:rsidRDefault="000A1679" w:rsidP="000A1679">
      <w:pPr>
        <w:spacing w:before="60" w:after="60"/>
        <w:ind w:firstLine="720"/>
        <w:rPr>
          <w:bCs/>
          <w:i/>
          <w:sz w:val="28"/>
          <w:szCs w:val="28"/>
          <w:highlight w:val="yellow"/>
          <w:lang w:val="it-IT"/>
        </w:rPr>
      </w:pPr>
      <w:r w:rsidRPr="00AF0148">
        <w:rPr>
          <w:sz w:val="28"/>
          <w:szCs w:val="28"/>
        </w:rPr>
        <w:t>- Phần đỉnh kè: Cao trình đỉnh kè +3,0m; bề rộng mặt đỉnh kè từ (4,5+6,</w:t>
      </w:r>
      <w:proofErr w:type="gramStart"/>
      <w:r w:rsidRPr="00AF0148">
        <w:rPr>
          <w:sz w:val="28"/>
          <w:szCs w:val="28"/>
        </w:rPr>
        <w:t>0)m.</w:t>
      </w:r>
      <w:proofErr w:type="gramEnd"/>
      <w:r w:rsidRPr="00AF0148">
        <w:rPr>
          <w:sz w:val="28"/>
          <w:szCs w:val="28"/>
        </w:rPr>
        <w:t xml:space="preserve"> Kết cấu mặt đỉnh kè từ trên xuống gồm: Lát gạch Terazzo, lớp bê tông đạt cấp độ bền B15 (M200) đá (1x2) cm dày 05 cm, trên nền via hè hiện trạng. Phía sông thiết kế tường chẳn sóng bằng bê tông cốt thép đạt cấp độ bền B30 (M400), đá (1x2) cm, bên trên đỉnh lắp hệ thống lan can.</w:t>
      </w:r>
    </w:p>
    <w:p w14:paraId="1F405AAB" w14:textId="77777777" w:rsidR="000A1679" w:rsidRPr="00AF0148" w:rsidRDefault="000A1679" w:rsidP="000A1679">
      <w:pPr>
        <w:spacing w:before="60" w:after="60"/>
        <w:ind w:firstLine="720"/>
        <w:rPr>
          <w:sz w:val="28"/>
          <w:szCs w:val="28"/>
        </w:rPr>
      </w:pPr>
      <w:r w:rsidRPr="00AF0148">
        <w:rPr>
          <w:sz w:val="28"/>
          <w:szCs w:val="28"/>
        </w:rPr>
        <w:t xml:space="preserve">- Phần thân kè: Thân kè đắp cát chặt đạt K ≥ 0,9. </w:t>
      </w:r>
    </w:p>
    <w:p w14:paraId="02E30DB1" w14:textId="77777777" w:rsidR="000A1679" w:rsidRPr="00AF0148" w:rsidRDefault="000A1679" w:rsidP="000A1679">
      <w:pPr>
        <w:spacing w:before="60" w:after="60"/>
        <w:ind w:firstLine="720"/>
        <w:rPr>
          <w:sz w:val="28"/>
          <w:szCs w:val="28"/>
        </w:rPr>
      </w:pPr>
      <w:r w:rsidRPr="00AF0148">
        <w:rPr>
          <w:sz w:val="28"/>
          <w:szCs w:val="28"/>
        </w:rPr>
        <w:t xml:space="preserve">- Phần chân kè: Cao trình thềm giảm sóng +1,5 m; bề rộng thềm giảm sóng B = (1+2,3)m; hệ số mái phía sông m = 1,5; cao trình đỉnh chân kè -2,5 m; cao trình đáy chân kè -(4,5+4,7)m. Kết cấu chân kè đoạn trước lối vào cầu tàu bằng ống buy vuông bê tông cốt thép đúc sẵn đạt cấp độ bền B30 (M400) đá (1x2) cm, kích thước LxB= (1,6x1,6) m; phía bên trong ống buy gia cổ lăng thể đá hộc hộ chân, bên ngoài gia cố đá hộc, kết hợp cấu kiện bê tông đúc sẵn dày 50 cm. Kết cấu chân kè đoạn sau lối vào cầu tàu thiết kế tường bản chống bê tông cốt thép đạt cấp độ bền B30 (M400) đá (1x2) cm, bên ngoài gia cố bằng đá hộc, kết hợp cấu kiện bê tông đúc sẵn dày 50 cm, nhằm hạn chế ảnh hưởng đến việc neo đậu tàu thuyền. </w:t>
      </w:r>
    </w:p>
    <w:p w14:paraId="5B910249" w14:textId="77777777" w:rsidR="000A1679" w:rsidRPr="00AF0148" w:rsidRDefault="000A1679" w:rsidP="000A1679">
      <w:pPr>
        <w:spacing w:before="60" w:after="60"/>
        <w:ind w:firstLine="720"/>
        <w:rPr>
          <w:sz w:val="28"/>
          <w:szCs w:val="28"/>
        </w:rPr>
      </w:pPr>
      <w:r w:rsidRPr="00AF0148">
        <w:rPr>
          <w:sz w:val="28"/>
          <w:szCs w:val="28"/>
        </w:rPr>
        <w:t>c) Công trình trên tuyến: Dọc tuyến kè bố trí khóa đầu, cuối kè và 06 bậc cấp lên xuống kè. Các khu vực via hè kè Bạch Đằng bị sạt lở, sụt lún, tiến hành tháo dỡ, đắp hoàn trả và gia cố lại như kết cấu hiện trạng.</w:t>
      </w:r>
    </w:p>
    <w:p w14:paraId="65119332" w14:textId="77777777" w:rsidR="000A1679" w:rsidRPr="00AF0148" w:rsidRDefault="000A1679" w:rsidP="000A1679">
      <w:pPr>
        <w:spacing w:before="60" w:after="60"/>
        <w:ind w:firstLine="720"/>
        <w:rPr>
          <w:sz w:val="28"/>
          <w:szCs w:val="28"/>
        </w:rPr>
      </w:pPr>
      <w:r w:rsidRPr="00AF0148">
        <w:rPr>
          <w:sz w:val="28"/>
          <w:szCs w:val="28"/>
        </w:rPr>
        <w:t>d) Công trình phục vụ thi công: Bố trí khu vực lán trại, kho bãi và bãi đúc cấu kiện diện tích 650 m². Bố trí đường thi công nội bộ chạy dọc theo tuyến kè bề rộng B = 3 m, kết cấu bằng đá hộc. Phía bên ngoài chân kè đồ đá đắp đê quây chắn sóng, bề rộng đỉnh B = 5 m; đá đê quây tận dụng làm chân kè.</w:t>
      </w:r>
    </w:p>
    <w:p w14:paraId="6E48CC7D" w14:textId="77777777" w:rsidR="000A1679" w:rsidRPr="00AF0148" w:rsidRDefault="000A1679" w:rsidP="000A1679">
      <w:pPr>
        <w:widowControl w:val="0"/>
        <w:spacing w:beforeLines="60" w:before="144" w:afterLines="60" w:after="144"/>
        <w:ind w:firstLine="567"/>
        <w:rPr>
          <w:bCs/>
          <w:color w:val="000000"/>
          <w:sz w:val="28"/>
          <w:szCs w:val="28"/>
          <w:lang w:val="it-IT"/>
        </w:rPr>
      </w:pPr>
      <w:r w:rsidRPr="00AF0148">
        <w:rPr>
          <w:b/>
          <w:iCs/>
          <w:color w:val="000000"/>
          <w:sz w:val="28"/>
          <w:szCs w:val="28"/>
          <w:lang w:val="it-IT"/>
        </w:rPr>
        <w:t>1.2.</w:t>
      </w:r>
      <w:r w:rsidRPr="00AF0148">
        <w:rPr>
          <w:iCs/>
          <w:color w:val="000000"/>
          <w:sz w:val="28"/>
          <w:szCs w:val="28"/>
          <w:lang w:val="it-IT"/>
        </w:rPr>
        <w:t xml:space="preserve"> </w:t>
      </w:r>
      <w:r w:rsidRPr="00AF0148">
        <w:rPr>
          <w:b/>
          <w:iCs/>
          <w:color w:val="000000"/>
          <w:sz w:val="28"/>
          <w:szCs w:val="28"/>
          <w:lang w:val="it-IT"/>
        </w:rPr>
        <w:t>Giới thiệu về gói thầu:</w:t>
      </w:r>
      <w:r w:rsidRPr="00AF0148">
        <w:rPr>
          <w:iCs/>
          <w:color w:val="000000"/>
          <w:sz w:val="28"/>
          <w:szCs w:val="28"/>
          <w:lang w:val="it-IT"/>
        </w:rPr>
        <w:t xml:space="preserve"> </w:t>
      </w:r>
      <w:r w:rsidRPr="00AF0148">
        <w:rPr>
          <w:color w:val="000000"/>
          <w:sz w:val="28"/>
          <w:szCs w:val="28"/>
        </w:rPr>
        <w:t>Khảo sát, lập thiết kế bản vẽ thi công và dự toán.</w:t>
      </w:r>
    </w:p>
    <w:p w14:paraId="79D9C3C1" w14:textId="77777777" w:rsidR="000A1679" w:rsidRPr="00AF0148" w:rsidRDefault="000A1679" w:rsidP="000A1679">
      <w:pPr>
        <w:spacing w:before="60" w:after="60"/>
        <w:ind w:firstLine="720"/>
        <w:rPr>
          <w:b/>
          <w:color w:val="000000"/>
          <w:sz w:val="28"/>
          <w:szCs w:val="28"/>
          <w:lang w:val="it-IT"/>
        </w:rPr>
      </w:pPr>
      <w:r w:rsidRPr="00AF0148">
        <w:rPr>
          <w:b/>
          <w:iCs/>
          <w:color w:val="000000"/>
          <w:sz w:val="28"/>
          <w:szCs w:val="28"/>
          <w:lang w:val="it-IT"/>
        </w:rPr>
        <w:lastRenderedPageBreak/>
        <w:t xml:space="preserve">2. Mục đích tuyển chọn nhà thầu tư vấn: </w:t>
      </w:r>
      <w:r w:rsidRPr="00362925">
        <w:rPr>
          <w:bCs/>
          <w:iCs/>
          <w:color w:val="000000"/>
          <w:sz w:val="28"/>
          <w:szCs w:val="28"/>
          <w:lang w:val="it-IT"/>
        </w:rPr>
        <w:t>T</w:t>
      </w:r>
      <w:r w:rsidRPr="00362925">
        <w:rPr>
          <w:bCs/>
          <w:color w:val="000000"/>
          <w:sz w:val="28"/>
          <w:szCs w:val="28"/>
          <w:lang w:val="fr-FR"/>
        </w:rPr>
        <w:t>u</w:t>
      </w:r>
      <w:r w:rsidRPr="00AF0148">
        <w:rPr>
          <w:color w:val="000000"/>
          <w:sz w:val="28"/>
          <w:szCs w:val="28"/>
          <w:lang w:val="fr-FR"/>
        </w:rPr>
        <w:t xml:space="preserve">yển chọn nhà thầu tư vấn để thực hiện công tác </w:t>
      </w:r>
      <w:r w:rsidRPr="00AF0148">
        <w:rPr>
          <w:color w:val="000000"/>
          <w:sz w:val="28"/>
          <w:szCs w:val="28"/>
        </w:rPr>
        <w:t>khảo sát, lập thiết kế bản vẽ thi công và dự toán.</w:t>
      </w:r>
    </w:p>
    <w:p w14:paraId="3237B621" w14:textId="77777777" w:rsidR="000A1679" w:rsidRPr="00AF0148" w:rsidRDefault="000A1679" w:rsidP="000A1679">
      <w:pPr>
        <w:spacing w:before="60" w:after="60"/>
        <w:ind w:firstLine="720"/>
        <w:rPr>
          <w:b/>
          <w:bCs/>
          <w:sz w:val="28"/>
          <w:szCs w:val="28"/>
          <w:lang w:val="it-IT"/>
        </w:rPr>
      </w:pPr>
      <w:r w:rsidRPr="00AF0148">
        <w:rPr>
          <w:b/>
          <w:sz w:val="28"/>
          <w:szCs w:val="28"/>
          <w:lang w:val="it-IT"/>
        </w:rPr>
        <w:t>II. Phạm vi công việc:</w:t>
      </w:r>
    </w:p>
    <w:p w14:paraId="1E52E2F0" w14:textId="77777777" w:rsidR="000A1679" w:rsidRPr="00AF0148" w:rsidRDefault="000A1679" w:rsidP="000A1679">
      <w:pPr>
        <w:spacing w:before="100" w:after="100" w:line="242" w:lineRule="auto"/>
        <w:ind w:firstLine="709"/>
        <w:outlineLvl w:val="0"/>
        <w:rPr>
          <w:b/>
          <w:bCs/>
          <w:iCs/>
          <w:color w:val="000000"/>
          <w:sz w:val="28"/>
          <w:szCs w:val="28"/>
          <w:lang w:val="it-IT"/>
        </w:rPr>
      </w:pPr>
      <w:r w:rsidRPr="00AF0148">
        <w:rPr>
          <w:b/>
          <w:bCs/>
          <w:iCs/>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6CD8C795" w14:textId="77777777" w:rsidR="000A1679" w:rsidRPr="00AF0148" w:rsidRDefault="000A1679" w:rsidP="000A1679">
      <w:pPr>
        <w:spacing w:before="100" w:after="100" w:line="242" w:lineRule="auto"/>
        <w:ind w:firstLine="709"/>
        <w:outlineLvl w:val="0"/>
        <w:rPr>
          <w:sz w:val="28"/>
          <w:szCs w:val="28"/>
        </w:rPr>
      </w:pPr>
      <w:r w:rsidRPr="00AF0148">
        <w:rPr>
          <w:sz w:val="28"/>
          <w:szCs w:val="28"/>
        </w:rPr>
        <w:t>- Nguồn vốn đầu tư: ngân sách tỉnh</w:t>
      </w:r>
    </w:p>
    <w:p w14:paraId="536D9A63" w14:textId="77777777" w:rsidR="000A1679" w:rsidRPr="00AF0148" w:rsidRDefault="000A1679" w:rsidP="000A1679">
      <w:pPr>
        <w:spacing w:before="100" w:after="100" w:line="242" w:lineRule="auto"/>
        <w:ind w:firstLine="709"/>
        <w:outlineLvl w:val="0"/>
        <w:rPr>
          <w:color w:val="000000"/>
          <w:sz w:val="28"/>
          <w:szCs w:val="28"/>
          <w:lang w:val="nl-NL"/>
        </w:rPr>
      </w:pPr>
      <w:r w:rsidRPr="00AF0148">
        <w:rPr>
          <w:bCs/>
          <w:iCs/>
          <w:color w:val="000000"/>
          <w:sz w:val="28"/>
          <w:szCs w:val="28"/>
          <w:lang w:val="it-IT"/>
        </w:rPr>
        <w:t xml:space="preserve">- Tên cơ quan thực hiện: </w:t>
      </w:r>
      <w:r w:rsidRPr="00AF0148">
        <w:rPr>
          <w:color w:val="000000"/>
          <w:sz w:val="28"/>
          <w:szCs w:val="28"/>
          <w:lang w:val="nl-NL"/>
        </w:rPr>
        <w:t xml:space="preserve">BQL các dự án ĐTXD khu vực phía Đông tỉnh Đắk Lắk </w:t>
      </w:r>
    </w:p>
    <w:p w14:paraId="2EC89A2A" w14:textId="77777777" w:rsidR="000A1679" w:rsidRPr="00AF0148" w:rsidRDefault="000A1679" w:rsidP="000A1679">
      <w:pPr>
        <w:spacing w:before="100" w:after="100" w:line="242" w:lineRule="auto"/>
        <w:ind w:firstLine="709"/>
        <w:outlineLvl w:val="0"/>
        <w:rPr>
          <w:color w:val="000000"/>
          <w:sz w:val="28"/>
          <w:szCs w:val="28"/>
        </w:rPr>
      </w:pPr>
      <w:r w:rsidRPr="00AF0148">
        <w:rPr>
          <w:color w:val="000000"/>
          <w:sz w:val="28"/>
          <w:szCs w:val="28"/>
          <w:lang w:val="nl-NL"/>
        </w:rPr>
        <w:t>- Thời gian thực hiện gói thầu:</w:t>
      </w:r>
      <w:r w:rsidRPr="00AF0148">
        <w:rPr>
          <w:color w:val="000000"/>
          <w:sz w:val="28"/>
          <w:szCs w:val="28"/>
        </w:rPr>
        <w:t xml:space="preserve"> </w:t>
      </w:r>
      <w:r w:rsidRPr="00AF0148">
        <w:rPr>
          <w:color w:val="000000"/>
          <w:sz w:val="28"/>
          <w:szCs w:val="28"/>
          <w:lang w:val="nl-NL"/>
        </w:rPr>
        <w:t>Ngay sau khi hợp đồng tư vấn được ký kết có hiệu lực.</w:t>
      </w:r>
    </w:p>
    <w:p w14:paraId="60CEFAB3" w14:textId="77777777" w:rsidR="000A1679" w:rsidRPr="00AF0148" w:rsidRDefault="000A1679" w:rsidP="000A1679">
      <w:pPr>
        <w:spacing w:before="60" w:after="60"/>
        <w:ind w:firstLine="720"/>
        <w:rPr>
          <w:b/>
          <w:bCs/>
          <w:iCs/>
          <w:color w:val="000000"/>
          <w:sz w:val="28"/>
          <w:szCs w:val="28"/>
          <w:lang w:val="it-IT"/>
        </w:rPr>
      </w:pPr>
      <w:r w:rsidRPr="00AF0148">
        <w:rPr>
          <w:b/>
          <w:bCs/>
          <w:iCs/>
          <w:color w:val="000000"/>
          <w:sz w:val="28"/>
          <w:szCs w:val="28"/>
          <w:lang w:val="it-IT"/>
        </w:rPr>
        <w:t xml:space="preserve">2. Mô tả các nhiệm vụ cụ thể do nhà thầu phải tiến hành trong thời gian thực hiện gói thầu tư vấn: </w:t>
      </w:r>
    </w:p>
    <w:p w14:paraId="7F747CC4" w14:textId="77777777" w:rsidR="000A1679" w:rsidRPr="000A1679" w:rsidRDefault="000A1679" w:rsidP="000A1679">
      <w:pPr>
        <w:spacing w:before="60" w:after="60"/>
        <w:ind w:firstLine="720"/>
        <w:rPr>
          <w:color w:val="000000" w:themeColor="text1"/>
          <w:sz w:val="28"/>
          <w:szCs w:val="28"/>
          <w:lang w:val="pt-BR"/>
        </w:rPr>
      </w:pPr>
      <w:r w:rsidRPr="00AF0148">
        <w:rPr>
          <w:b/>
          <w:bCs/>
          <w:color w:val="000000"/>
          <w:sz w:val="28"/>
          <w:szCs w:val="28"/>
          <w:lang w:val="it-IT"/>
        </w:rPr>
        <w:t>* Công việc khảo sát:</w:t>
      </w:r>
      <w:r w:rsidRPr="00AF0148">
        <w:rPr>
          <w:bCs/>
          <w:color w:val="000000"/>
          <w:sz w:val="28"/>
          <w:szCs w:val="28"/>
          <w:lang w:val="it-IT"/>
        </w:rPr>
        <w:t xml:space="preserve"> </w:t>
      </w:r>
      <w:r w:rsidRPr="00AF0148">
        <w:rPr>
          <w:color w:val="000000"/>
          <w:sz w:val="28"/>
          <w:szCs w:val="28"/>
          <w:lang w:val="pt-BR"/>
        </w:rPr>
        <w:t>thực hiện khảo sát xây dựng theo đúng phương án khảo sát đã được chủ đầu tư phê duyệt, tiêu chuẩn, quy chuẩn, các yêu cầu kỹ thuật</w:t>
      </w:r>
      <w:r w:rsidRPr="00AF0148">
        <w:rPr>
          <w:bCs/>
          <w:color w:val="000000"/>
          <w:sz w:val="28"/>
          <w:szCs w:val="28"/>
          <w:lang w:val="it-IT"/>
        </w:rPr>
        <w:t>.</w:t>
      </w:r>
      <w:r w:rsidRPr="00AF0148">
        <w:rPr>
          <w:color w:val="000000"/>
          <w:sz w:val="28"/>
          <w:szCs w:val="28"/>
          <w:lang w:val="pt-BR"/>
        </w:rPr>
        <w:t xml:space="preserve"> Trong đó: Chi phí khảo sát dựa trên khối lượng mời thầu và đơn giá do nhà thầu đề </w:t>
      </w:r>
      <w:r w:rsidRPr="000A1679">
        <w:rPr>
          <w:color w:val="000000" w:themeColor="text1"/>
          <w:sz w:val="28"/>
          <w:szCs w:val="28"/>
          <w:lang w:val="pt-BR"/>
        </w:rPr>
        <w:t>xuất. Trong đó: Chi phí dự phòng khối lượng phát sinh (10% chi phí khảo sát) là: 57.824.829 đồng là cố định, nhà thầu không được phân bổ vào các hạng mục công việc.</w:t>
      </w:r>
    </w:p>
    <w:p w14:paraId="32E35FF1" w14:textId="77777777" w:rsidR="000A1679" w:rsidRPr="00AF0148" w:rsidRDefault="000A1679" w:rsidP="000A1679">
      <w:pPr>
        <w:widowControl w:val="0"/>
        <w:autoSpaceDE w:val="0"/>
        <w:autoSpaceDN w:val="0"/>
        <w:adjustRightInd w:val="0"/>
        <w:spacing w:before="80" w:line="264" w:lineRule="auto"/>
        <w:ind w:firstLine="720"/>
        <w:rPr>
          <w:b/>
          <w:bCs/>
          <w:color w:val="000000"/>
          <w:sz w:val="28"/>
          <w:szCs w:val="28"/>
          <w:lang w:val="it-IT"/>
        </w:rPr>
      </w:pPr>
      <w:r w:rsidRPr="00AF0148">
        <w:rPr>
          <w:b/>
          <w:bCs/>
          <w:color w:val="000000"/>
          <w:sz w:val="28"/>
          <w:szCs w:val="28"/>
          <w:lang w:val="it-IT"/>
        </w:rPr>
        <w:t>* Công việc thiết kế bản vẽ thi công – dự toán:</w:t>
      </w:r>
    </w:p>
    <w:p w14:paraId="57E47A63" w14:textId="77777777" w:rsidR="000A1679" w:rsidRPr="00AF0148" w:rsidRDefault="000A1679" w:rsidP="000A1679">
      <w:pPr>
        <w:widowControl w:val="0"/>
        <w:spacing w:before="80" w:line="264" w:lineRule="auto"/>
        <w:ind w:firstLine="720"/>
        <w:rPr>
          <w:color w:val="000000"/>
          <w:sz w:val="28"/>
          <w:szCs w:val="28"/>
          <w:lang w:val="pt-BR"/>
        </w:rPr>
      </w:pPr>
      <w:bookmarkStart w:id="2" w:name="_Toc289714048"/>
      <w:bookmarkStart w:id="3" w:name="_Toc289714258"/>
      <w:bookmarkStart w:id="4" w:name="_Toc289995561"/>
      <w:r w:rsidRPr="00AF0148">
        <w:rPr>
          <w:color w:val="000000"/>
          <w:sz w:val="28"/>
          <w:szCs w:val="28"/>
          <w:lang w:val="pt-BR"/>
        </w:rPr>
        <w:t>- Khảo sát hiện trường, lựa chọn phương án công nghệ, dây chuyền công nghệ.</w:t>
      </w:r>
      <w:bookmarkEnd w:id="2"/>
      <w:bookmarkEnd w:id="3"/>
      <w:bookmarkEnd w:id="4"/>
    </w:p>
    <w:p w14:paraId="73381FFF" w14:textId="77777777" w:rsidR="000A1679" w:rsidRPr="00AF0148" w:rsidRDefault="000A1679" w:rsidP="000A1679">
      <w:pPr>
        <w:widowControl w:val="0"/>
        <w:spacing w:before="80" w:line="264" w:lineRule="auto"/>
        <w:ind w:firstLine="720"/>
        <w:rPr>
          <w:color w:val="000000"/>
          <w:sz w:val="28"/>
          <w:szCs w:val="28"/>
          <w:lang w:val="pt-BR"/>
        </w:rPr>
      </w:pPr>
      <w:bookmarkStart w:id="5" w:name="_Toc289714049"/>
      <w:bookmarkStart w:id="6" w:name="_Toc289714259"/>
      <w:r w:rsidRPr="00AF0148">
        <w:rPr>
          <w:color w:val="000000"/>
          <w:sz w:val="28"/>
          <w:szCs w:val="28"/>
          <w:lang w:val="pt-BR"/>
        </w:rPr>
        <w:t xml:space="preserve">- </w:t>
      </w:r>
      <w:bookmarkStart w:id="7" w:name="_Toc289995562"/>
      <w:r w:rsidRPr="00AF0148">
        <w:rPr>
          <w:color w:val="000000"/>
          <w:sz w:val="28"/>
          <w:szCs w:val="28"/>
          <w:lang w:val="pt-BR"/>
        </w:rPr>
        <w:t>Lập thiết kế bản vẽ thi công gồm thuyết minh, thiết kế, dự toán đảm bảo phù hợp với quy chuẩn, tiêu chuẩn và qui định của pháp luật về xây dựng.</w:t>
      </w:r>
      <w:bookmarkEnd w:id="5"/>
      <w:bookmarkEnd w:id="6"/>
      <w:bookmarkEnd w:id="7"/>
    </w:p>
    <w:p w14:paraId="4B307964" w14:textId="77777777" w:rsidR="000A1679" w:rsidRPr="00AF0148" w:rsidRDefault="000A1679" w:rsidP="000A1679">
      <w:pPr>
        <w:widowControl w:val="0"/>
        <w:spacing w:before="80" w:line="264" w:lineRule="auto"/>
        <w:ind w:firstLine="720"/>
        <w:rPr>
          <w:color w:val="000000"/>
          <w:sz w:val="28"/>
          <w:szCs w:val="28"/>
          <w:lang w:val="pt-BR"/>
        </w:rPr>
      </w:pPr>
      <w:bookmarkStart w:id="8" w:name="_Toc289714050"/>
      <w:bookmarkStart w:id="9" w:name="_Toc289714260"/>
      <w:r w:rsidRPr="00AF0148">
        <w:rPr>
          <w:color w:val="000000"/>
          <w:sz w:val="28"/>
          <w:szCs w:val="28"/>
          <w:lang w:val="pt-BR"/>
        </w:rPr>
        <w:t xml:space="preserve">- </w:t>
      </w:r>
      <w:bookmarkStart w:id="10" w:name="_Toc289995563"/>
      <w:r w:rsidRPr="00AF0148">
        <w:rPr>
          <w:color w:val="000000"/>
          <w:sz w:val="28"/>
          <w:szCs w:val="28"/>
          <w:lang w:val="pt-BR"/>
        </w:rPr>
        <w:t>Tham gia các cuộc họp có liên quan tới sản phẩm tư vấn xây dựng khi chủ đầu tư yêu cầu trong quá trình triển khai thực hiện.</w:t>
      </w:r>
      <w:bookmarkEnd w:id="8"/>
      <w:bookmarkEnd w:id="9"/>
      <w:bookmarkEnd w:id="10"/>
    </w:p>
    <w:p w14:paraId="1DADBFA1" w14:textId="77777777" w:rsidR="000A1679" w:rsidRPr="00AF0148" w:rsidRDefault="000A1679" w:rsidP="000A1679">
      <w:pPr>
        <w:widowControl w:val="0"/>
        <w:spacing w:before="80" w:line="264" w:lineRule="auto"/>
        <w:ind w:firstLine="720"/>
        <w:rPr>
          <w:color w:val="000000"/>
          <w:sz w:val="28"/>
          <w:szCs w:val="28"/>
          <w:lang w:val="pt-BR"/>
        </w:rPr>
      </w:pPr>
      <w:bookmarkStart w:id="11" w:name="_Toc289714059"/>
      <w:bookmarkStart w:id="12" w:name="_Toc289714269"/>
      <w:r w:rsidRPr="00AF0148">
        <w:rPr>
          <w:color w:val="000000"/>
          <w:sz w:val="28"/>
          <w:szCs w:val="28"/>
          <w:lang w:val="pt-BR"/>
        </w:rPr>
        <w:t xml:space="preserve">- </w:t>
      </w:r>
      <w:bookmarkStart w:id="13" w:name="_Toc289995572"/>
      <w:r w:rsidRPr="00AF0148">
        <w:rPr>
          <w:color w:val="000000"/>
          <w:sz w:val="28"/>
          <w:szCs w:val="28"/>
          <w:lang w:val="pt-BR"/>
        </w:rPr>
        <w:t>Tham gia nghiệm thu các giai đoạn, nghiệm thu hoàn thành công việc, hạng mục công trình và toàn bộ công trình khi có yêu cầu của chủ đầu tư</w:t>
      </w:r>
      <w:bookmarkEnd w:id="11"/>
      <w:bookmarkEnd w:id="12"/>
      <w:bookmarkEnd w:id="13"/>
      <w:r w:rsidRPr="00AF0148">
        <w:rPr>
          <w:color w:val="000000"/>
          <w:sz w:val="28"/>
          <w:szCs w:val="28"/>
          <w:lang w:val="pt-BR"/>
        </w:rPr>
        <w:t>.</w:t>
      </w:r>
    </w:p>
    <w:p w14:paraId="2D9D5636" w14:textId="77777777" w:rsidR="000A1679" w:rsidRPr="00AF0148" w:rsidRDefault="000A1679" w:rsidP="000A1679">
      <w:pPr>
        <w:widowControl w:val="0"/>
        <w:spacing w:before="80" w:line="264" w:lineRule="auto"/>
        <w:ind w:firstLine="720"/>
        <w:rPr>
          <w:color w:val="000000"/>
          <w:sz w:val="28"/>
          <w:szCs w:val="28"/>
          <w:lang w:val="pt-BR"/>
        </w:rPr>
      </w:pPr>
      <w:bookmarkStart w:id="14" w:name="_Toc289714060"/>
      <w:bookmarkStart w:id="15" w:name="_Toc289714270"/>
      <w:r w:rsidRPr="00AF0148">
        <w:rPr>
          <w:color w:val="000000"/>
          <w:sz w:val="28"/>
          <w:szCs w:val="28"/>
          <w:lang w:val="pt-BR"/>
        </w:rPr>
        <w:t xml:space="preserve">- </w:t>
      </w:r>
      <w:bookmarkStart w:id="16" w:name="_Toc289995573"/>
      <w:r w:rsidRPr="00AF0148">
        <w:rPr>
          <w:color w:val="000000"/>
          <w:sz w:val="28"/>
          <w:szCs w:val="28"/>
          <w:lang w:val="pt-BR"/>
        </w:rPr>
        <w:t>Giám sát tác giả và làm rõ thiết kế, sửa đổi thiết kế, điều chỉnh dự toán trong quá trình thi công xây dựng công trình theo yêu cầu của Chủ đầu tư.</w:t>
      </w:r>
      <w:bookmarkEnd w:id="14"/>
      <w:bookmarkEnd w:id="15"/>
      <w:bookmarkEnd w:id="16"/>
    </w:p>
    <w:p w14:paraId="08011D7A" w14:textId="77777777" w:rsidR="000A1679" w:rsidRPr="00AF0148" w:rsidRDefault="000A1679" w:rsidP="000A1679">
      <w:pPr>
        <w:shd w:val="clear" w:color="auto" w:fill="FFFFFF"/>
        <w:spacing w:before="60" w:after="60"/>
        <w:ind w:firstLine="709"/>
        <w:rPr>
          <w:color w:val="000000"/>
          <w:sz w:val="28"/>
          <w:szCs w:val="28"/>
          <w:lang w:val="pt-BR"/>
        </w:rPr>
      </w:pPr>
      <w:r w:rsidRPr="00AF0148">
        <w:rPr>
          <w:color w:val="000000"/>
          <w:sz w:val="28"/>
          <w:szCs w:val="28"/>
          <w:lang w:val="pt-BR"/>
        </w:rPr>
        <w:t>- Chi phí thiết kế bản vẽ thi công – dự toán được tính trọn gói theo khối lượng mời thầu và đơn giá do nhà thầu đề xuất.</w:t>
      </w:r>
    </w:p>
    <w:p w14:paraId="2DD48C37" w14:textId="77777777" w:rsidR="000A1679" w:rsidRPr="00AF0148" w:rsidRDefault="000A1679" w:rsidP="000A1679">
      <w:pPr>
        <w:shd w:val="clear" w:color="auto" w:fill="FFFFFF"/>
        <w:spacing w:before="60" w:after="60"/>
        <w:ind w:firstLine="709"/>
        <w:rPr>
          <w:iCs/>
          <w:color w:val="000000"/>
          <w:sz w:val="28"/>
          <w:szCs w:val="28"/>
          <w:lang w:val="it-IT"/>
        </w:rPr>
      </w:pPr>
      <w:r w:rsidRPr="00AF0148">
        <w:rPr>
          <w:b/>
          <w:bCs/>
          <w:iCs/>
          <w:color w:val="000000"/>
          <w:spacing w:val="-12"/>
          <w:sz w:val="28"/>
          <w:szCs w:val="28"/>
          <w:lang w:val="it-IT"/>
        </w:rPr>
        <w:t xml:space="preserve">3. </w:t>
      </w:r>
      <w:r w:rsidRPr="00AF0148">
        <w:rPr>
          <w:b/>
          <w:bCs/>
          <w:iCs/>
          <w:color w:val="000000"/>
          <w:sz w:val="28"/>
          <w:szCs w:val="28"/>
          <w:lang w:val="it-IT"/>
        </w:rPr>
        <w:t>Dự kiến thời gian chuyên gia bắt đầu thực hiện DVTV:</w:t>
      </w:r>
      <w:r w:rsidRPr="00AF0148">
        <w:rPr>
          <w:bCs/>
          <w:iCs/>
          <w:color w:val="000000"/>
          <w:sz w:val="28"/>
          <w:szCs w:val="28"/>
          <w:lang w:val="it-IT"/>
        </w:rPr>
        <w:t xml:space="preserve"> Ngay sau khi hợp đồng tư vấn được ký kết có hiệu lực.</w:t>
      </w:r>
    </w:p>
    <w:p w14:paraId="4E13EAFA" w14:textId="77777777" w:rsidR="000A1679" w:rsidRPr="00AF0148" w:rsidRDefault="000A1679" w:rsidP="000A1679">
      <w:pPr>
        <w:widowControl w:val="0"/>
        <w:tabs>
          <w:tab w:val="left" w:pos="720"/>
        </w:tabs>
        <w:snapToGrid w:val="0"/>
        <w:spacing w:before="120"/>
        <w:ind w:firstLine="709"/>
        <w:outlineLvl w:val="3"/>
        <w:rPr>
          <w:sz w:val="28"/>
          <w:szCs w:val="28"/>
          <w:lang w:val="it-IT"/>
        </w:rPr>
      </w:pPr>
      <w:r w:rsidRPr="00AF0148">
        <w:rPr>
          <w:b/>
          <w:sz w:val="28"/>
          <w:szCs w:val="28"/>
          <w:lang w:val="it-IT"/>
        </w:rPr>
        <w:t xml:space="preserve">- </w:t>
      </w:r>
      <w:r w:rsidRPr="00AF0148">
        <w:rPr>
          <w:sz w:val="28"/>
          <w:szCs w:val="28"/>
          <w:lang w:val="it-IT"/>
        </w:rPr>
        <w:t>Nhà thầu sẽ đưa ra phương án thực hiện cho mình trong đó đề xuất tiến độ thực hiện chi tiết cho mỗi phần công việc tư vấn.</w:t>
      </w:r>
    </w:p>
    <w:p w14:paraId="6D2A6038" w14:textId="77777777" w:rsidR="000A1679" w:rsidRPr="000A1679" w:rsidRDefault="000A1679" w:rsidP="000A1679">
      <w:pPr>
        <w:shd w:val="clear" w:color="auto" w:fill="FFFFFF"/>
        <w:spacing w:before="60" w:after="60"/>
        <w:ind w:firstLine="709"/>
        <w:rPr>
          <w:color w:val="000000" w:themeColor="text1"/>
          <w:sz w:val="28"/>
          <w:szCs w:val="28"/>
        </w:rPr>
      </w:pPr>
      <w:r w:rsidRPr="00AF0148">
        <w:rPr>
          <w:b/>
          <w:color w:val="000000"/>
          <w:sz w:val="28"/>
          <w:szCs w:val="28"/>
          <w:lang w:val="it-IT"/>
        </w:rPr>
        <w:t>III. Báo cáo và thời gian thực hiện:</w:t>
      </w:r>
      <w:r w:rsidRPr="00AF0148">
        <w:rPr>
          <w:sz w:val="28"/>
          <w:szCs w:val="28"/>
        </w:rPr>
        <w:t xml:space="preserve"> </w:t>
      </w:r>
      <w:r w:rsidRPr="00AF0148">
        <w:rPr>
          <w:color w:val="000000"/>
          <w:sz w:val="28"/>
          <w:szCs w:val="28"/>
        </w:rPr>
        <w:t xml:space="preserve">Thời gian hoàn </w:t>
      </w:r>
      <w:r w:rsidRPr="000A1679">
        <w:rPr>
          <w:color w:val="000000" w:themeColor="text1"/>
          <w:sz w:val="28"/>
          <w:szCs w:val="28"/>
        </w:rPr>
        <w:t xml:space="preserve">thành là 75 ngày </w:t>
      </w:r>
    </w:p>
    <w:p w14:paraId="0DBA37A9" w14:textId="77777777" w:rsidR="000A1679" w:rsidRPr="00AF0148" w:rsidRDefault="000A1679" w:rsidP="000A1679">
      <w:pPr>
        <w:shd w:val="clear" w:color="auto" w:fill="FFFFFF"/>
        <w:spacing w:before="60" w:after="60"/>
        <w:ind w:firstLine="709"/>
        <w:rPr>
          <w:b/>
          <w:iCs/>
          <w:color w:val="000000"/>
          <w:sz w:val="28"/>
          <w:szCs w:val="28"/>
          <w:lang w:val="it-IT"/>
        </w:rPr>
      </w:pPr>
      <w:r w:rsidRPr="00AF0148">
        <w:rPr>
          <w:b/>
          <w:iCs/>
          <w:color w:val="000000"/>
          <w:sz w:val="28"/>
          <w:szCs w:val="28"/>
          <w:lang w:val="it-IT"/>
        </w:rPr>
        <w:t>IV. Kinh nghiệm và nhân sự của nhà thầu:</w:t>
      </w:r>
    </w:p>
    <w:p w14:paraId="3BF616DA" w14:textId="77777777" w:rsidR="000A1679" w:rsidRPr="00AF0148" w:rsidRDefault="000A1679" w:rsidP="000A1679">
      <w:pPr>
        <w:shd w:val="clear" w:color="auto" w:fill="FFFFFF"/>
        <w:spacing w:before="60" w:after="60"/>
        <w:ind w:firstLine="709"/>
        <w:rPr>
          <w:iCs/>
          <w:color w:val="000000"/>
          <w:sz w:val="28"/>
          <w:szCs w:val="28"/>
          <w:lang w:val="it-IT"/>
        </w:rPr>
      </w:pPr>
      <w:r w:rsidRPr="00AF0148">
        <w:rPr>
          <w:iCs/>
          <w:color w:val="000000"/>
          <w:sz w:val="28"/>
          <w:szCs w:val="28"/>
          <w:lang w:val="it-IT"/>
        </w:rPr>
        <w:lastRenderedPageBreak/>
        <w:t>Yêu cầu về nhân sự cần thiết cho gói thầu và cho từng vị trí:</w:t>
      </w:r>
      <w:r w:rsidRPr="00AF0148">
        <w:rPr>
          <w:iCs/>
          <w:sz w:val="28"/>
          <w:szCs w:val="28"/>
        </w:rPr>
        <w:t xml:space="preserve"> </w:t>
      </w:r>
      <w:r w:rsidRPr="00AF0148">
        <w:rPr>
          <w:iCs/>
          <w:color w:val="000000"/>
          <w:sz w:val="28"/>
          <w:szCs w:val="28"/>
          <w:lang w:val="it-IT"/>
        </w:rPr>
        <w:t>Nhà thầu bố trí nhân sự theo yêu cầu của HSMT để thực hiện gói thầu.</w:t>
      </w:r>
    </w:p>
    <w:p w14:paraId="6AD77578" w14:textId="77777777" w:rsidR="000A1679" w:rsidRPr="00AF0148" w:rsidRDefault="000A1679" w:rsidP="000A1679">
      <w:pPr>
        <w:autoSpaceDE w:val="0"/>
        <w:autoSpaceDN w:val="0"/>
        <w:adjustRightInd w:val="0"/>
        <w:spacing w:before="120"/>
        <w:ind w:firstLine="709"/>
        <w:rPr>
          <w:b/>
          <w:bCs/>
          <w:sz w:val="28"/>
          <w:szCs w:val="28"/>
        </w:rPr>
      </w:pPr>
      <w:r w:rsidRPr="00AF0148">
        <w:rPr>
          <w:b/>
          <w:color w:val="000000"/>
          <w:sz w:val="28"/>
          <w:szCs w:val="28"/>
          <w:lang w:val="it-IT"/>
        </w:rPr>
        <w:t>V. Trách nhiệm của Chủ đầu tư:</w:t>
      </w:r>
      <w:r w:rsidRPr="00AF0148">
        <w:rPr>
          <w:iCs/>
          <w:sz w:val="28"/>
          <w:szCs w:val="28"/>
        </w:rPr>
        <w:t xml:space="preserve">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14:paraId="66C27959" w14:textId="77777777" w:rsidR="000A1679" w:rsidRPr="00AF0148" w:rsidRDefault="000A1679" w:rsidP="000A1679">
      <w:pPr>
        <w:widowControl w:val="0"/>
        <w:spacing w:before="60" w:after="60"/>
        <w:rPr>
          <w:sz w:val="28"/>
          <w:szCs w:val="28"/>
          <w:highlight w:val="yellow"/>
          <w:lang w:val="it-IT"/>
        </w:rPr>
      </w:pPr>
    </w:p>
    <w:p w14:paraId="4DB635CE" w14:textId="77777777" w:rsidR="000A1679" w:rsidRPr="00AF0148" w:rsidRDefault="000A1679" w:rsidP="000A1679">
      <w:pPr>
        <w:pStyle w:val="Heading1"/>
        <w:rPr>
          <w:rFonts w:ascii="Times New Roman" w:hAnsi="Times New Roman"/>
          <w:szCs w:val="28"/>
          <w:highlight w:val="yellow"/>
          <w:lang w:val="it-IT"/>
        </w:rPr>
      </w:pPr>
      <w:bookmarkStart w:id="17" w:name="_Toc248136578"/>
      <w:bookmarkStart w:id="18" w:name="_Toc248137063"/>
      <w:bookmarkStart w:id="19" w:name="_Toc397006918"/>
      <w:bookmarkStart w:id="20" w:name="_Toc397008987"/>
      <w:bookmarkStart w:id="21" w:name="_Toc397009073"/>
      <w:r w:rsidRPr="00AF0148">
        <w:rPr>
          <w:rFonts w:ascii="Times New Roman" w:hAnsi="Times New Roman"/>
          <w:szCs w:val="28"/>
          <w:highlight w:val="yellow"/>
          <w:lang w:val="it-IT"/>
        </w:rPr>
        <w:br w:type="page"/>
      </w:r>
      <w:bookmarkEnd w:id="17"/>
      <w:bookmarkEnd w:id="18"/>
      <w:bookmarkEnd w:id="19"/>
      <w:bookmarkEnd w:id="20"/>
      <w:bookmarkEnd w:id="21"/>
    </w:p>
    <w:p w14:paraId="6E99D99E" w14:textId="77777777" w:rsidR="00512388" w:rsidRDefault="00512388"/>
    <w:sectPr w:rsidR="00512388" w:rsidSect="00B655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79"/>
    <w:rsid w:val="000A1679"/>
    <w:rsid w:val="00512388"/>
    <w:rsid w:val="00642CA6"/>
    <w:rsid w:val="006942BE"/>
    <w:rsid w:val="00883700"/>
    <w:rsid w:val="00A2546F"/>
    <w:rsid w:val="00B6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D99"/>
  <w15:chartTrackingRefBased/>
  <w15:docId w15:val="{86B6AF5F-19A7-4E90-A788-E04BCABD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79"/>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0A167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167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167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167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A167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A167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A167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A167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A167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A16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6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6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6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16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16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6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6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6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67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1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67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16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67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A1679"/>
    <w:rPr>
      <w:i/>
      <w:iCs/>
      <w:color w:val="404040" w:themeColor="text1" w:themeTint="BF"/>
    </w:rPr>
  </w:style>
  <w:style w:type="paragraph" w:styleId="ListParagraph">
    <w:name w:val="List Paragraph"/>
    <w:basedOn w:val="Normal"/>
    <w:uiPriority w:val="34"/>
    <w:qFormat/>
    <w:rsid w:val="000A167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A1679"/>
    <w:rPr>
      <w:i/>
      <w:iCs/>
      <w:color w:val="2F5496" w:themeColor="accent1" w:themeShade="BF"/>
    </w:rPr>
  </w:style>
  <w:style w:type="paragraph" w:styleId="IntenseQuote">
    <w:name w:val="Intense Quote"/>
    <w:basedOn w:val="Normal"/>
    <w:next w:val="Normal"/>
    <w:link w:val="IntenseQuoteChar"/>
    <w:uiPriority w:val="30"/>
    <w:qFormat/>
    <w:rsid w:val="000A167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A1679"/>
    <w:rPr>
      <w:i/>
      <w:iCs/>
      <w:color w:val="2F5496" w:themeColor="accent1" w:themeShade="BF"/>
    </w:rPr>
  </w:style>
  <w:style w:type="character" w:styleId="IntenseReference">
    <w:name w:val="Intense Reference"/>
    <w:basedOn w:val="DefaultParagraphFont"/>
    <w:uiPriority w:val="32"/>
    <w:qFormat/>
    <w:rsid w:val="000A1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2025-11-06T04:09:00Z</dcterms:created>
  <dcterms:modified xsi:type="dcterms:W3CDTF">2025-11-06T04:10:00Z</dcterms:modified>
</cp:coreProperties>
</file>