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EF" w:rsidRPr="00FD3DEF" w:rsidRDefault="00FD3DEF" w:rsidP="00FD3DEF">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FD3DEF">
        <w:rPr>
          <w:rFonts w:ascii="Times New Roman" w:eastAsia="Batang" w:hAnsi="Times New Roman" w:cs="Times New Roman"/>
          <w:b/>
          <w:bCs/>
          <w:iCs/>
          <w:noProof/>
          <w:kern w:val="36"/>
          <w:sz w:val="28"/>
          <w:szCs w:val="28"/>
          <w:lang w:val="nl-NL"/>
        </w:rPr>
        <w:t xml:space="preserve">Mục </w:t>
      </w:r>
      <w:r w:rsidRPr="00FD3DEF">
        <w:rPr>
          <w:rFonts w:ascii="Times New Roman" w:eastAsia="Batang" w:hAnsi="Times New Roman" w:cs="Times New Roman"/>
          <w:b/>
          <w:bCs/>
          <w:iCs/>
          <w:noProof/>
          <w:kern w:val="36"/>
          <w:sz w:val="28"/>
          <w:szCs w:val="28"/>
          <w:lang w:val="pl-PL"/>
        </w:rPr>
        <w:t>3</w:t>
      </w:r>
      <w:r w:rsidRPr="00FD3DEF">
        <w:rPr>
          <w:rFonts w:ascii="Times New Roman" w:eastAsia="Batang" w:hAnsi="Times New Roman" w:cs="Times New Roman"/>
          <w:b/>
          <w:bCs/>
          <w:iCs/>
          <w:noProof/>
          <w:kern w:val="36"/>
          <w:sz w:val="28"/>
          <w:szCs w:val="28"/>
          <w:lang w:val="nl-NL"/>
        </w:rPr>
        <w:t>. Tiêu chuẩn đánh giá về kỹ thuật</w:t>
      </w:r>
    </w:p>
    <w:p w:rsidR="00FD3DEF" w:rsidRPr="00FD3DEF" w:rsidRDefault="00FD3DEF" w:rsidP="00FD3DEF">
      <w:pPr>
        <w:spacing w:before="80" w:after="80" w:line="264" w:lineRule="auto"/>
        <w:ind w:firstLine="709"/>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b/>
          <w:iCs/>
          <w:sz w:val="28"/>
          <w:szCs w:val="28"/>
          <w:lang w:val="es-ES"/>
        </w:rPr>
        <w:t>3.2. Đánh giá theo phương pháp</w:t>
      </w:r>
      <w:r w:rsidRPr="00FD3DEF" w:rsidDel="00BE4476">
        <w:rPr>
          <w:rFonts w:ascii="Times New Roman" w:eastAsia="Times New Roman" w:hAnsi="Times New Roman" w:cs="Times New Roman"/>
          <w:b/>
          <w:iCs/>
          <w:sz w:val="28"/>
          <w:szCs w:val="28"/>
          <w:lang w:val="es-ES"/>
        </w:rPr>
        <w:t xml:space="preserve"> </w:t>
      </w:r>
      <w:r w:rsidRPr="00FD3DEF">
        <w:rPr>
          <w:rFonts w:ascii="Times New Roman" w:eastAsia="Times New Roman" w:hAnsi="Times New Roman" w:cs="Times New Roman"/>
          <w:b/>
          <w:iCs/>
          <w:sz w:val="28"/>
          <w:szCs w:val="28"/>
          <w:lang w:val="es-ES"/>
        </w:rPr>
        <w:t>đạt/không đạt</w:t>
      </w:r>
      <w:r w:rsidRPr="00FD3DEF">
        <w:rPr>
          <w:rFonts w:ascii="Times New Roman" w:eastAsia="Times New Roman" w:hAnsi="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FD3DEF" w:rsidRPr="00FD3DEF" w:rsidTr="004D5B71">
        <w:tc>
          <w:tcPr>
            <w:tcW w:w="7694" w:type="dxa"/>
            <w:gridSpan w:val="2"/>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lang w:val="es-ES"/>
              </w:rPr>
              <w:t>Sử dụng tiêu chí đạt, không đạt</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lang w:val="es-ES"/>
              </w:rPr>
              <w:t>Sử dụng tiêu chí</w:t>
            </w:r>
          </w:p>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lang w:val="es-ES"/>
              </w:rPr>
              <w:t>đạt, không đạt</w:t>
            </w:r>
          </w:p>
        </w:tc>
      </w:tr>
      <w:tr w:rsidR="00FD3DEF" w:rsidRPr="00FD3DEF" w:rsidTr="004D5B71">
        <w:tc>
          <w:tcPr>
            <w:tcW w:w="9061" w:type="dxa"/>
            <w:gridSpan w:val="3"/>
            <w:vAlign w:val="center"/>
          </w:tcPr>
          <w:p w:rsidR="00FD3DEF" w:rsidRPr="00FD3DEF" w:rsidRDefault="00FD3DEF" w:rsidP="00FD3DEF">
            <w:pPr>
              <w:spacing w:before="80" w:after="80" w:line="264" w:lineRule="auto"/>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lang w:val="es-ES"/>
              </w:rPr>
              <w:t>1. Đặc tính kỹ thuật của hàng hóa</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Tính hợp lệ của hàng hóa dự thầu</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Hàng hóa có đề xuất đủ: Ký mã hiệu, nhãn hiệu, xuất xứ, nhà sản xuất.</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rPr>
            </w:pPr>
            <w:r w:rsidRPr="00FD3DEF">
              <w:rPr>
                <w:rFonts w:ascii="Times New Roman" w:eastAsia="Times New Roman" w:hAnsi="Times New Roman" w:cs="Times New Roman"/>
                <w:b/>
                <w:sz w:val="28"/>
                <w:szCs w:val="28"/>
              </w:rPr>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rPr>
            </w:pPr>
            <w:r w:rsidRPr="00FD3DEF">
              <w:rPr>
                <w:rFonts w:ascii="Times New Roman" w:eastAsia="Times New Roman" w:hAnsi="Times New Roman" w:cs="Times New Roman"/>
                <w:sz w:val="28"/>
                <w:szCs w:val="28"/>
              </w:rPr>
              <w:t>Hàng hóa không đề xuất đủ: Ký mã hiệu, nhãn mác sản phẩm, nguồn gốc, xuất xứ</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rPr>
            </w:pPr>
            <w:r w:rsidRPr="00FD3DEF">
              <w:rPr>
                <w:rFonts w:ascii="Times New Roman" w:eastAsia="Times New Roman" w:hAnsi="Times New Roman" w:cs="Times New Roman"/>
                <w:b/>
                <w:sz w:val="28"/>
                <w:szCs w:val="28"/>
              </w:rPr>
              <w:t>Không đạt</w:t>
            </w:r>
          </w:p>
        </w:tc>
      </w:tr>
      <w:tr w:rsidR="00FD3DEF" w:rsidRPr="00FD3DEF" w:rsidTr="004D5B71">
        <w:tc>
          <w:tcPr>
            <w:tcW w:w="301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Đặc tính, thông số kỹ thuật của hàng hóa.</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Đạt</w:t>
            </w:r>
          </w:p>
        </w:tc>
      </w:tr>
      <w:tr w:rsidR="00FD3DEF" w:rsidRPr="00FD3DEF" w:rsidTr="004D5B71">
        <w:tc>
          <w:tcPr>
            <w:tcW w:w="301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Không đáp ứng các yêu cầu trên</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Không đạt</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Chất lượng hàng hóa</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Nhà thầu đính kèm bản scan từ bản gốc các hồ sơ sau:</w:t>
            </w:r>
          </w:p>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 xml:space="preserve">Phiếu kiểm nghiệm các loại vải của Trung tâm thí nghiệm dệt may thuộc phân viện dệt may Việt Nam đáp ứng các yêu cầu về đặc tính kỹ thuật theo yêu cầu tại Mục 1.2, Chương V, EHSMT. </w:t>
            </w:r>
          </w:p>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Nhà thầu nộp chứng nhận ISO 9001:2015 Hệ thống quản lý chất lượng, ISO 14001:2015 Hệ thống quản lý môi trường.</w:t>
            </w:r>
          </w:p>
          <w:p w:rsidR="00FD3DEF" w:rsidRPr="00FD3DEF" w:rsidRDefault="00FD3DEF" w:rsidP="00FD3DEF">
            <w:pPr>
              <w:spacing w:before="80" w:after="80" w:line="264" w:lineRule="auto"/>
              <w:jc w:val="both"/>
              <w:rPr>
                <w:rFonts w:ascii="Times New Roman" w:eastAsia="Times New Roman" w:hAnsi="Times New Roman" w:cs="Times New Roman"/>
                <w:b/>
                <w:sz w:val="28"/>
                <w:szCs w:val="28"/>
                <w:lang w:val="es-ES"/>
              </w:rPr>
            </w:pPr>
            <w:r w:rsidRPr="00FD3DEF">
              <w:rPr>
                <w:rFonts w:ascii="Times New Roman" w:eastAsia="Times New Roman" w:hAnsi="Times New Roman" w:cs="Times New Roman"/>
                <w:sz w:val="28"/>
                <w:szCs w:val="28"/>
                <w:lang w:val="es-ES"/>
              </w:rPr>
              <w:lastRenderedPageBreak/>
              <w:t xml:space="preserve">- Đối với sản phẩm là quần áo đính kèm tài liệu chứng minh sản phẩm phù hợp QCVN 01:2017/BTC Quy chuẩn kỹ thuật quốc gia về mức giới hạn hàm lượng formaldehyt và các amin thơm chuyển hóa từ thuốc nhuộm azo trong sản phẩm dệt may. </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rPr>
            </w:pPr>
            <w:r w:rsidRPr="00FD3DEF">
              <w:rPr>
                <w:rFonts w:ascii="Times New Roman" w:eastAsia="Times New Roman" w:hAnsi="Times New Roman" w:cs="Times New Roman"/>
                <w:b/>
                <w:sz w:val="28"/>
                <w:szCs w:val="28"/>
              </w:rPr>
              <w:lastRenderedPageBreak/>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Nhà thầu không có đầy đủ các nội dung nêu trên</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rPr>
            </w:pPr>
            <w:r w:rsidRPr="00FD3DEF">
              <w:rPr>
                <w:rFonts w:ascii="Times New Roman" w:eastAsia="Times New Roman" w:hAnsi="Times New Roman" w:cs="Times New Roman"/>
                <w:b/>
                <w:sz w:val="28"/>
                <w:szCs w:val="28"/>
              </w:rPr>
              <w:t>Không đạt</w:t>
            </w:r>
          </w:p>
        </w:tc>
      </w:tr>
      <w:tr w:rsidR="00FD3DEF" w:rsidRPr="00FD3DEF" w:rsidTr="004D5B71">
        <w:tc>
          <w:tcPr>
            <w:tcW w:w="9061" w:type="dxa"/>
            <w:gridSpan w:val="3"/>
            <w:vAlign w:val="center"/>
          </w:tcPr>
          <w:p w:rsidR="00FD3DEF" w:rsidRPr="00FD3DEF" w:rsidRDefault="00FD3DEF" w:rsidP="00FD3DEF">
            <w:pPr>
              <w:spacing w:before="80" w:after="80" w:line="264" w:lineRule="auto"/>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2. Tiến độ, dịch vụ cung cấp hàng hóa</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Thời gian thực hiện gói thầu</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 30 ngày</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&gt; 30 ngày</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Không đạt</w:t>
            </w:r>
          </w:p>
        </w:tc>
      </w:tr>
      <w:tr w:rsidR="00FD3DEF" w:rsidRPr="00FD3DEF" w:rsidTr="004D5B71">
        <w:tc>
          <w:tcPr>
            <w:tcW w:w="9061" w:type="dxa"/>
            <w:gridSpan w:val="3"/>
            <w:vAlign w:val="center"/>
          </w:tcPr>
          <w:p w:rsidR="00FD3DEF" w:rsidRPr="00FD3DEF" w:rsidRDefault="00FD3DEF" w:rsidP="00FD3DEF">
            <w:pPr>
              <w:spacing w:before="80" w:after="80" w:line="264" w:lineRule="auto"/>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3. Các cam kết</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Các bản cam kết theo Mục 3, Chương V. Yêu cầu về kỹ thuật.</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Không đạt</w:t>
            </w:r>
          </w:p>
        </w:tc>
      </w:tr>
      <w:tr w:rsidR="00FD3DEF" w:rsidRPr="00FD3DEF" w:rsidTr="004D5B71">
        <w:tc>
          <w:tcPr>
            <w:tcW w:w="9061" w:type="dxa"/>
            <w:gridSpan w:val="3"/>
            <w:vAlign w:val="center"/>
          </w:tcPr>
          <w:p w:rsidR="00FD3DEF" w:rsidRPr="00FD3DEF" w:rsidRDefault="00FD3DEF" w:rsidP="00FD3DEF">
            <w:pPr>
              <w:spacing w:before="80" w:after="80" w:line="264" w:lineRule="auto"/>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lang w:val="es-ES"/>
              </w:rPr>
              <w:t xml:space="preserve">4. </w:t>
            </w:r>
            <w:r w:rsidRPr="00FD3DEF">
              <w:rPr>
                <w:rFonts w:ascii="Times New Roman" w:eastAsia="Times New Roman" w:hAnsi="Times New Roman" w:cs="Times New Roman"/>
                <w:b/>
                <w:sz w:val="28"/>
                <w:szCs w:val="28"/>
              </w:rPr>
              <w:t>Giải pháp kỹ thuật, biện pháp tổ chức cung cấp hàng hóa</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 xml:space="preserve">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w:t>
            </w:r>
            <w:r w:rsidRPr="00FD3DEF">
              <w:rPr>
                <w:rFonts w:ascii="Times New Roman" w:eastAsia="Times New Roman" w:hAnsi="Times New Roman" w:cs="Times New Roman"/>
                <w:sz w:val="28"/>
                <w:szCs w:val="28"/>
              </w:rPr>
              <w:lastRenderedPageBreak/>
              <w:t>phương pháp kiểm tra chất lượng hàng hóa trước khi giao hàng và tiến hành cung cấp cho chủ đầu tư.</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lastRenderedPageBreak/>
              <w:t>Có các giải pháp kỹ thuật, biện pháp tổ chức cung cấp hàng hóa hợp lý và hiệu quả kinh tế theo yêu cầu của E-HSMT.</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Không đạt</w:t>
            </w:r>
          </w:p>
        </w:tc>
      </w:tr>
      <w:tr w:rsidR="00FD3DEF" w:rsidRPr="00FD3DEF" w:rsidTr="004D5B71">
        <w:tc>
          <w:tcPr>
            <w:tcW w:w="9061" w:type="dxa"/>
            <w:gridSpan w:val="3"/>
            <w:vAlign w:val="center"/>
          </w:tcPr>
          <w:p w:rsidR="00FD3DEF" w:rsidRPr="00FD3DEF" w:rsidRDefault="00FD3DEF" w:rsidP="00FD3DEF">
            <w:pPr>
              <w:spacing w:before="80" w:after="80" w:line="264" w:lineRule="auto"/>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lastRenderedPageBreak/>
              <w:t>5. Bảo hành</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Bảo hành, hỗ trợ kỹ thuật đối với hàng hóa.</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rPr>
              <w:t>- Có cam kết bảo hành sản phẩm, thời gian bảo hành ≥ 12 tháng.</w:t>
            </w:r>
            <w:r w:rsidRPr="00FD3DEF">
              <w:rPr>
                <w:rFonts w:ascii="Times New Roman" w:eastAsia="Times New Roman" w:hAnsi="Times New Roman" w:cs="Times New Roman"/>
                <w:sz w:val="28"/>
                <w:szCs w:val="28"/>
              </w:rPr>
              <w:br/>
              <w:t>- Có cam kết sửa chữa, thay thế sản phẩm bị lỗi, thời gian sửa chữa, thay thế ≤ 15 ngày kể từ ngày có yêu cầu.</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Không đá</w:t>
            </w:r>
            <w:bookmarkStart w:id="0" w:name="_GoBack"/>
            <w:bookmarkEnd w:id="0"/>
            <w:r w:rsidRPr="00FD3DEF">
              <w:rPr>
                <w:rFonts w:ascii="Times New Roman" w:eastAsia="Times New Roman" w:hAnsi="Times New Roman" w:cs="Times New Roman"/>
                <w:sz w:val="28"/>
                <w:szCs w:val="28"/>
                <w:lang w:val="es-ES"/>
              </w:rPr>
              <w:t>p ứng yêu cầu trên</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lang w:val="es-ES"/>
              </w:rPr>
            </w:pPr>
            <w:r w:rsidRPr="00FD3DEF">
              <w:rPr>
                <w:rFonts w:ascii="Times New Roman" w:eastAsia="Times New Roman" w:hAnsi="Times New Roman" w:cs="Times New Roman"/>
                <w:b/>
                <w:sz w:val="28"/>
                <w:szCs w:val="28"/>
              </w:rPr>
              <w:t>Không đạt</w:t>
            </w:r>
          </w:p>
        </w:tc>
      </w:tr>
      <w:tr w:rsidR="00FD3DEF" w:rsidRPr="00FD3DEF" w:rsidTr="004D5B71">
        <w:tc>
          <w:tcPr>
            <w:tcW w:w="9061" w:type="dxa"/>
            <w:gridSpan w:val="3"/>
            <w:vAlign w:val="center"/>
          </w:tcPr>
          <w:p w:rsidR="00FD3DEF" w:rsidRPr="00FD3DEF" w:rsidRDefault="00FD3DEF" w:rsidP="00FD3DEF">
            <w:pPr>
              <w:spacing w:before="80" w:after="80" w:line="264" w:lineRule="auto"/>
              <w:rPr>
                <w:rFonts w:ascii="Times New Roman" w:eastAsia="Times New Roman" w:hAnsi="Times New Roman" w:cs="Times New Roman"/>
                <w:b/>
                <w:bCs/>
                <w:sz w:val="28"/>
                <w:szCs w:val="28"/>
              </w:rPr>
            </w:pPr>
            <w:r w:rsidRPr="00FD3DEF">
              <w:rPr>
                <w:rFonts w:ascii="Times New Roman" w:eastAsia="Times New Roman" w:hAnsi="Times New Roman" w:cs="Times New Roman"/>
                <w:b/>
                <w:bCs/>
                <w:sz w:val="28"/>
                <w:szCs w:val="28"/>
                <w:lang w:val="es-ES"/>
              </w:rPr>
              <w:t>6. Uy tín nhà thầu</w:t>
            </w:r>
          </w:p>
        </w:tc>
      </w:tr>
      <w:tr w:rsidR="00FD3DEF" w:rsidRPr="00FD3DEF" w:rsidTr="004D5B71">
        <w:tc>
          <w:tcPr>
            <w:tcW w:w="3012" w:type="dxa"/>
            <w:vMerge w:val="restart"/>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Kết quả thực hiện hợp đồng của nhà thầu đối với gói thầu cung cấp hàng hóa, EPC, EP, PC, chìa khóa trao và chất lượng hàng hóa đã sử dụng</w:t>
            </w: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6"/>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rPr>
            </w:pPr>
            <w:r w:rsidRPr="00FD3DEF">
              <w:rPr>
                <w:rFonts w:ascii="Times New Roman" w:eastAsia="Times New Roman" w:hAnsi="Times New Roman" w:cs="Times New Roman"/>
                <w:b/>
                <w:sz w:val="28"/>
                <w:szCs w:val="28"/>
              </w:rPr>
              <w:t>Đạt</w:t>
            </w:r>
          </w:p>
        </w:tc>
      </w:tr>
      <w:tr w:rsidR="00FD3DEF" w:rsidRPr="00FD3DEF" w:rsidTr="004D5B71">
        <w:tc>
          <w:tcPr>
            <w:tcW w:w="3012" w:type="dxa"/>
            <w:vMerge/>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FD3DEF" w:rsidRPr="00FD3DEF" w:rsidRDefault="00FD3DEF" w:rsidP="00FD3DEF">
            <w:pPr>
              <w:spacing w:before="80" w:after="80" w:line="264" w:lineRule="auto"/>
              <w:jc w:val="both"/>
              <w:rPr>
                <w:rFonts w:ascii="Times New Roman" w:eastAsia="Times New Roman" w:hAnsi="Times New Roman" w:cs="Times New Roman"/>
                <w:sz w:val="28"/>
                <w:szCs w:val="28"/>
                <w:lang w:val="es-ES"/>
              </w:rPr>
            </w:pPr>
            <w:r w:rsidRPr="00FD3DEF">
              <w:rPr>
                <w:rFonts w:ascii="Times New Roman" w:eastAsia="Times New Roman" w:hAnsi="Times New Roman" w:cs="Times New Roman"/>
                <w:sz w:val="28"/>
                <w:szCs w:val="28"/>
                <w:lang w:val="es-ES"/>
              </w:rPr>
              <w:t>Không đáp ứng yêu cầu trên</w:t>
            </w:r>
          </w:p>
        </w:tc>
        <w:tc>
          <w:tcPr>
            <w:tcW w:w="1367" w:type="dxa"/>
            <w:vAlign w:val="center"/>
          </w:tcPr>
          <w:p w:rsidR="00FD3DEF" w:rsidRPr="00FD3DEF" w:rsidRDefault="00FD3DEF" w:rsidP="00FD3DEF">
            <w:pPr>
              <w:spacing w:before="80" w:after="80" w:line="264" w:lineRule="auto"/>
              <w:jc w:val="center"/>
              <w:rPr>
                <w:rFonts w:ascii="Times New Roman" w:eastAsia="Times New Roman" w:hAnsi="Times New Roman" w:cs="Times New Roman"/>
                <w:b/>
                <w:sz w:val="28"/>
                <w:szCs w:val="28"/>
              </w:rPr>
            </w:pPr>
            <w:r w:rsidRPr="00FD3DEF">
              <w:rPr>
                <w:rFonts w:ascii="Times New Roman" w:eastAsia="Times New Roman" w:hAnsi="Times New Roman" w:cs="Times New Roman"/>
                <w:b/>
                <w:sz w:val="28"/>
                <w:szCs w:val="28"/>
              </w:rPr>
              <w:t>Không đạt</w:t>
            </w:r>
          </w:p>
        </w:tc>
      </w:tr>
    </w:tbl>
    <w:p w:rsidR="00351B1B" w:rsidRPr="00FD3DEF" w:rsidRDefault="00FD3DEF">
      <w:r w:rsidRPr="00FD3DEF">
        <w:rPr>
          <w:rFonts w:ascii="Times New Roman" w:eastAsia="Times New Roman" w:hAnsi="Times New Roman" w:cs="Times New Roman"/>
          <w:sz w:val="28"/>
          <w:szCs w:val="28"/>
          <w:lang w:val="es-ES"/>
        </w:rPr>
        <w:tab/>
      </w:r>
      <w:r w:rsidRPr="00FD3DEF">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351B1B" w:rsidRPr="00FD3D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EF"/>
    <w:rsid w:val="00351B1B"/>
    <w:rsid w:val="00FD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92D6C-91FD-4736-BF2A-D6A2F453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2025-11-13T01:20:00Z</dcterms:created>
  <dcterms:modified xsi:type="dcterms:W3CDTF">2025-11-13T01:20:00Z</dcterms:modified>
</cp:coreProperties>
</file>