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944CCD"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944CCD">
        <w:rPr>
          <w:rFonts w:asciiTheme="majorHAnsi" w:hAnsiTheme="majorHAnsi" w:cstheme="majorHAnsi"/>
          <w:b/>
          <w:iCs/>
          <w:color w:val="000000" w:themeColor="text1"/>
          <w:sz w:val="26"/>
          <w:szCs w:val="26"/>
        </w:rPr>
        <w:t>3.2. Đánh giá theo phương pháp</w:t>
      </w:r>
      <w:r w:rsidRPr="00944CCD" w:rsidDel="00BE4476">
        <w:rPr>
          <w:rFonts w:asciiTheme="majorHAnsi" w:hAnsiTheme="majorHAnsi" w:cstheme="majorHAnsi"/>
          <w:b/>
          <w:iCs/>
          <w:color w:val="000000" w:themeColor="text1"/>
          <w:sz w:val="26"/>
          <w:szCs w:val="26"/>
        </w:rPr>
        <w:t xml:space="preserve"> </w:t>
      </w:r>
      <w:r w:rsidRPr="00944CCD">
        <w:rPr>
          <w:rFonts w:asciiTheme="majorHAnsi" w:hAnsiTheme="majorHAnsi" w:cstheme="majorHAnsi"/>
          <w:b/>
          <w:iCs/>
          <w:color w:val="000000" w:themeColor="text1"/>
          <w:sz w:val="26"/>
          <w:szCs w:val="26"/>
        </w:rPr>
        <w:t>đạt/không đạt</w:t>
      </w:r>
      <w:r w:rsidRPr="00944CCD">
        <w:rPr>
          <w:rFonts w:asciiTheme="majorHAnsi" w:hAnsiTheme="majorHAnsi" w:cstheme="majorHAnsi"/>
          <w:b/>
          <w:color w:val="000000" w:themeColor="text1"/>
          <w:sz w:val="26"/>
          <w:szCs w:val="26"/>
        </w:rPr>
        <w:t>:</w:t>
      </w:r>
    </w:p>
    <w:p w14:paraId="5F334136" w14:textId="77777777" w:rsidR="00713673" w:rsidRPr="00944CCD"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944CCD">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944CCD"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944CCD"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713673" w:rsidRPr="00944CCD" w14:paraId="21594645" w14:textId="77777777" w:rsidTr="00944CCD">
        <w:tc>
          <w:tcPr>
            <w:tcW w:w="3374" w:type="dxa"/>
            <w:vAlign w:val="center"/>
          </w:tcPr>
          <w:p w14:paraId="13D8D22B"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155F31" w:rsidRPr="00944CCD" w14:paraId="6702E057" w14:textId="77777777" w:rsidTr="00944CCD">
        <w:tc>
          <w:tcPr>
            <w:tcW w:w="3374" w:type="dxa"/>
            <w:vMerge w:val="restart"/>
            <w:vAlign w:val="center"/>
          </w:tcPr>
          <w:p w14:paraId="78E98B92" w14:textId="10CFF3B6"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1.1. Đối với các vật tư, vật liệu chính (Gạch, ngói, xi măng, cát)</w:t>
            </w:r>
          </w:p>
        </w:tc>
        <w:tc>
          <w:tcPr>
            <w:tcW w:w="4423" w:type="dxa"/>
            <w:vAlign w:val="center"/>
          </w:tcPr>
          <w:p w14:paraId="7ECEC125" w14:textId="710099B8"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Đạt</w:t>
            </w:r>
          </w:p>
        </w:tc>
      </w:tr>
      <w:tr w:rsidR="00155F31" w:rsidRPr="00944CCD" w14:paraId="22C312C4" w14:textId="77777777" w:rsidTr="00944CCD">
        <w:tc>
          <w:tcPr>
            <w:tcW w:w="3374" w:type="dxa"/>
            <w:vMerge/>
            <w:vAlign w:val="center"/>
          </w:tcPr>
          <w:p w14:paraId="74656921" w14:textId="7777777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Không đáp ứng yêu cầu trên</w:t>
            </w:r>
          </w:p>
        </w:tc>
        <w:tc>
          <w:tcPr>
            <w:tcW w:w="1701" w:type="dxa"/>
            <w:vAlign w:val="center"/>
          </w:tcPr>
          <w:p w14:paraId="3489BA76" w14:textId="4810DB15"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Không đạt</w:t>
            </w:r>
          </w:p>
        </w:tc>
      </w:tr>
      <w:tr w:rsidR="00B52F71" w:rsidRPr="00944CCD" w14:paraId="6BE2C280" w14:textId="77777777" w:rsidTr="00944CCD">
        <w:tc>
          <w:tcPr>
            <w:tcW w:w="3374" w:type="dxa"/>
            <w:vMerge w:val="restart"/>
            <w:vAlign w:val="center"/>
          </w:tcPr>
          <w:p w14:paraId="30B3B123" w14:textId="77777777" w:rsidR="00B52F71" w:rsidRPr="00944CCD"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52F71" w:rsidRPr="00944CCD" w14:paraId="708E8413" w14:textId="77777777" w:rsidTr="00944CCD">
        <w:tc>
          <w:tcPr>
            <w:tcW w:w="3374" w:type="dxa"/>
            <w:vMerge/>
            <w:vAlign w:val="center"/>
          </w:tcPr>
          <w:p w14:paraId="754CA63A"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944CCD"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66DBCC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378D48A" w14:textId="77777777" w:rsidTr="00944CCD">
        <w:trPr>
          <w:trHeight w:val="336"/>
        </w:trPr>
        <w:tc>
          <w:tcPr>
            <w:tcW w:w="3402" w:type="dxa"/>
            <w:vMerge w:val="restart"/>
            <w:vAlign w:val="center"/>
          </w:tcPr>
          <w:p w14:paraId="44B38881" w14:textId="77777777" w:rsidR="00713673" w:rsidRPr="00944CCD"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944CCD">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480C6318" w14:textId="77777777" w:rsidTr="00944CCD">
        <w:tc>
          <w:tcPr>
            <w:tcW w:w="3402" w:type="dxa"/>
            <w:vMerge/>
            <w:vAlign w:val="center"/>
          </w:tcPr>
          <w:p w14:paraId="5D7E8766"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Chấp nhận được</w:t>
            </w:r>
          </w:p>
        </w:tc>
      </w:tr>
      <w:tr w:rsidR="00713673" w:rsidRPr="00944CCD" w14:paraId="0D474B87" w14:textId="77777777" w:rsidTr="00944CCD">
        <w:trPr>
          <w:trHeight w:val="1366"/>
        </w:trPr>
        <w:tc>
          <w:tcPr>
            <w:tcW w:w="3402" w:type="dxa"/>
            <w:vMerge/>
            <w:vAlign w:val="center"/>
          </w:tcPr>
          <w:p w14:paraId="1E42727A"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84D5B54" w14:textId="77777777" w:rsidTr="00944CCD">
        <w:trPr>
          <w:trHeight w:val="347"/>
        </w:trPr>
        <w:tc>
          <w:tcPr>
            <w:tcW w:w="3402" w:type="dxa"/>
            <w:vMerge w:val="restart"/>
            <w:vAlign w:val="center"/>
          </w:tcPr>
          <w:p w14:paraId="5482FF44"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395" w:type="dxa"/>
            <w:vAlign w:val="center"/>
          </w:tcPr>
          <w:p w14:paraId="4087BFD3" w14:textId="12A2960C"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121081" w14:textId="77777777" w:rsidTr="00944CCD">
        <w:trPr>
          <w:trHeight w:val="409"/>
        </w:trPr>
        <w:tc>
          <w:tcPr>
            <w:tcW w:w="3402" w:type="dxa"/>
            <w:vMerge/>
            <w:vAlign w:val="center"/>
          </w:tcPr>
          <w:p w14:paraId="4AB5A8CA"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7102020" w14:textId="77777777" w:rsidR="00713673" w:rsidRPr="00944CCD" w:rsidRDefault="00713673" w:rsidP="00713673">
      <w:pPr>
        <w:widowControl w:val="0"/>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3.</w:t>
            </w:r>
            <w:r w:rsidRPr="00944CCD">
              <w:rPr>
                <w:rFonts w:asciiTheme="majorHAnsi" w:hAnsiTheme="majorHAnsi" w:cstheme="majorHAnsi"/>
                <w:color w:val="000000" w:themeColor="text1"/>
                <w:sz w:val="26"/>
                <w:szCs w:val="26"/>
                <w:lang w:val="nl-NL" w:eastAsia="x-none"/>
              </w:rPr>
              <w:t>1.</w:t>
            </w:r>
            <w:r w:rsidRPr="00944CCD">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D5C82B" w14:textId="77777777" w:rsidTr="00944CCD">
        <w:tc>
          <w:tcPr>
            <w:tcW w:w="3402" w:type="dxa"/>
            <w:vMerge/>
            <w:tcBorders>
              <w:top w:val="single" w:sz="4" w:space="0" w:color="auto"/>
            </w:tcBorders>
            <w:vAlign w:val="center"/>
          </w:tcPr>
          <w:p w14:paraId="0A2191A0" w14:textId="77777777" w:rsidR="00713673" w:rsidRPr="00944CCD"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155F31" w:rsidRPr="00944CCD" w14:paraId="4A83C1BD" w14:textId="77777777" w:rsidTr="00944CCD">
        <w:tc>
          <w:tcPr>
            <w:tcW w:w="3402" w:type="dxa"/>
            <w:vMerge w:val="restart"/>
            <w:tcBorders>
              <w:top w:val="single" w:sz="4" w:space="0" w:color="auto"/>
            </w:tcBorders>
            <w:vAlign w:val="center"/>
          </w:tcPr>
          <w:p w14:paraId="3E639EDA" w14:textId="5E492B22"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Đạt</w:t>
            </w:r>
          </w:p>
        </w:tc>
      </w:tr>
      <w:tr w:rsidR="00155F31" w:rsidRPr="00944CCD" w14:paraId="70B357B9" w14:textId="77777777" w:rsidTr="00944CCD">
        <w:tc>
          <w:tcPr>
            <w:tcW w:w="3402" w:type="dxa"/>
            <w:vMerge/>
            <w:vAlign w:val="center"/>
          </w:tcPr>
          <w:p w14:paraId="040B97B6" w14:textId="77777777"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Không đạt</w:t>
            </w:r>
          </w:p>
        </w:tc>
      </w:tr>
      <w:tr w:rsidR="00B7356D" w:rsidRPr="00944CCD" w14:paraId="08190EE1" w14:textId="77777777" w:rsidTr="00944CCD">
        <w:trPr>
          <w:trHeight w:val="566"/>
        </w:trPr>
        <w:tc>
          <w:tcPr>
            <w:tcW w:w="3402" w:type="dxa"/>
            <w:vMerge w:val="restart"/>
            <w:vAlign w:val="center"/>
          </w:tcPr>
          <w:p w14:paraId="5C6CE273" w14:textId="77777777" w:rsidR="00B7356D" w:rsidRPr="00944CCD"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7356D" w:rsidRPr="00944CCD" w14:paraId="50C255C9" w14:textId="77777777" w:rsidTr="00944CCD">
        <w:tc>
          <w:tcPr>
            <w:tcW w:w="3402" w:type="dxa"/>
            <w:vMerge/>
            <w:vAlign w:val="center"/>
          </w:tcPr>
          <w:p w14:paraId="445C9346" w14:textId="77777777" w:rsidR="00B7356D" w:rsidRPr="00944CCD"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4A61EA0B" w14:textId="77777777" w:rsidR="00713673" w:rsidRPr="00944CCD"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56BD7D8" w14:textId="77777777" w:rsidTr="00944CCD">
        <w:trPr>
          <w:trHeight w:val="1082"/>
        </w:trPr>
        <w:tc>
          <w:tcPr>
            <w:tcW w:w="3402" w:type="dxa"/>
            <w:vMerge w:val="restart"/>
            <w:vAlign w:val="center"/>
          </w:tcPr>
          <w:p w14:paraId="1A146703" w14:textId="2142EAEA"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4.1. Tiến độ thi công: đảm bảo thời gian thi công không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5EE2F0E1"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thời gian thi công không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31780AD" w14:textId="77777777" w:rsidTr="00944CCD">
        <w:tc>
          <w:tcPr>
            <w:tcW w:w="3402" w:type="dxa"/>
            <w:vMerge/>
            <w:vAlign w:val="center"/>
          </w:tcPr>
          <w:p w14:paraId="35444C1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31378C1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về thời gian thi công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 xml:space="preserve">0 </w:t>
            </w:r>
            <w:r w:rsidRPr="00944CCD">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62A3CAF" w14:textId="77777777" w:rsidTr="00944CCD">
        <w:tc>
          <w:tcPr>
            <w:tcW w:w="3402" w:type="dxa"/>
            <w:vMerge w:val="restart"/>
            <w:vAlign w:val="center"/>
          </w:tcPr>
          <w:p w14:paraId="17B057C6"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4.2. Tính phù hợp: </w:t>
            </w:r>
          </w:p>
          <w:p w14:paraId="6324021F" w14:textId="77777777" w:rsidR="00713673" w:rsidRPr="00944CCD"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AF0679" w14:textId="77777777" w:rsidTr="00944CCD">
        <w:tc>
          <w:tcPr>
            <w:tcW w:w="3402" w:type="dxa"/>
            <w:vMerge/>
            <w:vAlign w:val="center"/>
          </w:tcPr>
          <w:p w14:paraId="4D66F298"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65A4A80" w14:textId="77777777" w:rsidTr="00944CCD">
        <w:tc>
          <w:tcPr>
            <w:tcW w:w="3402" w:type="dxa"/>
            <w:vMerge w:val="restart"/>
            <w:vAlign w:val="center"/>
          </w:tcPr>
          <w:p w14:paraId="6B981467" w14:textId="77777777" w:rsidR="00713673" w:rsidRPr="00944CCD"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2AEF9A08" w14:textId="77777777" w:rsidTr="00944CCD">
        <w:tc>
          <w:tcPr>
            <w:tcW w:w="3402" w:type="dxa"/>
            <w:vMerge/>
            <w:vAlign w:val="center"/>
          </w:tcPr>
          <w:p w14:paraId="30E8F13C"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581F3BD7" w14:textId="77777777" w:rsidTr="00944CCD">
        <w:tc>
          <w:tcPr>
            <w:tcW w:w="3402" w:type="dxa"/>
            <w:vMerge w:val="restart"/>
            <w:vAlign w:val="center"/>
          </w:tcPr>
          <w:p w14:paraId="44F4E68B"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010B5E" w14:textId="77777777" w:rsidTr="00944CCD">
        <w:tc>
          <w:tcPr>
            <w:tcW w:w="3402" w:type="dxa"/>
            <w:vMerge/>
            <w:vAlign w:val="center"/>
          </w:tcPr>
          <w:p w14:paraId="41477C72"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Có 1 tiêu chuẩn chi tiết được xác định là </w:t>
            </w:r>
            <w:r w:rsidRPr="00944CCD">
              <w:rPr>
                <w:rFonts w:asciiTheme="majorHAnsi" w:hAnsiTheme="majorHAnsi" w:cstheme="majorHAnsi"/>
                <w:color w:val="000000" w:themeColor="text1"/>
                <w:sz w:val="26"/>
                <w:szCs w:val="26"/>
                <w:lang w:val="nl-NL"/>
              </w:rPr>
              <w:lastRenderedPageBreak/>
              <w:t>không đạt.</w:t>
            </w:r>
          </w:p>
        </w:tc>
        <w:tc>
          <w:tcPr>
            <w:tcW w:w="1701" w:type="dxa"/>
            <w:vAlign w:val="center"/>
          </w:tcPr>
          <w:p w14:paraId="7053B2D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Không đạt</w:t>
            </w:r>
          </w:p>
        </w:tc>
      </w:tr>
    </w:tbl>
    <w:p w14:paraId="011DFB94"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5.</w:t>
      </w:r>
      <w:r w:rsidRPr="00944CCD">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7A9D0CA3" w14:textId="77777777" w:rsidTr="00944CCD">
        <w:trPr>
          <w:trHeight w:val="1016"/>
        </w:trPr>
        <w:tc>
          <w:tcPr>
            <w:tcW w:w="3402" w:type="dxa"/>
            <w:vMerge w:val="restart"/>
            <w:vAlign w:val="center"/>
          </w:tcPr>
          <w:p w14:paraId="06571846"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784CB90" w14:textId="77777777" w:rsidTr="00944CCD">
        <w:tc>
          <w:tcPr>
            <w:tcW w:w="3402" w:type="dxa"/>
            <w:vMerge/>
            <w:vAlign w:val="center"/>
          </w:tcPr>
          <w:p w14:paraId="75FAB170"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340D93DA" w14:textId="77777777" w:rsidTr="00944CCD">
        <w:trPr>
          <w:trHeight w:val="944"/>
        </w:trPr>
        <w:tc>
          <w:tcPr>
            <w:tcW w:w="3402" w:type="dxa"/>
            <w:vMerge w:val="restart"/>
            <w:vAlign w:val="center"/>
          </w:tcPr>
          <w:p w14:paraId="6C82501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95B0C5" w14:textId="77777777" w:rsidTr="00944CCD">
        <w:tc>
          <w:tcPr>
            <w:tcW w:w="3402" w:type="dxa"/>
            <w:vMerge/>
            <w:vAlign w:val="center"/>
          </w:tcPr>
          <w:p w14:paraId="07EDE67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2F4354D6" w14:textId="77777777" w:rsidTr="00944CCD">
        <w:trPr>
          <w:trHeight w:val="521"/>
        </w:trPr>
        <w:tc>
          <w:tcPr>
            <w:tcW w:w="3402" w:type="dxa"/>
            <w:vMerge w:val="restart"/>
            <w:vAlign w:val="center"/>
          </w:tcPr>
          <w:p w14:paraId="46AB5FBD"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944CCD">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944CCD">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Đạt</w:t>
            </w:r>
          </w:p>
        </w:tc>
      </w:tr>
      <w:tr w:rsidR="00713673" w:rsidRPr="00944CCD" w14:paraId="5170AA94" w14:textId="77777777" w:rsidTr="00944CCD">
        <w:trPr>
          <w:trHeight w:val="521"/>
        </w:trPr>
        <w:tc>
          <w:tcPr>
            <w:tcW w:w="3402" w:type="dxa"/>
            <w:vMerge/>
            <w:vAlign w:val="center"/>
          </w:tcPr>
          <w:p w14:paraId="451A6132"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 Không có hợp đồng nguyên tắc </w:t>
            </w:r>
            <w:r w:rsidRPr="00944CCD">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Không đạt</w:t>
            </w:r>
          </w:p>
        </w:tc>
      </w:tr>
      <w:tr w:rsidR="00713673" w:rsidRPr="00944CCD" w14:paraId="09489E65" w14:textId="77777777" w:rsidTr="00944CCD">
        <w:trPr>
          <w:trHeight w:val="383"/>
        </w:trPr>
        <w:tc>
          <w:tcPr>
            <w:tcW w:w="3402" w:type="dxa"/>
            <w:vMerge w:val="restart"/>
            <w:vAlign w:val="center"/>
          </w:tcPr>
          <w:p w14:paraId="6A4CD37E"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908B5F9" w14:textId="77777777" w:rsidTr="00944CCD">
        <w:trPr>
          <w:trHeight w:val="275"/>
        </w:trPr>
        <w:tc>
          <w:tcPr>
            <w:tcW w:w="3402" w:type="dxa"/>
            <w:vMerge/>
            <w:vAlign w:val="center"/>
          </w:tcPr>
          <w:p w14:paraId="41F14FF3"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7E39D437"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56F41D5" w14:textId="77777777" w:rsidTr="00944CCD">
        <w:tc>
          <w:tcPr>
            <w:tcW w:w="7797" w:type="dxa"/>
            <w:gridSpan w:val="2"/>
          </w:tcPr>
          <w:p w14:paraId="0DD2B1E1"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2CD0A6B7" w14:textId="77777777" w:rsidTr="00944CCD">
        <w:trPr>
          <w:trHeight w:val="70"/>
        </w:trPr>
        <w:tc>
          <w:tcPr>
            <w:tcW w:w="3402" w:type="dxa"/>
            <w:vMerge w:val="restart"/>
            <w:vAlign w:val="center"/>
          </w:tcPr>
          <w:p w14:paraId="283D682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395" w:type="dxa"/>
          </w:tcPr>
          <w:p w14:paraId="56D0E5C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01" w:type="dxa"/>
            <w:vAlign w:val="center"/>
          </w:tcPr>
          <w:p w14:paraId="270CB03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1EE0EC" w14:textId="77777777" w:rsidTr="00944CCD">
        <w:trPr>
          <w:trHeight w:val="1074"/>
        </w:trPr>
        <w:tc>
          <w:tcPr>
            <w:tcW w:w="3402" w:type="dxa"/>
            <w:vMerge/>
          </w:tcPr>
          <w:p w14:paraId="5B987C9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1424335E" w14:textId="77777777" w:rsidTr="00944CCD">
        <w:tc>
          <w:tcPr>
            <w:tcW w:w="7797" w:type="dxa"/>
            <w:gridSpan w:val="2"/>
          </w:tcPr>
          <w:p w14:paraId="79A7B3AB"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6DBD96E4" w14:textId="77777777" w:rsidTr="00944CCD">
        <w:tc>
          <w:tcPr>
            <w:tcW w:w="3402" w:type="dxa"/>
            <w:vMerge w:val="restart"/>
            <w:vAlign w:val="center"/>
          </w:tcPr>
          <w:p w14:paraId="4BD36561" w14:textId="77777777" w:rsidR="00713673" w:rsidRPr="00944CCD"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B00053" w14:textId="77777777" w:rsidTr="00944CCD">
        <w:tc>
          <w:tcPr>
            <w:tcW w:w="3402" w:type="dxa"/>
            <w:vMerge/>
          </w:tcPr>
          <w:p w14:paraId="1D528A9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49E32AF" w14:textId="77777777" w:rsidTr="00944CCD">
        <w:trPr>
          <w:trHeight w:val="525"/>
        </w:trPr>
        <w:tc>
          <w:tcPr>
            <w:tcW w:w="3402" w:type="dxa"/>
          </w:tcPr>
          <w:p w14:paraId="38095DA0"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3DDCE4EE" w14:textId="77777777" w:rsidTr="00944CCD">
        <w:trPr>
          <w:trHeight w:val="857"/>
        </w:trPr>
        <w:tc>
          <w:tcPr>
            <w:tcW w:w="3402" w:type="dxa"/>
            <w:vMerge w:val="restart"/>
            <w:vAlign w:val="center"/>
          </w:tcPr>
          <w:p w14:paraId="740B53B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405BF7" w14:textId="77777777" w:rsidTr="00944CCD">
        <w:tc>
          <w:tcPr>
            <w:tcW w:w="3402" w:type="dxa"/>
            <w:vMerge/>
          </w:tcPr>
          <w:p w14:paraId="5E47662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9E8B45E" w14:textId="77777777" w:rsidTr="00944CCD">
        <w:tc>
          <w:tcPr>
            <w:tcW w:w="3402" w:type="dxa"/>
            <w:vMerge w:val="restart"/>
            <w:vAlign w:val="center"/>
          </w:tcPr>
          <w:p w14:paraId="7814D2B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EEDBD1" w14:textId="77777777" w:rsidTr="00944CCD">
        <w:trPr>
          <w:trHeight w:val="711"/>
        </w:trPr>
        <w:tc>
          <w:tcPr>
            <w:tcW w:w="3402" w:type="dxa"/>
            <w:vMerge/>
            <w:vAlign w:val="center"/>
          </w:tcPr>
          <w:p w14:paraId="1F5C5B7C"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D73CC2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EE7EC34" w14:textId="77777777" w:rsidTr="00944CCD">
        <w:tc>
          <w:tcPr>
            <w:tcW w:w="7797" w:type="dxa"/>
            <w:gridSpan w:val="2"/>
          </w:tcPr>
          <w:p w14:paraId="6B842285"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944CCD" w14:paraId="0CC83E80" w14:textId="77777777" w:rsidTr="00944CCD">
        <w:tc>
          <w:tcPr>
            <w:tcW w:w="3402" w:type="dxa"/>
            <w:vMerge w:val="restart"/>
            <w:vAlign w:val="center"/>
          </w:tcPr>
          <w:p w14:paraId="125D51A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rPr>
              <w:t>Thời gian bảo hành 12 tháng.</w:t>
            </w:r>
          </w:p>
        </w:tc>
        <w:tc>
          <w:tcPr>
            <w:tcW w:w="4395" w:type="dxa"/>
          </w:tcPr>
          <w:p w14:paraId="2112F19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rPr>
              <w:t>Có đề xuất thời gian bảo hành lớn hơn hoặc bằng 12 tháng.</w:t>
            </w:r>
          </w:p>
        </w:tc>
        <w:tc>
          <w:tcPr>
            <w:tcW w:w="1701" w:type="dxa"/>
          </w:tcPr>
          <w:p w14:paraId="6ECB6AA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0F61C26" w14:textId="77777777" w:rsidTr="00944CCD">
        <w:tc>
          <w:tcPr>
            <w:tcW w:w="3402" w:type="dxa"/>
            <w:vMerge/>
          </w:tcPr>
          <w:p w14:paraId="79126B45"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4CF0531" w14:textId="77777777" w:rsidTr="00944CCD">
        <w:tc>
          <w:tcPr>
            <w:tcW w:w="7797" w:type="dxa"/>
            <w:gridSpan w:val="2"/>
          </w:tcPr>
          <w:p w14:paraId="4CA29FD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5DE2361C" w14:textId="77777777" w:rsidTr="00944CCD">
        <w:tc>
          <w:tcPr>
            <w:tcW w:w="3402" w:type="dxa"/>
            <w:vMerge w:val="restart"/>
          </w:tcPr>
          <w:p w14:paraId="75071957"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lastRenderedPageBreak/>
              <w:t xml:space="preserve">Uy tín của nhà thầu </w:t>
            </w:r>
          </w:p>
        </w:tc>
        <w:tc>
          <w:tcPr>
            <w:tcW w:w="4395" w:type="dxa"/>
          </w:tcPr>
          <w:p w14:paraId="2C641811" w14:textId="4619718A"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Nhà thầu cam kết </w:t>
            </w:r>
            <w:r w:rsidR="00BE65F9" w:rsidRPr="00944CCD">
              <w:rPr>
                <w:rFonts w:asciiTheme="majorHAnsi" w:hAnsiTheme="majorHAnsi" w:cstheme="majorHAnsi"/>
                <w:color w:val="000000" w:themeColor="text1"/>
                <w:sz w:val="26"/>
                <w:szCs w:val="26"/>
                <w:lang w:val="nl-NL"/>
              </w:rPr>
              <w:t>uy tín</w:t>
            </w:r>
            <w:r w:rsidRPr="00944CCD">
              <w:rPr>
                <w:rFonts w:asciiTheme="majorHAnsi" w:hAnsiTheme="majorHAnsi" w:cstheme="majorHAnsi"/>
                <w:color w:val="000000" w:themeColor="text1"/>
                <w:sz w:val="26"/>
                <w:szCs w:val="26"/>
                <w:lang w:val="nl-NL"/>
              </w:rPr>
              <w:t xml:space="preserve"> của nhà thầu </w:t>
            </w:r>
            <w:r w:rsidR="00BE65F9" w:rsidRPr="00944CCD">
              <w:rPr>
                <w:rFonts w:asciiTheme="majorHAnsi" w:hAnsiTheme="majorHAnsi" w:cstheme="majorHAnsi"/>
                <w:color w:val="000000" w:themeColor="text1"/>
                <w:sz w:val="26"/>
                <w:szCs w:val="26"/>
                <w:lang w:val="nl-NL"/>
              </w:rPr>
              <w:t xml:space="preserve">không bị </w:t>
            </w:r>
            <w:r w:rsidRPr="00944CCD">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347EF8A" w14:textId="77777777" w:rsidTr="00944CCD">
        <w:tc>
          <w:tcPr>
            <w:tcW w:w="3402" w:type="dxa"/>
            <w:vMerge/>
          </w:tcPr>
          <w:p w14:paraId="4A42C54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4149C408" w14:textId="77777777" w:rsidTr="00944CCD">
        <w:tc>
          <w:tcPr>
            <w:tcW w:w="3402" w:type="dxa"/>
            <w:vMerge w:val="restart"/>
            <w:vAlign w:val="center"/>
          </w:tcPr>
          <w:p w14:paraId="09BD6A5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98F439" w14:textId="77777777" w:rsidTr="00944CCD">
        <w:tc>
          <w:tcPr>
            <w:tcW w:w="3402" w:type="dxa"/>
            <w:vMerge/>
            <w:vAlign w:val="center"/>
          </w:tcPr>
          <w:p w14:paraId="45F239A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CDDD752" w14:textId="77777777" w:rsidR="00A54C5D" w:rsidRPr="00944CCD" w:rsidRDefault="00A54C5D">
      <w:pPr>
        <w:rPr>
          <w:rFonts w:asciiTheme="majorHAnsi" w:hAnsiTheme="majorHAnsi" w:cstheme="majorHAnsi"/>
          <w:color w:val="000000" w:themeColor="text1"/>
          <w:sz w:val="26"/>
          <w:szCs w:val="26"/>
        </w:rPr>
      </w:pPr>
    </w:p>
    <w:sectPr w:rsidR="00A54C5D" w:rsidRPr="00944CCD" w:rsidSect="00022843">
      <w:pgSz w:w="11906" w:h="16838"/>
      <w:pgMar w:top="1135"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455E" w14:textId="77777777" w:rsidR="00241A60" w:rsidRDefault="00241A60" w:rsidP="00713673">
      <w:r>
        <w:separator/>
      </w:r>
    </w:p>
  </w:endnote>
  <w:endnote w:type="continuationSeparator" w:id="0">
    <w:p w14:paraId="53B7D361" w14:textId="77777777" w:rsidR="00241A60" w:rsidRDefault="00241A60"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45EE" w14:textId="77777777" w:rsidR="00241A60" w:rsidRDefault="00241A60" w:rsidP="00713673">
      <w:r>
        <w:separator/>
      </w:r>
    </w:p>
  </w:footnote>
  <w:footnote w:type="continuationSeparator" w:id="0">
    <w:p w14:paraId="10AF552A" w14:textId="77777777" w:rsidR="00241A60" w:rsidRDefault="00241A60"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40A01"/>
    <w:rsid w:val="00155F31"/>
    <w:rsid w:val="001600EE"/>
    <w:rsid w:val="0021561A"/>
    <w:rsid w:val="00241A60"/>
    <w:rsid w:val="00241C49"/>
    <w:rsid w:val="002927AA"/>
    <w:rsid w:val="003E7AF4"/>
    <w:rsid w:val="00477278"/>
    <w:rsid w:val="00492747"/>
    <w:rsid w:val="00514334"/>
    <w:rsid w:val="0059595A"/>
    <w:rsid w:val="006B0974"/>
    <w:rsid w:val="00713673"/>
    <w:rsid w:val="00786E41"/>
    <w:rsid w:val="00834178"/>
    <w:rsid w:val="00944CCD"/>
    <w:rsid w:val="009F1E4F"/>
    <w:rsid w:val="00A54C5D"/>
    <w:rsid w:val="00B52F71"/>
    <w:rsid w:val="00B7356D"/>
    <w:rsid w:val="00BD1E86"/>
    <w:rsid w:val="00BE65F9"/>
    <w:rsid w:val="00C364E2"/>
    <w:rsid w:val="00C72142"/>
    <w:rsid w:val="00E94F14"/>
    <w:rsid w:val="00F24FF1"/>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18</cp:revision>
  <dcterms:created xsi:type="dcterms:W3CDTF">2025-10-15T08:42:00Z</dcterms:created>
  <dcterms:modified xsi:type="dcterms:W3CDTF">2025-11-13T03:38:00Z</dcterms:modified>
</cp:coreProperties>
</file>