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8E0896">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8E0896">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8E0896">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5145E798"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D93E7A" w:rsidRPr="00D93E7A">
        <w:rPr>
          <w:color w:val="000000"/>
          <w:sz w:val="28"/>
          <w:szCs w:val="28"/>
          <w:lang w:val="es-PE"/>
        </w:rPr>
        <w:t>“Sữa chữa đường giao thông nội bộ (đoạn Sân sát hoạch lái xe ô tô) và sữa chữa trạm biến áp” của Trường Cao đẳng Cơ giới Ninh Bình</w:t>
      </w:r>
      <w:r>
        <w:rPr>
          <w:color w:val="000000"/>
          <w:sz w:val="28"/>
          <w:szCs w:val="28"/>
          <w:lang w:val="es-PE"/>
        </w:rPr>
        <w:t>.</w:t>
      </w:r>
    </w:p>
    <w:p w14:paraId="69CB1A4C" w14:textId="30396695"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D93E7A" w:rsidRPr="00D93E7A">
        <w:rPr>
          <w:color w:val="000000"/>
          <w:sz w:val="28"/>
          <w:szCs w:val="28"/>
          <w:lang w:val="es-PE"/>
        </w:rPr>
        <w:t>QL1A, phường Yên Thắng, tỉnh Ninh Bình</w:t>
      </w:r>
      <w:r>
        <w:rPr>
          <w:color w:val="000000"/>
          <w:sz w:val="28"/>
          <w:szCs w:val="28"/>
          <w:lang w:val="es-PE"/>
        </w:rPr>
        <w:t>.</w:t>
      </w:r>
    </w:p>
    <w:p w14:paraId="69CB1A4D" w14:textId="5BC59B80" w:rsidR="00635986" w:rsidRDefault="00635986" w:rsidP="008E0896">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D93E7A" w:rsidRPr="00D93E7A">
        <w:rPr>
          <w:color w:val="000000"/>
          <w:sz w:val="28"/>
          <w:szCs w:val="28"/>
          <w:lang w:val="es-PE"/>
        </w:rPr>
        <w:t>Trường Cao đẳng Cơ giới Ninh Bình</w:t>
      </w:r>
      <w:r>
        <w:rPr>
          <w:color w:val="000000"/>
          <w:sz w:val="28"/>
          <w:szCs w:val="28"/>
          <w:lang w:val="es-PE"/>
        </w:rPr>
        <w:t>.</w:t>
      </w:r>
    </w:p>
    <w:p w14:paraId="69CB1A4E" w14:textId="37535734" w:rsidR="00635986" w:rsidRDefault="00635986" w:rsidP="008E0896">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DA79D8">
        <w:rPr>
          <w:color w:val="000000"/>
          <w:sz w:val="28"/>
          <w:szCs w:val="28"/>
          <w:lang w:val="es-PE"/>
        </w:rPr>
        <w:t>8</w:t>
      </w:r>
      <w:r w:rsidR="00E22C2F">
        <w:rPr>
          <w:color w:val="000000"/>
          <w:sz w:val="28"/>
          <w:szCs w:val="28"/>
          <w:lang w:val="es-PE"/>
        </w:rPr>
        <w:t>%</w:t>
      </w:r>
      <w:r w:rsidR="00B960E6">
        <w:rPr>
          <w:color w:val="000000"/>
          <w:sz w:val="28"/>
          <w:szCs w:val="28"/>
          <w:lang w:val="es-PE"/>
        </w:rPr>
        <w:t>.</w:t>
      </w:r>
    </w:p>
    <w:p w14:paraId="69CB1A4F" w14:textId="77777777" w:rsidR="00635986" w:rsidRDefault="00635986" w:rsidP="008E0896">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2DF4D4C4" w14:textId="7777777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Sửa chữa tuyến đường giao thông nội bộ (đoạn Sân sát hạch lái xe ô tô).</w:t>
      </w:r>
    </w:p>
    <w:p w14:paraId="24932884" w14:textId="7777777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Tháo dỡ bó vỉa cũ, phá dỡ mặt đường bê tông asphan cũ;</w:t>
      </w:r>
    </w:p>
    <w:p w14:paraId="7C584377" w14:textId="3FFAC63E"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Đào móng, đổ bê tông lót và lắp đặt bó vỉa mới bằng tấm bê tông bó vỉa</w:t>
      </w:r>
      <w:r>
        <w:rPr>
          <w:color w:val="000000"/>
          <w:sz w:val="28"/>
          <w:szCs w:val="28"/>
          <w:lang w:val="pt-BR"/>
        </w:rPr>
        <w:t xml:space="preserve"> </w:t>
      </w:r>
      <w:r w:rsidRPr="00D93E7A">
        <w:rPr>
          <w:color w:val="000000"/>
          <w:sz w:val="28"/>
          <w:szCs w:val="28"/>
          <w:lang w:val="pt-BR"/>
        </w:rPr>
        <w:t>18x22x100cm, bó vỉa 30x20x100cm loại có hàm ếch và bó vỉa 30x20x100cm</w:t>
      </w:r>
      <w:r>
        <w:rPr>
          <w:color w:val="000000"/>
          <w:sz w:val="28"/>
          <w:szCs w:val="28"/>
          <w:lang w:val="pt-BR"/>
        </w:rPr>
        <w:t xml:space="preserve"> </w:t>
      </w:r>
      <w:r w:rsidRPr="00D93E7A">
        <w:rPr>
          <w:color w:val="000000"/>
          <w:sz w:val="28"/>
          <w:szCs w:val="28"/>
          <w:lang w:val="pt-BR"/>
        </w:rPr>
        <w:t>loại không hàm ếch;</w:t>
      </w:r>
    </w:p>
    <w:p w14:paraId="7C584377" w14:textId="3FFAC63E"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Bỏ rãnh nước hiện trạng, lấp lại bằng đá Base;</w:t>
      </w:r>
    </w:p>
    <w:p w14:paraId="61212D41" w14:textId="7777777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Xây mới đoạn rãnh thoát nước B400;</w:t>
      </w:r>
    </w:p>
    <w:p w14:paraId="61212D41" w14:textId="7777777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Làm mới cống thoát nước D300 qua đường;</w:t>
      </w:r>
    </w:p>
    <w:p w14:paraId="4FD7E471" w14:textId="0458B1A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Hạ mặt rãnh B800 để làm đường qua;</w:t>
      </w:r>
    </w:p>
    <w:p w14:paraId="4FD7E471" w14:textId="0458B1A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Tôn nền, đắp đất bổ sung các ô trồng cỏ mới;</w:t>
      </w:r>
    </w:p>
    <w:p w14:paraId="4FD7E471" w14:textId="0458B1A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Đào nền, trải móng kết cấu đá dăm, trải thảm mặt bằng bê tông nhựa</w:t>
      </w:r>
      <w:r>
        <w:rPr>
          <w:color w:val="000000"/>
          <w:sz w:val="28"/>
          <w:szCs w:val="28"/>
          <w:lang w:val="pt-BR"/>
        </w:rPr>
        <w:t xml:space="preserve"> </w:t>
      </w:r>
      <w:r w:rsidRPr="00D93E7A">
        <w:rPr>
          <w:color w:val="000000"/>
          <w:sz w:val="28"/>
          <w:szCs w:val="28"/>
          <w:lang w:val="pt-BR"/>
        </w:rPr>
        <w:t>C19 và C12.5;</w:t>
      </w:r>
    </w:p>
    <w:p w14:paraId="4FD7E471" w14:textId="0458B1A7" w:rsidR="00D93E7A" w:rsidRPr="00D93E7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Sơn kẻ đường bằng sơn dầu và sơn dẻo nhiệt; sơn kẻ vạch, chữ, mũi tên</w:t>
      </w:r>
      <w:r>
        <w:rPr>
          <w:color w:val="000000"/>
          <w:sz w:val="28"/>
          <w:szCs w:val="28"/>
          <w:lang w:val="pt-BR"/>
        </w:rPr>
        <w:t xml:space="preserve"> </w:t>
      </w:r>
      <w:r w:rsidRPr="00D93E7A">
        <w:rPr>
          <w:color w:val="000000"/>
          <w:sz w:val="28"/>
          <w:szCs w:val="28"/>
          <w:lang w:val="pt-BR"/>
        </w:rPr>
        <w:t>chỉ hướng bằng sơn dẻo nhiệt;</w:t>
      </w:r>
    </w:p>
    <w:p w14:paraId="4FD7E471" w14:textId="0458B1A7" w:rsidR="00A12C9A" w:rsidRDefault="00D93E7A" w:rsidP="00D93E7A">
      <w:pPr>
        <w:widowControl w:val="0"/>
        <w:spacing w:beforeLines="24" w:before="57" w:afterLines="24" w:after="57" w:line="288" w:lineRule="auto"/>
        <w:ind w:firstLine="567"/>
        <w:rPr>
          <w:color w:val="000000"/>
          <w:sz w:val="28"/>
          <w:szCs w:val="28"/>
          <w:lang w:val="pt-BR"/>
        </w:rPr>
      </w:pPr>
      <w:r w:rsidRPr="00D93E7A">
        <w:rPr>
          <w:color w:val="000000"/>
          <w:sz w:val="28"/>
          <w:szCs w:val="28"/>
          <w:lang w:val="pt-BR"/>
        </w:rPr>
        <w:t>+ Sơn toàn bộ bó vỉa bao gồm bó vỉa thay mới và bó vỉa hiện trạng.</w:t>
      </w:r>
    </w:p>
    <w:p w14:paraId="69CB1A5D" w14:textId="0887C576" w:rsidR="00635986" w:rsidRDefault="00635986" w:rsidP="00A12C9A">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0D05D2">
        <w:rPr>
          <w:color w:val="000000"/>
          <w:sz w:val="28"/>
          <w:szCs w:val="28"/>
          <w:lang w:val="es-PE"/>
        </w:rPr>
        <w:t>30</w:t>
      </w:r>
      <w:r w:rsidR="00A5776B">
        <w:rPr>
          <w:color w:val="000000"/>
          <w:sz w:val="28"/>
          <w:szCs w:val="28"/>
          <w:lang w:val="es-PE"/>
        </w:rPr>
        <w:t xml:space="preserve"> ngày</w:t>
      </w:r>
      <w:r>
        <w:rPr>
          <w:color w:val="000000"/>
          <w:sz w:val="28"/>
          <w:szCs w:val="28"/>
          <w:lang w:val="es-PE"/>
        </w:rPr>
        <w:t>.</w:t>
      </w:r>
    </w:p>
    <w:p w14:paraId="69CB1A5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478B30F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0D05D2">
        <w:rPr>
          <w:color w:val="000000"/>
          <w:sz w:val="28"/>
          <w:szCs w:val="28"/>
        </w:rPr>
        <w:t>30</w:t>
      </w:r>
      <w:r w:rsidR="00A5776B">
        <w:rPr>
          <w:color w:val="000000"/>
          <w:sz w:val="28"/>
          <w:szCs w:val="28"/>
        </w:rPr>
        <w:t xml:space="preserve"> ngày</w:t>
      </w:r>
      <w:r>
        <w:rPr>
          <w:color w:val="000000"/>
          <w:sz w:val="28"/>
          <w:szCs w:val="28"/>
          <w:lang w:val="vi-VN"/>
        </w:rPr>
        <w:t xml:space="preserve"> kể từ ngày hợp đồng có hiệu lực.</w:t>
      </w:r>
    </w:p>
    <w:p w14:paraId="69CB1A6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8E0896">
      <w:pPr>
        <w:widowControl w:val="0"/>
        <w:spacing w:beforeLines="24" w:before="57" w:afterLines="24" w:after="57"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8E0896">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Trong mọi trường hợp nếu tiêu chuẩn kỹ thuật không tương ứng với nhau, </w:t>
      </w:r>
      <w:r>
        <w:rPr>
          <w:color w:val="000000"/>
          <w:sz w:val="28"/>
          <w:szCs w:val="28"/>
          <w:lang w:val="es-PE"/>
        </w:rPr>
        <w:lastRenderedPageBreak/>
        <w:t>thì phiên bản mới nhất được áp dụng.</w:t>
      </w:r>
    </w:p>
    <w:p w14:paraId="69CB1A6D" w14:textId="77777777"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8E0896">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8E0896">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Danh mục các vật tư vật liệu chính phải thí nghiệm trước khi sử dụng </w:t>
      </w:r>
      <w:r>
        <w:rPr>
          <w:color w:val="000000"/>
          <w:sz w:val="28"/>
          <w:szCs w:val="28"/>
          <w:lang w:val="vi-VN"/>
        </w:rPr>
        <w:lastRenderedPageBreak/>
        <w:t>được quy định tại văn bản chấp thuận kế hoạch quản lý chất lượng trong cuộc họp chuẩn bị thi công.</w:t>
      </w:r>
    </w:p>
    <w:p w14:paraId="69CB1A8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8E0896">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8E0896">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8E0896">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lastRenderedPageBreak/>
        <w:t>b) Trình tự thi công, xây lắp đối với từng hạng mục, công việc xây dựng:</w:t>
      </w:r>
    </w:p>
    <w:p w14:paraId="69CB1A9D"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8E0896">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phải bố trí các trang thiết bị và phương tiện cứu hỏa tại công trường, sẵn sàng đối phó khi có hỏa hoạn xảy ra như bể nước, bể cát, bình cứu </w:t>
      </w:r>
      <w:r>
        <w:rPr>
          <w:color w:val="000000"/>
          <w:sz w:val="28"/>
          <w:szCs w:val="28"/>
          <w:lang w:val="vi-VN"/>
        </w:rPr>
        <w:lastRenderedPageBreak/>
        <w:t>hỏa...</w:t>
      </w:r>
    </w:p>
    <w:p w14:paraId="69CB1AA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1477B076"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 xml:space="preserve">Nhà thầu phải có phương án tổ chức và các biện pháp cụ thể sẽ áp dụng để đảm bảo an toàn lao động trong quá trình thi công công trình bao </w:t>
      </w:r>
      <w:r>
        <w:rPr>
          <w:color w:val="000000"/>
          <w:spacing w:val="4"/>
          <w:sz w:val="28"/>
          <w:szCs w:val="28"/>
          <w:lang w:val="vi-VN"/>
        </w:rPr>
        <w:lastRenderedPageBreak/>
        <w:t>gồm các nội dung:</w:t>
      </w:r>
      <w:r>
        <w:rPr>
          <w:color w:val="000000"/>
          <w:sz w:val="28"/>
          <w:szCs w:val="28"/>
          <w:lang w:val="vi-VN"/>
        </w:rPr>
        <w:t xml:space="preserve"> </w:t>
      </w:r>
    </w:p>
    <w:p w14:paraId="69CB1AB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8E0896">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w:t>
      </w:r>
      <w:r>
        <w:rPr>
          <w:color w:val="000000"/>
          <w:sz w:val="28"/>
          <w:szCs w:val="28"/>
          <w:lang w:val="vi-VN"/>
        </w:rPr>
        <w:lastRenderedPageBreak/>
        <w:t xml:space="preserve">chấp thuận trước khi tiến hành thay đổi nhân sự. </w:t>
      </w:r>
    </w:p>
    <w:p w14:paraId="69CB1AC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8E0896">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w:t>
      </w:r>
      <w:r>
        <w:rPr>
          <w:color w:val="000000"/>
          <w:sz w:val="28"/>
          <w:szCs w:val="28"/>
          <w:lang w:val="vi-VN"/>
        </w:rPr>
        <w:lastRenderedPageBreak/>
        <w:t xml:space="preserve">bảo thời điểm Chủ đầu tư nhận được thông tin về sự việc không chậm quá 24h từ khi phát hiện ra sự việc. </w:t>
      </w:r>
    </w:p>
    <w:p w14:paraId="69CB1AF8"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8E0896">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8E0896">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8E0896">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8E0896">
      <w:pPr>
        <w:widowControl w:val="0"/>
        <w:spacing w:beforeLines="24" w:before="57" w:afterLines="24" w:after="57" w:line="288" w:lineRule="auto"/>
        <w:ind w:firstLine="436"/>
        <w:rPr>
          <w:color w:val="000000"/>
          <w:sz w:val="28"/>
          <w:szCs w:val="28"/>
          <w:lang w:val="vi-VN"/>
        </w:rPr>
      </w:pPr>
      <w:r>
        <w:rPr>
          <w:color w:val="000000"/>
          <w:sz w:val="28"/>
          <w:szCs w:val="28"/>
          <w:lang w:val="vi-VN"/>
        </w:rPr>
        <w:lastRenderedPageBreak/>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8E0896">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EC4430F" w:rsidR="006A5593" w:rsidRDefault="008E0896" w:rsidP="008E0896">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Hồ sơ lập </w:t>
            </w:r>
            <w:r w:rsidR="008B5CD7">
              <w:rPr>
                <w:color w:val="000000"/>
                <w:sz w:val="26"/>
                <w:szCs w:val="26"/>
              </w:rPr>
              <w:t>BCKTKT</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8E0896">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8E0896">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EB07" w14:textId="77777777" w:rsidR="0090159D" w:rsidRDefault="0090159D" w:rsidP="00E05AF1">
      <w:r>
        <w:separator/>
      </w:r>
    </w:p>
  </w:endnote>
  <w:endnote w:type="continuationSeparator" w:id="0">
    <w:p w14:paraId="198A6284" w14:textId="77777777" w:rsidR="0090159D" w:rsidRDefault="0090159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4844" w14:textId="77777777" w:rsidR="0090159D" w:rsidRDefault="0090159D" w:rsidP="00E05AF1">
      <w:r>
        <w:separator/>
      </w:r>
    </w:p>
  </w:footnote>
  <w:footnote w:type="continuationSeparator" w:id="0">
    <w:p w14:paraId="0E7AFDC0" w14:textId="77777777" w:rsidR="0090159D" w:rsidRDefault="0090159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18"/>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5D2"/>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846"/>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1C64"/>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4C6E"/>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37F09"/>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6BF0"/>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49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45F"/>
    <w:rsid w:val="003917E6"/>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6A8C"/>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5AA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07F0C"/>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4B00"/>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3693"/>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5CD7"/>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159D"/>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409F"/>
    <w:rsid w:val="009E706C"/>
    <w:rsid w:val="009E786C"/>
    <w:rsid w:val="009F2047"/>
    <w:rsid w:val="009F76F2"/>
    <w:rsid w:val="009F7AB3"/>
    <w:rsid w:val="00A00EF9"/>
    <w:rsid w:val="00A01089"/>
    <w:rsid w:val="00A02036"/>
    <w:rsid w:val="00A0605B"/>
    <w:rsid w:val="00A06264"/>
    <w:rsid w:val="00A0742F"/>
    <w:rsid w:val="00A102DE"/>
    <w:rsid w:val="00A11CD0"/>
    <w:rsid w:val="00A12C9A"/>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5776B"/>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3E7A"/>
    <w:rsid w:val="00D95260"/>
    <w:rsid w:val="00D95393"/>
    <w:rsid w:val="00D95438"/>
    <w:rsid w:val="00DA0DC8"/>
    <w:rsid w:val="00DA1A2B"/>
    <w:rsid w:val="00DA20F9"/>
    <w:rsid w:val="00DA248F"/>
    <w:rsid w:val="00DA2D9A"/>
    <w:rsid w:val="00DA2EBB"/>
    <w:rsid w:val="00DA357D"/>
    <w:rsid w:val="00DA3E37"/>
    <w:rsid w:val="00DA4BB2"/>
    <w:rsid w:val="00DA6036"/>
    <w:rsid w:val="00DA79D8"/>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0805"/>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12</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308</cp:revision>
  <cp:lastPrinted>2025-06-20T09:37:00Z</cp:lastPrinted>
  <dcterms:created xsi:type="dcterms:W3CDTF">2024-05-05T01:30:00Z</dcterms:created>
  <dcterms:modified xsi:type="dcterms:W3CDTF">2025-11-10T23:42:00Z</dcterms:modified>
</cp:coreProperties>
</file>