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2CC7" w14:textId="77777777" w:rsidR="008C56D7" w:rsidRPr="00EA6856" w:rsidRDefault="008C56D7" w:rsidP="008C56D7">
      <w:pPr>
        <w:pStyle w:val="TOC1"/>
        <w:spacing w:line="264" w:lineRule="auto"/>
        <w:rPr>
          <w:rFonts w:ascii="Times New Roman" w:hAnsi="Times New Roman" w:cs="Times New Roman"/>
        </w:rPr>
      </w:pPr>
      <w:r w:rsidRPr="00391AD8">
        <w:rPr>
          <w:rFonts w:ascii="Times New Roman" w:hAnsi="Times New Roman" w:cs="Times New Roman"/>
          <w:highlight w:val="yellow"/>
        </w:rPr>
        <w:t xml:space="preserve">Mục </w:t>
      </w:r>
      <w:r w:rsidRPr="00391AD8">
        <w:rPr>
          <w:rFonts w:ascii="Times New Roman" w:hAnsi="Times New Roman" w:cs="Times New Roman"/>
          <w:highlight w:val="yellow"/>
          <w:lang w:val="pl-PL"/>
        </w:rPr>
        <w:t>3</w:t>
      </w:r>
      <w:r w:rsidRPr="00391AD8">
        <w:rPr>
          <w:rFonts w:ascii="Times New Roman" w:hAnsi="Times New Roman" w:cs="Times New Roman"/>
          <w:highlight w:val="yellow"/>
        </w:rPr>
        <w:t>. Tiêu chuẩn đánh giá về kỹ thuật</w:t>
      </w:r>
    </w:p>
    <w:p w14:paraId="33D997F3" w14:textId="77777777" w:rsidR="008C56D7" w:rsidRPr="00EA6856" w:rsidRDefault="008C56D7" w:rsidP="008C56D7">
      <w:pPr>
        <w:spacing w:before="80" w:after="80" w:line="264" w:lineRule="auto"/>
        <w:ind w:firstLine="709"/>
        <w:rPr>
          <w:sz w:val="28"/>
          <w:szCs w:val="28"/>
          <w:lang w:val="es-ES"/>
        </w:rPr>
      </w:pPr>
      <w:r w:rsidRPr="00EA6856">
        <w:rPr>
          <w:b/>
          <w:iCs/>
          <w:sz w:val="28"/>
          <w:szCs w:val="28"/>
          <w:lang w:val="es-ES"/>
        </w:rPr>
        <w:t>Đánh giá theo phương phápđạt/không đạt</w:t>
      </w:r>
      <w:r w:rsidRPr="00EA6856">
        <w:rPr>
          <w:rStyle w:val="FootnoteReference"/>
          <w:b/>
          <w:iCs/>
          <w:sz w:val="28"/>
          <w:szCs w:val="28"/>
        </w:rPr>
        <w:footnoteReference w:id="1"/>
      </w:r>
      <w:r w:rsidRPr="00EA6856">
        <w:rPr>
          <w:b/>
          <w:sz w:val="28"/>
          <w:szCs w:val="28"/>
          <w:lang w:val="es-ES"/>
        </w:rPr>
        <w:t>:</w:t>
      </w:r>
    </w:p>
    <w:p w14:paraId="3DA70DF5" w14:textId="77777777" w:rsidR="008C56D7" w:rsidRPr="00EA6856" w:rsidRDefault="008C56D7" w:rsidP="008C56D7">
      <w:pPr>
        <w:spacing w:before="80" w:after="80" w:line="264" w:lineRule="auto"/>
        <w:ind w:firstLine="709"/>
        <w:rPr>
          <w:sz w:val="28"/>
          <w:szCs w:val="28"/>
          <w:lang w:val="es-ES"/>
        </w:rPr>
      </w:pPr>
      <w:r w:rsidRPr="00EA685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CCF512F" w14:textId="77777777" w:rsidR="008C56D7" w:rsidRPr="00EA6856" w:rsidRDefault="008C56D7" w:rsidP="008C56D7">
      <w:pPr>
        <w:spacing w:before="80" w:after="80" w:line="264" w:lineRule="auto"/>
        <w:ind w:firstLine="709"/>
        <w:rPr>
          <w:sz w:val="28"/>
          <w:szCs w:val="28"/>
          <w:lang w:val="es-ES"/>
        </w:rPr>
      </w:pPr>
      <w:r w:rsidRPr="00EA685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86A6877" w14:textId="77777777" w:rsidR="008C56D7" w:rsidRDefault="008C56D7" w:rsidP="008C56D7">
      <w:pPr>
        <w:spacing w:before="80" w:after="80" w:line="264" w:lineRule="auto"/>
        <w:ind w:firstLine="709"/>
        <w:rPr>
          <w:sz w:val="28"/>
          <w:szCs w:val="28"/>
          <w:lang w:val="es-ES"/>
        </w:rPr>
      </w:pPr>
      <w:r w:rsidRPr="00EA6856">
        <w:rPr>
          <w:sz w:val="28"/>
          <w:szCs w:val="28"/>
          <w:lang w:val="es-ES"/>
        </w:rPr>
        <w:t xml:space="preserve">E-HSDT được đánh giá là đáp ứng yêu cầu về kỹ thuật khi có tất cả các tiêu chí tổng quát đều được đánh giá là đạt.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103"/>
        <w:gridCol w:w="1275"/>
        <w:gridCol w:w="992"/>
      </w:tblGrid>
      <w:tr w:rsidR="008C56D7" w:rsidRPr="00927BB3" w14:paraId="73738ECD" w14:textId="77777777" w:rsidTr="002D1460">
        <w:trPr>
          <w:tblHeader/>
        </w:trPr>
        <w:tc>
          <w:tcPr>
            <w:tcW w:w="7083" w:type="dxa"/>
            <w:gridSpan w:val="2"/>
            <w:vAlign w:val="center"/>
          </w:tcPr>
          <w:p w14:paraId="353688C1" w14:textId="77777777" w:rsidR="008C56D7" w:rsidRPr="00927BB3" w:rsidRDefault="008C56D7" w:rsidP="002D1460">
            <w:pPr>
              <w:ind w:right="45"/>
              <w:jc w:val="center"/>
              <w:rPr>
                <w:szCs w:val="28"/>
              </w:rPr>
            </w:pPr>
            <w:r w:rsidRPr="00927BB3">
              <w:rPr>
                <w:b/>
                <w:bCs/>
                <w:sz w:val="28"/>
                <w:szCs w:val="28"/>
              </w:rPr>
              <w:t>Tiêu chí đánh giá</w:t>
            </w:r>
          </w:p>
        </w:tc>
        <w:tc>
          <w:tcPr>
            <w:tcW w:w="1275" w:type="dxa"/>
            <w:vAlign w:val="center"/>
          </w:tcPr>
          <w:p w14:paraId="082920B2" w14:textId="77777777" w:rsidR="008C56D7" w:rsidRPr="00927BB3" w:rsidRDefault="008C56D7" w:rsidP="002D1460">
            <w:pPr>
              <w:ind w:right="45"/>
              <w:jc w:val="center"/>
              <w:rPr>
                <w:sz w:val="28"/>
                <w:szCs w:val="28"/>
              </w:rPr>
            </w:pPr>
            <w:r w:rsidRPr="00927BB3">
              <w:rPr>
                <w:b/>
                <w:bCs/>
                <w:sz w:val="28"/>
                <w:szCs w:val="28"/>
              </w:rPr>
              <w:t>Sử dụng tiêu chí đạt, không đạt</w:t>
            </w:r>
          </w:p>
        </w:tc>
        <w:tc>
          <w:tcPr>
            <w:tcW w:w="992" w:type="dxa"/>
            <w:vAlign w:val="center"/>
          </w:tcPr>
          <w:p w14:paraId="2CD7F234" w14:textId="77777777" w:rsidR="008C56D7" w:rsidRPr="00927BB3" w:rsidRDefault="008C56D7" w:rsidP="002D1460">
            <w:pPr>
              <w:ind w:right="45"/>
              <w:jc w:val="center"/>
              <w:rPr>
                <w:b/>
                <w:bCs/>
                <w:sz w:val="28"/>
                <w:szCs w:val="28"/>
              </w:rPr>
            </w:pPr>
            <w:r w:rsidRPr="00927BB3">
              <w:rPr>
                <w:b/>
                <w:bCs/>
                <w:sz w:val="28"/>
                <w:szCs w:val="28"/>
              </w:rPr>
              <w:t>Nhà thầu tự đánh giá</w:t>
            </w:r>
          </w:p>
        </w:tc>
      </w:tr>
      <w:tr w:rsidR="008C56D7" w:rsidRPr="00927BB3" w14:paraId="65F4FF3C" w14:textId="77777777" w:rsidTr="002D1460">
        <w:tc>
          <w:tcPr>
            <w:tcW w:w="1980" w:type="dxa"/>
            <w:vMerge w:val="restart"/>
            <w:vAlign w:val="center"/>
          </w:tcPr>
          <w:p w14:paraId="333A4D7A" w14:textId="77777777" w:rsidR="008C56D7" w:rsidRPr="00927BB3" w:rsidRDefault="008C56D7" w:rsidP="002D1460">
            <w:pPr>
              <w:spacing w:before="120"/>
              <w:ind w:right="45"/>
              <w:jc w:val="left"/>
              <w:rPr>
                <w:b/>
                <w:bCs/>
                <w:sz w:val="28"/>
                <w:szCs w:val="28"/>
              </w:rPr>
            </w:pPr>
            <w:r w:rsidRPr="00927BB3">
              <w:rPr>
                <w:b/>
                <w:bCs/>
                <w:sz w:val="28"/>
                <w:szCs w:val="28"/>
              </w:rPr>
              <w:t>1. Đặc tính, thông số kỹ thuật của hàng hóa dự thầu</w:t>
            </w:r>
          </w:p>
        </w:tc>
        <w:tc>
          <w:tcPr>
            <w:tcW w:w="5103" w:type="dxa"/>
            <w:vAlign w:val="center"/>
          </w:tcPr>
          <w:p w14:paraId="5EBB16A9" w14:textId="77777777" w:rsidR="008C56D7" w:rsidRPr="00927BB3" w:rsidRDefault="008C56D7" w:rsidP="002D1460">
            <w:pPr>
              <w:spacing w:before="120"/>
              <w:ind w:right="45"/>
              <w:rPr>
                <w:sz w:val="28"/>
                <w:szCs w:val="28"/>
              </w:rPr>
            </w:pPr>
            <w:r w:rsidRPr="00927BB3">
              <w:rPr>
                <w:sz w:val="28"/>
                <w:szCs w:val="28"/>
              </w:rPr>
              <w:t xml:space="preserve">Nhà thầu đề xuất hàng hóa đáp ứng tất cả các yêu cầu kỹ thuật quy định tại Chương V. Yêu cầu về kỹ thuật, đồng thời cung cấp đầy đủ hồ sơ minh chứng việc đáp ứng các yêu cầu kỹ thuật đó. </w:t>
            </w:r>
          </w:p>
        </w:tc>
        <w:tc>
          <w:tcPr>
            <w:tcW w:w="1275" w:type="dxa"/>
            <w:vAlign w:val="center"/>
          </w:tcPr>
          <w:p w14:paraId="4A614D53" w14:textId="77777777" w:rsidR="008C56D7" w:rsidRPr="00927BB3" w:rsidRDefault="008C56D7" w:rsidP="002D1460">
            <w:pPr>
              <w:ind w:right="45"/>
              <w:jc w:val="center"/>
              <w:rPr>
                <w:szCs w:val="28"/>
              </w:rPr>
            </w:pPr>
            <w:r w:rsidRPr="00927BB3">
              <w:rPr>
                <w:b/>
                <w:bCs/>
                <w:sz w:val="28"/>
                <w:szCs w:val="28"/>
              </w:rPr>
              <w:t>Đạt</w:t>
            </w:r>
          </w:p>
        </w:tc>
        <w:tc>
          <w:tcPr>
            <w:tcW w:w="992" w:type="dxa"/>
            <w:vAlign w:val="center"/>
          </w:tcPr>
          <w:p w14:paraId="11E053A1" w14:textId="77777777" w:rsidR="008C56D7" w:rsidRPr="00927BB3" w:rsidRDefault="008C56D7" w:rsidP="002D1460">
            <w:pPr>
              <w:spacing w:before="120" w:line="360" w:lineRule="auto"/>
              <w:ind w:right="43"/>
              <w:jc w:val="left"/>
              <w:rPr>
                <w:szCs w:val="28"/>
              </w:rPr>
            </w:pPr>
          </w:p>
        </w:tc>
      </w:tr>
      <w:tr w:rsidR="008C56D7" w:rsidRPr="00927BB3" w14:paraId="168F0DA4" w14:textId="77777777" w:rsidTr="002D1460">
        <w:tc>
          <w:tcPr>
            <w:tcW w:w="1980" w:type="dxa"/>
            <w:vMerge/>
            <w:vAlign w:val="center"/>
          </w:tcPr>
          <w:p w14:paraId="02F08009" w14:textId="77777777" w:rsidR="008C56D7" w:rsidRPr="00927BB3" w:rsidRDefault="008C56D7" w:rsidP="002D1460">
            <w:pPr>
              <w:jc w:val="left"/>
              <w:rPr>
                <w:sz w:val="28"/>
                <w:szCs w:val="28"/>
              </w:rPr>
            </w:pPr>
          </w:p>
        </w:tc>
        <w:tc>
          <w:tcPr>
            <w:tcW w:w="5103" w:type="dxa"/>
            <w:vAlign w:val="center"/>
          </w:tcPr>
          <w:p w14:paraId="5F6C8793" w14:textId="77777777" w:rsidR="008C56D7" w:rsidRPr="00927BB3" w:rsidRDefault="008C56D7" w:rsidP="002D1460">
            <w:pPr>
              <w:spacing w:before="120"/>
              <w:ind w:right="45"/>
              <w:rPr>
                <w:sz w:val="28"/>
                <w:szCs w:val="28"/>
              </w:rPr>
            </w:pPr>
            <w:r w:rsidRPr="00927BB3">
              <w:rPr>
                <w:sz w:val="28"/>
                <w:szCs w:val="28"/>
              </w:rPr>
              <w:t xml:space="preserve">Nhà thầu đề xuất hàng hóa không đáp ứng hoặc đáp ứng không đầy đủ tất cả các yêu cầu kỹ thuật quy định tại Chương V. Yêu cầu về kỹ thuật hoặc không cung cấp đầy đủ hồ sơ minh chứng việc đáp ứng các yêu cầu kỹ thuật. </w:t>
            </w:r>
          </w:p>
        </w:tc>
        <w:tc>
          <w:tcPr>
            <w:tcW w:w="1275" w:type="dxa"/>
            <w:vAlign w:val="center"/>
          </w:tcPr>
          <w:p w14:paraId="6199F5FC" w14:textId="77777777" w:rsidR="008C56D7" w:rsidRPr="00927BB3" w:rsidRDefault="008C56D7" w:rsidP="002D1460">
            <w:pPr>
              <w:ind w:right="45"/>
              <w:jc w:val="center"/>
              <w:rPr>
                <w:szCs w:val="28"/>
              </w:rPr>
            </w:pPr>
            <w:r w:rsidRPr="00927BB3">
              <w:rPr>
                <w:b/>
                <w:bCs/>
                <w:sz w:val="28"/>
                <w:szCs w:val="28"/>
              </w:rPr>
              <w:t>Không đạt</w:t>
            </w:r>
          </w:p>
        </w:tc>
        <w:tc>
          <w:tcPr>
            <w:tcW w:w="992" w:type="dxa"/>
            <w:vAlign w:val="center"/>
          </w:tcPr>
          <w:p w14:paraId="6A7E9E62" w14:textId="77777777" w:rsidR="008C56D7" w:rsidRPr="00927BB3" w:rsidRDefault="008C56D7" w:rsidP="002D1460">
            <w:pPr>
              <w:spacing w:before="120" w:line="360" w:lineRule="auto"/>
              <w:ind w:right="43"/>
              <w:jc w:val="left"/>
              <w:rPr>
                <w:szCs w:val="28"/>
              </w:rPr>
            </w:pPr>
          </w:p>
        </w:tc>
      </w:tr>
      <w:tr w:rsidR="008C56D7" w:rsidRPr="00927BB3" w14:paraId="204FEFEA" w14:textId="77777777" w:rsidTr="002D1460">
        <w:tc>
          <w:tcPr>
            <w:tcW w:w="1980" w:type="dxa"/>
            <w:vMerge w:val="restart"/>
            <w:vAlign w:val="center"/>
          </w:tcPr>
          <w:p w14:paraId="090AFF9C" w14:textId="77777777" w:rsidR="008C56D7" w:rsidRPr="00927BB3" w:rsidRDefault="008C56D7" w:rsidP="002D1460">
            <w:pPr>
              <w:jc w:val="left"/>
              <w:rPr>
                <w:b/>
                <w:bCs/>
                <w:sz w:val="28"/>
                <w:szCs w:val="28"/>
              </w:rPr>
            </w:pPr>
            <w:r w:rsidRPr="00927BB3">
              <w:rPr>
                <w:b/>
                <w:bCs/>
                <w:sz w:val="28"/>
                <w:szCs w:val="28"/>
              </w:rPr>
              <w:t>2. Thời hạn sử dụng còn lại của hàng hóa</w:t>
            </w:r>
          </w:p>
        </w:tc>
        <w:tc>
          <w:tcPr>
            <w:tcW w:w="5103" w:type="dxa"/>
            <w:vAlign w:val="center"/>
          </w:tcPr>
          <w:p w14:paraId="05FCAB8A" w14:textId="77777777" w:rsidR="008C56D7" w:rsidRPr="00927BB3" w:rsidRDefault="008C56D7" w:rsidP="002D1460">
            <w:pPr>
              <w:spacing w:before="120"/>
              <w:ind w:right="45"/>
              <w:rPr>
                <w:sz w:val="28"/>
                <w:szCs w:val="28"/>
              </w:rPr>
            </w:pPr>
            <w:r w:rsidRPr="00927BB3">
              <w:rPr>
                <w:sz w:val="28"/>
                <w:szCs w:val="28"/>
              </w:rPr>
              <w:t>Nhà thầu có văn bản cam kết thời hạn sử dụng còn lại của tất cả các mặt hàng thuộc gói thầu đạt từ 18 tháng trở lên kể từ ngày giao hàng.</w:t>
            </w:r>
          </w:p>
        </w:tc>
        <w:tc>
          <w:tcPr>
            <w:tcW w:w="1275" w:type="dxa"/>
            <w:vAlign w:val="center"/>
          </w:tcPr>
          <w:p w14:paraId="494D7286" w14:textId="77777777" w:rsidR="008C56D7" w:rsidRPr="00927BB3" w:rsidRDefault="008C56D7" w:rsidP="002D1460">
            <w:pPr>
              <w:ind w:right="45"/>
              <w:jc w:val="center"/>
              <w:rPr>
                <w:b/>
                <w:bCs/>
                <w:sz w:val="28"/>
                <w:szCs w:val="28"/>
              </w:rPr>
            </w:pPr>
            <w:r w:rsidRPr="00927BB3">
              <w:rPr>
                <w:b/>
                <w:bCs/>
                <w:sz w:val="28"/>
                <w:szCs w:val="28"/>
              </w:rPr>
              <w:t>Đạt</w:t>
            </w:r>
          </w:p>
        </w:tc>
        <w:tc>
          <w:tcPr>
            <w:tcW w:w="992" w:type="dxa"/>
            <w:vAlign w:val="center"/>
          </w:tcPr>
          <w:p w14:paraId="3B2F4AA8" w14:textId="77777777" w:rsidR="008C56D7" w:rsidRPr="00927BB3" w:rsidRDefault="008C56D7" w:rsidP="002D1460">
            <w:pPr>
              <w:spacing w:before="120" w:line="360" w:lineRule="auto"/>
              <w:ind w:right="43"/>
              <w:jc w:val="left"/>
              <w:rPr>
                <w:szCs w:val="28"/>
              </w:rPr>
            </w:pPr>
          </w:p>
        </w:tc>
      </w:tr>
      <w:tr w:rsidR="008C56D7" w:rsidRPr="00927BB3" w14:paraId="7278E0BB" w14:textId="77777777" w:rsidTr="002D1460">
        <w:tc>
          <w:tcPr>
            <w:tcW w:w="1980" w:type="dxa"/>
            <w:vMerge/>
            <w:vAlign w:val="center"/>
          </w:tcPr>
          <w:p w14:paraId="35B3B887" w14:textId="77777777" w:rsidR="008C56D7" w:rsidRPr="00927BB3" w:rsidRDefault="008C56D7" w:rsidP="002D1460">
            <w:pPr>
              <w:jc w:val="left"/>
              <w:rPr>
                <w:sz w:val="28"/>
                <w:szCs w:val="28"/>
              </w:rPr>
            </w:pPr>
          </w:p>
        </w:tc>
        <w:tc>
          <w:tcPr>
            <w:tcW w:w="5103" w:type="dxa"/>
            <w:vAlign w:val="center"/>
          </w:tcPr>
          <w:p w14:paraId="4ABAE8B0" w14:textId="77777777" w:rsidR="008C56D7" w:rsidRPr="00927BB3" w:rsidRDefault="008C56D7" w:rsidP="002D1460">
            <w:pPr>
              <w:spacing w:before="120"/>
              <w:ind w:right="45"/>
              <w:rPr>
                <w:sz w:val="28"/>
                <w:szCs w:val="28"/>
              </w:rPr>
            </w:pPr>
            <w:r w:rsidRPr="00927BB3">
              <w:rPr>
                <w:sz w:val="28"/>
                <w:szCs w:val="28"/>
              </w:rPr>
              <w:t>Nhà thầu không có cam kết theo đúng nội dung trên.</w:t>
            </w:r>
          </w:p>
        </w:tc>
        <w:tc>
          <w:tcPr>
            <w:tcW w:w="1275" w:type="dxa"/>
            <w:vAlign w:val="center"/>
          </w:tcPr>
          <w:p w14:paraId="7F7D7303" w14:textId="77777777" w:rsidR="008C56D7" w:rsidRPr="00927BB3" w:rsidRDefault="008C56D7" w:rsidP="002D1460">
            <w:pPr>
              <w:ind w:right="45"/>
              <w:jc w:val="center"/>
              <w:rPr>
                <w:b/>
                <w:bCs/>
                <w:sz w:val="28"/>
                <w:szCs w:val="28"/>
              </w:rPr>
            </w:pPr>
            <w:r w:rsidRPr="00927BB3">
              <w:rPr>
                <w:b/>
                <w:bCs/>
                <w:sz w:val="28"/>
                <w:szCs w:val="28"/>
              </w:rPr>
              <w:t>Không đạt</w:t>
            </w:r>
          </w:p>
        </w:tc>
        <w:tc>
          <w:tcPr>
            <w:tcW w:w="992" w:type="dxa"/>
            <w:vAlign w:val="center"/>
          </w:tcPr>
          <w:p w14:paraId="0AB23A72" w14:textId="77777777" w:rsidR="008C56D7" w:rsidRPr="00927BB3" w:rsidRDefault="008C56D7" w:rsidP="002D1460">
            <w:pPr>
              <w:spacing w:before="120" w:line="360" w:lineRule="auto"/>
              <w:ind w:right="43"/>
              <w:jc w:val="left"/>
              <w:rPr>
                <w:szCs w:val="28"/>
              </w:rPr>
            </w:pPr>
          </w:p>
        </w:tc>
      </w:tr>
      <w:tr w:rsidR="008C56D7" w:rsidRPr="00927BB3" w14:paraId="521E6CC9" w14:textId="77777777" w:rsidTr="002D1460">
        <w:tc>
          <w:tcPr>
            <w:tcW w:w="1980" w:type="dxa"/>
            <w:vMerge w:val="restart"/>
            <w:vAlign w:val="center"/>
          </w:tcPr>
          <w:p w14:paraId="2252646A" w14:textId="77777777" w:rsidR="008C56D7" w:rsidRPr="00927BB3" w:rsidRDefault="008C56D7" w:rsidP="002D1460">
            <w:pPr>
              <w:spacing w:before="120"/>
              <w:ind w:right="43"/>
              <w:jc w:val="left"/>
              <w:rPr>
                <w:b/>
                <w:bCs/>
                <w:sz w:val="28"/>
                <w:szCs w:val="28"/>
              </w:rPr>
            </w:pPr>
            <w:r w:rsidRPr="00927BB3">
              <w:rPr>
                <w:b/>
                <w:bCs/>
                <w:sz w:val="28"/>
                <w:szCs w:val="28"/>
              </w:rPr>
              <w:t>3. Tiến độ cung cấp hàng hóa</w:t>
            </w:r>
          </w:p>
        </w:tc>
        <w:tc>
          <w:tcPr>
            <w:tcW w:w="5103" w:type="dxa"/>
            <w:vAlign w:val="center"/>
          </w:tcPr>
          <w:p w14:paraId="4DE3015C" w14:textId="77777777" w:rsidR="008C56D7" w:rsidRPr="00927BB3" w:rsidRDefault="008C56D7" w:rsidP="002D1460">
            <w:pPr>
              <w:spacing w:before="120"/>
              <w:ind w:right="43"/>
              <w:rPr>
                <w:sz w:val="28"/>
                <w:szCs w:val="28"/>
              </w:rPr>
            </w:pPr>
            <w:r w:rsidRPr="00927BB3">
              <w:rPr>
                <w:sz w:val="28"/>
                <w:szCs w:val="28"/>
              </w:rPr>
              <w:t xml:space="preserve">Nhà thầu có văn bản cam kết giao đủ 100% khối lượng hàng hóa thuộc gói thầu trong thời gian tối đa </w:t>
            </w:r>
            <w:r>
              <w:rPr>
                <w:sz w:val="28"/>
                <w:szCs w:val="28"/>
              </w:rPr>
              <w:t>10 ngày</w:t>
            </w:r>
            <w:r w:rsidRPr="00927BB3">
              <w:rPr>
                <w:sz w:val="28"/>
                <w:szCs w:val="28"/>
              </w:rPr>
              <w:t xml:space="preserve"> kể từ ngày hợp đồng có hiệu lực. </w:t>
            </w:r>
          </w:p>
        </w:tc>
        <w:tc>
          <w:tcPr>
            <w:tcW w:w="1275" w:type="dxa"/>
            <w:vAlign w:val="center"/>
          </w:tcPr>
          <w:p w14:paraId="18B811DF" w14:textId="77777777" w:rsidR="008C56D7" w:rsidRPr="00927BB3" w:rsidRDefault="008C56D7" w:rsidP="002D1460">
            <w:pPr>
              <w:ind w:right="45"/>
              <w:jc w:val="center"/>
              <w:rPr>
                <w:szCs w:val="28"/>
              </w:rPr>
            </w:pPr>
            <w:r w:rsidRPr="00927BB3">
              <w:rPr>
                <w:b/>
                <w:bCs/>
                <w:sz w:val="28"/>
                <w:szCs w:val="28"/>
              </w:rPr>
              <w:t>Đạt</w:t>
            </w:r>
          </w:p>
        </w:tc>
        <w:tc>
          <w:tcPr>
            <w:tcW w:w="992" w:type="dxa"/>
            <w:vAlign w:val="center"/>
          </w:tcPr>
          <w:p w14:paraId="68925D9E" w14:textId="77777777" w:rsidR="008C56D7" w:rsidRPr="00927BB3" w:rsidRDefault="008C56D7" w:rsidP="002D1460">
            <w:pPr>
              <w:spacing w:before="120" w:line="360" w:lineRule="auto"/>
              <w:ind w:right="43"/>
              <w:jc w:val="left"/>
              <w:rPr>
                <w:szCs w:val="28"/>
              </w:rPr>
            </w:pPr>
          </w:p>
        </w:tc>
      </w:tr>
      <w:tr w:rsidR="008C56D7" w:rsidRPr="00927BB3" w14:paraId="498D709D" w14:textId="77777777" w:rsidTr="002D1460">
        <w:trPr>
          <w:trHeight w:val="629"/>
        </w:trPr>
        <w:tc>
          <w:tcPr>
            <w:tcW w:w="1980" w:type="dxa"/>
            <w:vMerge/>
            <w:vAlign w:val="center"/>
          </w:tcPr>
          <w:p w14:paraId="7440348E" w14:textId="77777777" w:rsidR="008C56D7" w:rsidRPr="00927BB3" w:rsidRDefault="008C56D7" w:rsidP="002D1460">
            <w:pPr>
              <w:jc w:val="left"/>
              <w:rPr>
                <w:sz w:val="28"/>
                <w:szCs w:val="28"/>
              </w:rPr>
            </w:pPr>
          </w:p>
        </w:tc>
        <w:tc>
          <w:tcPr>
            <w:tcW w:w="5103" w:type="dxa"/>
            <w:vAlign w:val="center"/>
          </w:tcPr>
          <w:p w14:paraId="5E2D2E1C" w14:textId="77777777" w:rsidR="008C56D7" w:rsidRPr="00927BB3" w:rsidRDefault="008C56D7" w:rsidP="002D1460">
            <w:pPr>
              <w:spacing w:before="120"/>
              <w:ind w:right="43"/>
              <w:rPr>
                <w:sz w:val="28"/>
                <w:szCs w:val="28"/>
              </w:rPr>
            </w:pPr>
            <w:r w:rsidRPr="00927BB3">
              <w:rPr>
                <w:sz w:val="28"/>
                <w:szCs w:val="28"/>
              </w:rPr>
              <w:t>Nhà thầu không có cam kết theo nội dung trên.</w:t>
            </w:r>
          </w:p>
        </w:tc>
        <w:tc>
          <w:tcPr>
            <w:tcW w:w="1275" w:type="dxa"/>
            <w:vAlign w:val="center"/>
          </w:tcPr>
          <w:p w14:paraId="064ED233" w14:textId="77777777" w:rsidR="008C56D7" w:rsidRPr="00927BB3" w:rsidRDefault="008C56D7" w:rsidP="002D1460">
            <w:pPr>
              <w:ind w:right="45"/>
              <w:jc w:val="center"/>
              <w:rPr>
                <w:szCs w:val="28"/>
              </w:rPr>
            </w:pPr>
            <w:r w:rsidRPr="00927BB3">
              <w:rPr>
                <w:b/>
                <w:bCs/>
                <w:sz w:val="28"/>
                <w:szCs w:val="28"/>
              </w:rPr>
              <w:t>Không đạt</w:t>
            </w:r>
          </w:p>
        </w:tc>
        <w:tc>
          <w:tcPr>
            <w:tcW w:w="992" w:type="dxa"/>
            <w:vAlign w:val="center"/>
          </w:tcPr>
          <w:p w14:paraId="18E2A2D4" w14:textId="77777777" w:rsidR="008C56D7" w:rsidRPr="00927BB3" w:rsidRDefault="008C56D7" w:rsidP="002D1460">
            <w:pPr>
              <w:spacing w:before="120" w:line="360" w:lineRule="auto"/>
              <w:ind w:right="43"/>
              <w:jc w:val="left"/>
              <w:rPr>
                <w:szCs w:val="28"/>
              </w:rPr>
            </w:pPr>
          </w:p>
        </w:tc>
      </w:tr>
      <w:tr w:rsidR="008C56D7" w:rsidRPr="00927BB3" w14:paraId="7DFEEC0A" w14:textId="77777777" w:rsidTr="002D1460">
        <w:tc>
          <w:tcPr>
            <w:tcW w:w="1980" w:type="dxa"/>
            <w:vMerge w:val="restart"/>
            <w:vAlign w:val="center"/>
          </w:tcPr>
          <w:p w14:paraId="52260975" w14:textId="77777777" w:rsidR="008C56D7" w:rsidRPr="00927BB3" w:rsidRDefault="008C56D7" w:rsidP="002D1460">
            <w:pPr>
              <w:spacing w:before="120"/>
              <w:ind w:right="43"/>
              <w:jc w:val="left"/>
              <w:rPr>
                <w:b/>
                <w:bCs/>
                <w:sz w:val="28"/>
                <w:szCs w:val="28"/>
              </w:rPr>
            </w:pPr>
            <w:r w:rsidRPr="00927BB3">
              <w:rPr>
                <w:b/>
                <w:bCs/>
                <w:sz w:val="28"/>
                <w:szCs w:val="28"/>
              </w:rPr>
              <w:t>4. Mức độ đáp ứng các yêu cầu về bảo hành, giải quyết khiếu nại khách hàng</w:t>
            </w:r>
          </w:p>
        </w:tc>
        <w:tc>
          <w:tcPr>
            <w:tcW w:w="5103" w:type="dxa"/>
            <w:vAlign w:val="center"/>
          </w:tcPr>
          <w:p w14:paraId="18459FDA" w14:textId="77777777" w:rsidR="008C56D7" w:rsidRPr="00927BB3" w:rsidRDefault="008C56D7" w:rsidP="002D1460">
            <w:pPr>
              <w:spacing w:before="120"/>
              <w:ind w:right="43"/>
              <w:rPr>
                <w:sz w:val="28"/>
                <w:szCs w:val="28"/>
              </w:rPr>
            </w:pPr>
            <w:r w:rsidRPr="00927BB3">
              <w:rPr>
                <w:sz w:val="28"/>
                <w:szCs w:val="28"/>
              </w:rPr>
              <w:t>Nhà thầu có văn bản cam kết cung cấp dịch vụ bảo hành, giải quyết khiếu nại khách hàng (bao gồm cả cung cấp hàng hóa thay thế) trong trường hợp nhận được yêu cầu của chủ đầu tư. Thời gian phản hồi yêu cầu của chủ đầu tư tối đa 0</w:t>
            </w:r>
            <w:r>
              <w:rPr>
                <w:sz w:val="28"/>
                <w:szCs w:val="28"/>
              </w:rPr>
              <w:t>3</w:t>
            </w:r>
            <w:r w:rsidRPr="00927BB3">
              <w:rPr>
                <w:sz w:val="28"/>
                <w:szCs w:val="28"/>
              </w:rPr>
              <w:t xml:space="preserve"> ngày làm việc kể từ lúc nhận được yêu cầu. Việc cung cấp dịch vụ bảo hành, giải quyết khiếu nại khách hàng được thực hiện theo quy định, tiêu chuẩn của nhà sản xuất.</w:t>
            </w:r>
          </w:p>
        </w:tc>
        <w:tc>
          <w:tcPr>
            <w:tcW w:w="1275" w:type="dxa"/>
            <w:vAlign w:val="center"/>
          </w:tcPr>
          <w:p w14:paraId="42123993" w14:textId="77777777" w:rsidR="008C56D7" w:rsidRPr="00927BB3" w:rsidRDefault="008C56D7" w:rsidP="002D1460">
            <w:pPr>
              <w:ind w:right="45"/>
              <w:jc w:val="center"/>
              <w:rPr>
                <w:szCs w:val="28"/>
              </w:rPr>
            </w:pPr>
            <w:r w:rsidRPr="00927BB3">
              <w:rPr>
                <w:b/>
                <w:bCs/>
                <w:sz w:val="28"/>
                <w:szCs w:val="28"/>
              </w:rPr>
              <w:t>Đạt</w:t>
            </w:r>
          </w:p>
        </w:tc>
        <w:tc>
          <w:tcPr>
            <w:tcW w:w="992" w:type="dxa"/>
            <w:vAlign w:val="center"/>
          </w:tcPr>
          <w:p w14:paraId="50378BE7" w14:textId="77777777" w:rsidR="008C56D7" w:rsidRPr="00927BB3" w:rsidRDefault="008C56D7" w:rsidP="002D1460">
            <w:pPr>
              <w:spacing w:before="120" w:line="360" w:lineRule="auto"/>
              <w:ind w:right="43"/>
              <w:jc w:val="left"/>
              <w:rPr>
                <w:szCs w:val="28"/>
              </w:rPr>
            </w:pPr>
          </w:p>
        </w:tc>
      </w:tr>
      <w:tr w:rsidR="008C56D7" w:rsidRPr="00927BB3" w14:paraId="4BA5CF30" w14:textId="77777777" w:rsidTr="002D1460">
        <w:trPr>
          <w:trHeight w:val="629"/>
        </w:trPr>
        <w:tc>
          <w:tcPr>
            <w:tcW w:w="1980" w:type="dxa"/>
            <w:vMerge/>
            <w:vAlign w:val="center"/>
          </w:tcPr>
          <w:p w14:paraId="37B234A5" w14:textId="77777777" w:rsidR="008C56D7" w:rsidRPr="00927BB3" w:rsidRDefault="008C56D7" w:rsidP="002D1460">
            <w:pPr>
              <w:jc w:val="left"/>
              <w:rPr>
                <w:sz w:val="28"/>
                <w:szCs w:val="28"/>
              </w:rPr>
            </w:pPr>
          </w:p>
        </w:tc>
        <w:tc>
          <w:tcPr>
            <w:tcW w:w="5103" w:type="dxa"/>
            <w:vAlign w:val="center"/>
          </w:tcPr>
          <w:p w14:paraId="4A9A5EE7" w14:textId="77777777" w:rsidR="008C56D7" w:rsidRPr="00927BB3" w:rsidRDefault="008C56D7" w:rsidP="002D1460">
            <w:pPr>
              <w:spacing w:before="120"/>
              <w:ind w:right="43"/>
              <w:rPr>
                <w:sz w:val="28"/>
                <w:szCs w:val="28"/>
              </w:rPr>
            </w:pPr>
            <w:r w:rsidRPr="00927BB3">
              <w:rPr>
                <w:sz w:val="28"/>
                <w:szCs w:val="28"/>
              </w:rPr>
              <w:t>Nhà thầu không cam kết theo nội dung trên.</w:t>
            </w:r>
          </w:p>
        </w:tc>
        <w:tc>
          <w:tcPr>
            <w:tcW w:w="1275" w:type="dxa"/>
            <w:vAlign w:val="center"/>
          </w:tcPr>
          <w:p w14:paraId="1F37B044" w14:textId="77777777" w:rsidR="008C56D7" w:rsidRPr="00927BB3" w:rsidRDefault="008C56D7" w:rsidP="002D1460">
            <w:pPr>
              <w:ind w:right="45"/>
              <w:jc w:val="center"/>
              <w:rPr>
                <w:szCs w:val="28"/>
              </w:rPr>
            </w:pPr>
            <w:r w:rsidRPr="00927BB3">
              <w:rPr>
                <w:b/>
                <w:bCs/>
                <w:sz w:val="28"/>
                <w:szCs w:val="28"/>
              </w:rPr>
              <w:t>Không đạt</w:t>
            </w:r>
          </w:p>
        </w:tc>
        <w:tc>
          <w:tcPr>
            <w:tcW w:w="992" w:type="dxa"/>
            <w:vAlign w:val="center"/>
          </w:tcPr>
          <w:p w14:paraId="3671ED35" w14:textId="77777777" w:rsidR="008C56D7" w:rsidRPr="00927BB3" w:rsidRDefault="008C56D7" w:rsidP="002D1460">
            <w:pPr>
              <w:spacing w:before="120" w:line="360" w:lineRule="auto"/>
              <w:ind w:right="43"/>
              <w:jc w:val="left"/>
              <w:rPr>
                <w:szCs w:val="28"/>
              </w:rPr>
            </w:pPr>
          </w:p>
        </w:tc>
      </w:tr>
      <w:tr w:rsidR="008C56D7" w:rsidRPr="00927BB3" w14:paraId="724ED453" w14:textId="77777777" w:rsidTr="002D1460">
        <w:trPr>
          <w:trHeight w:val="771"/>
        </w:trPr>
        <w:tc>
          <w:tcPr>
            <w:tcW w:w="1980" w:type="dxa"/>
            <w:vMerge w:val="restart"/>
            <w:vAlign w:val="center"/>
          </w:tcPr>
          <w:p w14:paraId="330A4279" w14:textId="77777777" w:rsidR="008C56D7" w:rsidRPr="00927BB3" w:rsidRDefault="008C56D7" w:rsidP="002D1460">
            <w:pPr>
              <w:jc w:val="left"/>
              <w:rPr>
                <w:sz w:val="28"/>
                <w:szCs w:val="28"/>
              </w:rPr>
            </w:pPr>
            <w:r w:rsidRPr="00927BB3">
              <w:rPr>
                <w:b/>
                <w:sz w:val="28"/>
                <w:szCs w:val="28"/>
              </w:rPr>
              <w:t>Kết luận:</w:t>
            </w:r>
          </w:p>
        </w:tc>
        <w:tc>
          <w:tcPr>
            <w:tcW w:w="5103" w:type="dxa"/>
            <w:vAlign w:val="center"/>
          </w:tcPr>
          <w:p w14:paraId="2BA4F439" w14:textId="77777777" w:rsidR="008C56D7" w:rsidRPr="00927BB3" w:rsidRDefault="008C56D7" w:rsidP="002D1460">
            <w:pPr>
              <w:rPr>
                <w:sz w:val="28"/>
                <w:szCs w:val="28"/>
              </w:rPr>
            </w:pPr>
            <w:r w:rsidRPr="00927BB3">
              <w:rPr>
                <w:sz w:val="28"/>
                <w:szCs w:val="28"/>
              </w:rPr>
              <w:t>E-HSDT được đánh giá là đáp ứng yêu cầu về kỹ thuật khi có tất cả các tiêu chí nêu trên đều được đánh giá là đạt.</w:t>
            </w:r>
            <w:r w:rsidRPr="00927BB3">
              <w:rPr>
                <w:b/>
                <w:sz w:val="28"/>
                <w:szCs w:val="28"/>
              </w:rPr>
              <w:t xml:space="preserve"> </w:t>
            </w:r>
          </w:p>
        </w:tc>
        <w:tc>
          <w:tcPr>
            <w:tcW w:w="1275" w:type="dxa"/>
            <w:vAlign w:val="center"/>
          </w:tcPr>
          <w:p w14:paraId="723A077F" w14:textId="77777777" w:rsidR="008C56D7" w:rsidRPr="00927BB3" w:rsidRDefault="008C56D7" w:rsidP="002D1460">
            <w:pPr>
              <w:jc w:val="center"/>
              <w:rPr>
                <w:b/>
                <w:bCs/>
                <w:szCs w:val="28"/>
              </w:rPr>
            </w:pPr>
            <w:r w:rsidRPr="00927BB3">
              <w:rPr>
                <w:b/>
                <w:bCs/>
                <w:sz w:val="28"/>
                <w:szCs w:val="28"/>
                <w:lang w:val="vi-VN"/>
              </w:rPr>
              <w:t>Đạt</w:t>
            </w:r>
          </w:p>
        </w:tc>
        <w:tc>
          <w:tcPr>
            <w:tcW w:w="992" w:type="dxa"/>
            <w:vAlign w:val="center"/>
          </w:tcPr>
          <w:p w14:paraId="373E7658" w14:textId="77777777" w:rsidR="008C56D7" w:rsidRPr="00927BB3" w:rsidRDefault="008C56D7" w:rsidP="002D1460">
            <w:pPr>
              <w:spacing w:before="120" w:line="360" w:lineRule="auto"/>
              <w:ind w:right="43"/>
              <w:jc w:val="left"/>
              <w:rPr>
                <w:b/>
                <w:bCs/>
                <w:szCs w:val="28"/>
              </w:rPr>
            </w:pPr>
          </w:p>
        </w:tc>
      </w:tr>
      <w:tr w:rsidR="008C56D7" w:rsidRPr="00927BB3" w14:paraId="3F13405F" w14:textId="77777777" w:rsidTr="002D1460">
        <w:tc>
          <w:tcPr>
            <w:tcW w:w="1980" w:type="dxa"/>
            <w:vMerge/>
            <w:vAlign w:val="center"/>
          </w:tcPr>
          <w:p w14:paraId="5534637F" w14:textId="77777777" w:rsidR="008C56D7" w:rsidRPr="00927BB3" w:rsidRDefault="008C56D7" w:rsidP="002D1460">
            <w:pPr>
              <w:jc w:val="left"/>
              <w:rPr>
                <w:sz w:val="28"/>
                <w:szCs w:val="28"/>
              </w:rPr>
            </w:pPr>
          </w:p>
        </w:tc>
        <w:tc>
          <w:tcPr>
            <w:tcW w:w="5103" w:type="dxa"/>
            <w:vAlign w:val="center"/>
          </w:tcPr>
          <w:p w14:paraId="55D9D5FA" w14:textId="77777777" w:rsidR="008C56D7" w:rsidRPr="00927BB3" w:rsidRDefault="008C56D7" w:rsidP="002D1460">
            <w:pPr>
              <w:rPr>
                <w:sz w:val="28"/>
                <w:szCs w:val="28"/>
              </w:rPr>
            </w:pPr>
            <w:r w:rsidRPr="00927BB3">
              <w:rPr>
                <w:sz w:val="28"/>
                <w:szCs w:val="28"/>
              </w:rPr>
              <w:t xml:space="preserve">Có từ </w:t>
            </w:r>
            <w:r w:rsidRPr="00927BB3">
              <w:rPr>
                <w:b/>
                <w:bCs/>
                <w:sz w:val="28"/>
                <w:szCs w:val="28"/>
              </w:rPr>
              <w:t>01</w:t>
            </w:r>
            <w:r w:rsidRPr="00927BB3">
              <w:rPr>
                <w:b/>
                <w:bCs/>
                <w:spacing w:val="-12"/>
                <w:sz w:val="28"/>
                <w:szCs w:val="28"/>
              </w:rPr>
              <w:t xml:space="preserve"> (một) </w:t>
            </w:r>
            <w:r w:rsidRPr="00927BB3">
              <w:rPr>
                <w:sz w:val="28"/>
                <w:szCs w:val="28"/>
              </w:rPr>
              <w:t>tiêu chí đánh giá</w:t>
            </w:r>
            <w:r w:rsidRPr="00927BB3">
              <w:rPr>
                <w:spacing w:val="-8"/>
                <w:sz w:val="28"/>
                <w:szCs w:val="28"/>
              </w:rPr>
              <w:t xml:space="preserve"> trở lên </w:t>
            </w:r>
            <w:r w:rsidRPr="00927BB3">
              <w:rPr>
                <w:sz w:val="28"/>
                <w:szCs w:val="28"/>
              </w:rPr>
              <w:t>được xác định là không đạt.</w:t>
            </w:r>
          </w:p>
        </w:tc>
        <w:tc>
          <w:tcPr>
            <w:tcW w:w="1275" w:type="dxa"/>
            <w:vAlign w:val="center"/>
          </w:tcPr>
          <w:p w14:paraId="20F2C5AB" w14:textId="77777777" w:rsidR="008C56D7" w:rsidRPr="00927BB3" w:rsidRDefault="008C56D7" w:rsidP="002D1460">
            <w:pPr>
              <w:jc w:val="center"/>
              <w:rPr>
                <w:b/>
                <w:bCs/>
                <w:szCs w:val="28"/>
              </w:rPr>
            </w:pPr>
            <w:r w:rsidRPr="00927BB3">
              <w:rPr>
                <w:b/>
                <w:bCs/>
                <w:sz w:val="28"/>
                <w:szCs w:val="28"/>
              </w:rPr>
              <w:t>Không đạt</w:t>
            </w:r>
          </w:p>
        </w:tc>
        <w:tc>
          <w:tcPr>
            <w:tcW w:w="992" w:type="dxa"/>
            <w:vAlign w:val="center"/>
          </w:tcPr>
          <w:p w14:paraId="1C95EF8A" w14:textId="77777777" w:rsidR="008C56D7" w:rsidRPr="00927BB3" w:rsidRDefault="008C56D7" w:rsidP="002D1460">
            <w:pPr>
              <w:spacing w:before="120" w:line="360" w:lineRule="auto"/>
              <w:ind w:right="43"/>
              <w:jc w:val="left"/>
              <w:rPr>
                <w:b/>
                <w:bCs/>
                <w:szCs w:val="28"/>
              </w:rPr>
            </w:pPr>
          </w:p>
        </w:tc>
      </w:tr>
    </w:tbl>
    <w:p w14:paraId="6099620A" w14:textId="77777777" w:rsidR="008C56D7" w:rsidRDefault="008C56D7" w:rsidP="008C56D7">
      <w:pPr>
        <w:spacing w:before="80" w:after="80" w:line="264" w:lineRule="auto"/>
        <w:ind w:firstLine="709"/>
        <w:rPr>
          <w:sz w:val="28"/>
          <w:szCs w:val="28"/>
          <w:lang w:val="es-ES"/>
        </w:rPr>
      </w:pPr>
    </w:p>
    <w:p w14:paraId="7752F830" w14:textId="77777777" w:rsidR="008C56D7" w:rsidRDefault="008C56D7" w:rsidP="008C56D7">
      <w:pPr>
        <w:spacing w:before="80" w:after="80" w:line="264" w:lineRule="auto"/>
        <w:ind w:firstLine="709"/>
        <w:rPr>
          <w:sz w:val="28"/>
          <w:szCs w:val="28"/>
          <w:lang w:val="es-ES"/>
        </w:rPr>
      </w:pPr>
    </w:p>
    <w:p w14:paraId="4508527B" w14:textId="77777777" w:rsidR="008C56D7" w:rsidRDefault="008C56D7" w:rsidP="008C56D7">
      <w:pPr>
        <w:spacing w:before="80" w:after="80" w:line="264" w:lineRule="auto"/>
        <w:ind w:firstLine="709"/>
        <w:rPr>
          <w:sz w:val="28"/>
          <w:szCs w:val="28"/>
          <w:lang w:val="es-ES"/>
        </w:rPr>
      </w:pPr>
    </w:p>
    <w:p w14:paraId="6B511B10" w14:textId="77777777" w:rsidR="008C56D7" w:rsidRDefault="008C56D7" w:rsidP="008C56D7">
      <w:pPr>
        <w:spacing w:before="80" w:after="80" w:line="264" w:lineRule="auto"/>
        <w:ind w:firstLine="709"/>
        <w:rPr>
          <w:sz w:val="28"/>
          <w:szCs w:val="28"/>
          <w:lang w:val="es-ES"/>
        </w:rPr>
      </w:pPr>
    </w:p>
    <w:p w14:paraId="2188219C" w14:textId="77777777" w:rsidR="008C56D7" w:rsidRDefault="008C56D7" w:rsidP="008C56D7">
      <w:pPr>
        <w:spacing w:before="80" w:after="80" w:line="264" w:lineRule="auto"/>
        <w:ind w:firstLine="709"/>
        <w:rPr>
          <w:sz w:val="28"/>
          <w:szCs w:val="28"/>
          <w:lang w:val="es-ES"/>
        </w:rPr>
      </w:pPr>
    </w:p>
    <w:p w14:paraId="7E7E2D9E" w14:textId="77777777" w:rsidR="008C56D7" w:rsidRDefault="008C56D7" w:rsidP="008C56D7">
      <w:pPr>
        <w:spacing w:before="80" w:after="80" w:line="264" w:lineRule="auto"/>
        <w:ind w:firstLine="709"/>
        <w:rPr>
          <w:sz w:val="28"/>
          <w:szCs w:val="28"/>
          <w:lang w:val="es-ES"/>
        </w:rPr>
      </w:pPr>
    </w:p>
    <w:p w14:paraId="49A8FF55" w14:textId="77777777" w:rsidR="008C56D7" w:rsidRDefault="008C56D7" w:rsidP="008C56D7">
      <w:pPr>
        <w:spacing w:before="80" w:after="80" w:line="264" w:lineRule="auto"/>
        <w:ind w:firstLine="709"/>
        <w:rPr>
          <w:sz w:val="28"/>
          <w:szCs w:val="28"/>
          <w:lang w:val="es-ES"/>
        </w:rPr>
      </w:pPr>
    </w:p>
    <w:p w14:paraId="7358404F" w14:textId="77777777" w:rsidR="008C56D7" w:rsidRDefault="008C56D7" w:rsidP="008C56D7">
      <w:pPr>
        <w:spacing w:before="80" w:after="80" w:line="264" w:lineRule="auto"/>
        <w:ind w:firstLine="709"/>
        <w:rPr>
          <w:sz w:val="28"/>
          <w:szCs w:val="28"/>
          <w:lang w:val="es-ES"/>
        </w:rPr>
      </w:pPr>
    </w:p>
    <w:p w14:paraId="1BA80E23" w14:textId="77777777" w:rsidR="008C56D7" w:rsidRPr="00EA6856" w:rsidRDefault="008C56D7" w:rsidP="008C56D7">
      <w:pPr>
        <w:spacing w:before="80" w:after="80" w:line="264" w:lineRule="auto"/>
        <w:ind w:firstLine="709"/>
        <w:rPr>
          <w:sz w:val="28"/>
          <w:szCs w:val="28"/>
          <w:lang w:val="es-ES"/>
        </w:rPr>
      </w:pPr>
    </w:p>
    <w:p w14:paraId="19331CE0" w14:textId="77777777" w:rsidR="008C56D7" w:rsidRPr="00EA6856" w:rsidRDefault="008C56D7" w:rsidP="008C56D7"/>
    <w:p w14:paraId="2A18D1D3" w14:textId="77777777" w:rsidR="008C56D7" w:rsidRDefault="008C56D7"/>
    <w:sectPr w:rsidR="008C5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B46B" w14:textId="77777777" w:rsidR="00D37531" w:rsidRDefault="00D37531" w:rsidP="008C56D7">
      <w:r>
        <w:separator/>
      </w:r>
    </w:p>
  </w:endnote>
  <w:endnote w:type="continuationSeparator" w:id="0">
    <w:p w14:paraId="7A12A7EE" w14:textId="77777777" w:rsidR="00D37531" w:rsidRDefault="00D37531" w:rsidP="008C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AD31" w14:textId="77777777" w:rsidR="00D37531" w:rsidRDefault="00D37531" w:rsidP="008C56D7">
      <w:r>
        <w:separator/>
      </w:r>
    </w:p>
  </w:footnote>
  <w:footnote w:type="continuationSeparator" w:id="0">
    <w:p w14:paraId="0893995C" w14:textId="77777777" w:rsidR="00D37531" w:rsidRDefault="00D37531" w:rsidP="008C56D7">
      <w:r>
        <w:continuationSeparator/>
      </w:r>
    </w:p>
  </w:footnote>
  <w:footnote w:id="1">
    <w:p w14:paraId="58E76DC7" w14:textId="77777777" w:rsidR="008C56D7" w:rsidRPr="00E951D2" w:rsidRDefault="008C56D7" w:rsidP="008C56D7">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D7"/>
    <w:rsid w:val="002927F3"/>
    <w:rsid w:val="008C56D7"/>
    <w:rsid w:val="00D3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946D"/>
  <w15:chartTrackingRefBased/>
  <w15:docId w15:val="{7C566DA3-1C04-4AA7-A26D-6EA4C940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6D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C56D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56D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56D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56D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C56D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C56D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C56D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C56D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C56D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6D7"/>
    <w:rPr>
      <w:rFonts w:eastAsiaTheme="majorEastAsia" w:cstheme="majorBidi"/>
      <w:color w:val="272727" w:themeColor="text1" w:themeTint="D8"/>
    </w:rPr>
  </w:style>
  <w:style w:type="paragraph" w:styleId="Title">
    <w:name w:val="Title"/>
    <w:basedOn w:val="Normal"/>
    <w:next w:val="Normal"/>
    <w:link w:val="TitleChar"/>
    <w:uiPriority w:val="10"/>
    <w:qFormat/>
    <w:rsid w:val="008C56D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5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6D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5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6D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C56D7"/>
    <w:rPr>
      <w:i/>
      <w:iCs/>
      <w:color w:val="404040" w:themeColor="text1" w:themeTint="BF"/>
    </w:rPr>
  </w:style>
  <w:style w:type="paragraph" w:styleId="ListParagraph">
    <w:name w:val="List Paragraph"/>
    <w:basedOn w:val="Normal"/>
    <w:uiPriority w:val="34"/>
    <w:qFormat/>
    <w:rsid w:val="008C56D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C56D7"/>
    <w:rPr>
      <w:i/>
      <w:iCs/>
      <w:color w:val="0F4761" w:themeColor="accent1" w:themeShade="BF"/>
    </w:rPr>
  </w:style>
  <w:style w:type="paragraph" w:styleId="IntenseQuote">
    <w:name w:val="Intense Quote"/>
    <w:basedOn w:val="Normal"/>
    <w:next w:val="Normal"/>
    <w:link w:val="IntenseQuoteChar"/>
    <w:uiPriority w:val="30"/>
    <w:qFormat/>
    <w:rsid w:val="008C56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C56D7"/>
    <w:rPr>
      <w:i/>
      <w:iCs/>
      <w:color w:val="0F4761" w:themeColor="accent1" w:themeShade="BF"/>
    </w:rPr>
  </w:style>
  <w:style w:type="character" w:styleId="IntenseReference">
    <w:name w:val="Intense Reference"/>
    <w:basedOn w:val="DefaultParagraphFont"/>
    <w:uiPriority w:val="32"/>
    <w:qFormat/>
    <w:rsid w:val="008C56D7"/>
    <w:rPr>
      <w:b/>
      <w:bCs/>
      <w:smallCaps/>
      <w:color w:val="0F4761" w:themeColor="accent1" w:themeShade="BF"/>
      <w:spacing w:val="5"/>
    </w:rPr>
  </w:style>
  <w:style w:type="paragraph" w:styleId="TOC1">
    <w:name w:val="toc 1"/>
    <w:basedOn w:val="Normal"/>
    <w:next w:val="Normal"/>
    <w:autoRedefine/>
    <w:uiPriority w:val="39"/>
    <w:qFormat/>
    <w:rsid w:val="008C56D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C56D7"/>
    <w:pPr>
      <w:tabs>
        <w:tab w:val="left" w:pos="360"/>
      </w:tabs>
      <w:ind w:left="360" w:hanging="360"/>
    </w:pPr>
    <w:rPr>
      <w:sz w:val="20"/>
    </w:rPr>
  </w:style>
  <w:style w:type="character" w:customStyle="1" w:styleId="FootnoteTextChar">
    <w:name w:val="Footnote Text Char"/>
    <w:basedOn w:val="DefaultParagraphFont"/>
    <w:link w:val="FootnoteText"/>
    <w:rsid w:val="008C56D7"/>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8C5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2025-11-13T03:38:00Z</dcterms:created>
  <dcterms:modified xsi:type="dcterms:W3CDTF">2025-11-13T03:38:00Z</dcterms:modified>
</cp:coreProperties>
</file>