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EC44947"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CB3E0A" w:rsidRPr="00CB3E0A">
        <w:rPr>
          <w:color w:val="000000"/>
          <w:sz w:val="28"/>
          <w:szCs w:val="28"/>
          <w:lang w:val="es-PE"/>
        </w:rPr>
        <w:t>Xây dựng 03 phòng học chức năng và các hạng mục phụ trợ trường THCS Khánh Công</w:t>
      </w:r>
      <w:r>
        <w:rPr>
          <w:color w:val="000000"/>
          <w:sz w:val="28"/>
          <w:szCs w:val="28"/>
          <w:lang w:val="es-PE"/>
        </w:rPr>
        <w:t>.</w:t>
      </w:r>
    </w:p>
    <w:p w14:paraId="69CB1A4C" w14:textId="7DDC9E7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5856A3">
        <w:rPr>
          <w:color w:val="000000"/>
          <w:sz w:val="28"/>
          <w:szCs w:val="28"/>
          <w:lang w:val="es-PE"/>
        </w:rPr>
        <w:t>Khánh Trung</w:t>
      </w:r>
      <w:r w:rsidR="00062DD1">
        <w:rPr>
          <w:color w:val="000000"/>
          <w:sz w:val="28"/>
          <w:szCs w:val="28"/>
          <w:lang w:val="es-PE"/>
        </w:rPr>
        <w:t>, tỉnh Ninh Bình</w:t>
      </w:r>
      <w:r>
        <w:rPr>
          <w:color w:val="000000"/>
          <w:sz w:val="28"/>
          <w:szCs w:val="28"/>
          <w:lang w:val="es-PE"/>
        </w:rPr>
        <w:t>.</w:t>
      </w:r>
    </w:p>
    <w:p w14:paraId="69CB1A4D" w14:textId="21A3F6D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E92F04">
        <w:rPr>
          <w:color w:val="000000"/>
          <w:sz w:val="28"/>
          <w:szCs w:val="28"/>
          <w:lang w:val="es-PE"/>
        </w:rPr>
        <w:t xml:space="preserve">xã </w:t>
      </w:r>
      <w:r w:rsidR="005856A3">
        <w:rPr>
          <w:color w:val="000000"/>
          <w:sz w:val="28"/>
          <w:szCs w:val="28"/>
          <w:lang w:val="es-PE"/>
        </w:rPr>
        <w:t>Khánh Trung</w:t>
      </w:r>
      <w:r>
        <w:rPr>
          <w:color w:val="000000"/>
          <w:sz w:val="28"/>
          <w:szCs w:val="28"/>
          <w:lang w:val="es-PE"/>
        </w:rPr>
        <w:t>.</w:t>
      </w:r>
    </w:p>
    <w:p w14:paraId="69CB1A4E" w14:textId="12EA125F"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856A3">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5DA054CB" w14:textId="79700357"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.1. Nhà lớp học 03 tầng 03 phòng:</w:t>
      </w:r>
    </w:p>
    <w:p w14:paraId="6AE1E0D0"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xml:space="preserve">Diện tích xây dựng (12,25 x 9,6)m = 117,6m2, tổng diện tích sàn 352,8 m2. </w:t>
      </w:r>
    </w:p>
    <w:p w14:paraId="767A6912"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a) Giải pháp kiến trúc:</w:t>
      </w:r>
    </w:p>
    <w:p w14:paraId="511DCBC1"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Nhà 03 tầng, Chiều dài nhà 12,25m, chiều rộng nhà 9,6m. Chiều cao nhà tính từ cao độ sân hoàn thiện là 13,2m. Trong đó:</w:t>
      </w:r>
    </w:p>
    <w:p w14:paraId="7F1E7A75"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Chiều cao nền so với cao độ sân hoàn thiện 0,45m;</w:t>
      </w:r>
    </w:p>
    <w:p w14:paraId="4F4CE86B"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Chiều cao tầng 1 bằng 3,6m;</w:t>
      </w:r>
    </w:p>
    <w:p w14:paraId="547D2BE8"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Chiều cao tầng 2 bằng 3,6m;</w:t>
      </w:r>
    </w:p>
    <w:p w14:paraId="610A57B8"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Chiều cao tầng 3 bằng 3,6m;</w:t>
      </w:r>
    </w:p>
    <w:p w14:paraId="64D41205"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Chiều cao mái bằng 2,4m.</w:t>
      </w:r>
    </w:p>
    <w:p w14:paraId="36C44466"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Hoàn thiện: Trát tường trong, tường ngoài VXM mác 75; Trát dầm, trần, cầu thang, cột, má cửa, phào chỉ VXM mác 100. Chống thấm sê nô mái bằng màng khò nóng Composite lưới thủy tinh. Toàn bộ tường trong, ngoài nhà lăn sơn 03 nước 1 nước lót, 2 nước phủ. Cửa đi, cửa sổ, vách kính sử dụng cửa nhôm Xingfa, kính 02 lớp dày 6,38mm, cửa sổ có khung bảo vệ bằng inox (14x14x1,0)mm. Nền nhà và hành lang lát gạch kích thước (60x60)cm, ốp gạch thẻ chân tường trong phòng gạch kích thước (12x60)cm. Mặt và cổ bậc tam cấp, bậc cầu thang lát đá granit. Lan can hành lang xây gạch, trát vữa xi măng, lăn sơn 3 nước 1 nước lót, 2 nước phủ.</w:t>
      </w:r>
    </w:p>
    <w:p w14:paraId="2280DD31"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b) Giải pháp kết cấu:</w:t>
      </w:r>
    </w:p>
    <w:p w14:paraId="44B25600"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xml:space="preserve">- Phần móng: Sử dụng hệ móng cọc bê tông cốt thép (BTCT), đài móng, dầm móng BTCT đá 1x2 mác 250 tiết diện (33x70)cm; tường cổ móng xây gạch bê tông VXM mác 75; giằng móng BTCT mác 250 tiết diện (22x20)cm. </w:t>
      </w:r>
    </w:p>
    <w:p w14:paraId="089A167E"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xml:space="preserve">- Phần thân: Kết cấu khung BTCT chịu lực; Hệ cột BTCT tiết diện </w:t>
      </w:r>
      <w:r w:rsidRPr="00CB3E0A">
        <w:rPr>
          <w:color w:val="000000"/>
          <w:sz w:val="28"/>
          <w:szCs w:val="28"/>
          <w:lang w:val="pt-BR"/>
        </w:rPr>
        <w:lastRenderedPageBreak/>
        <w:t xml:space="preserve">(35x22)cm, (22x22)cm đá 1x2 mác 250; Hệ dầm BTCT tiết diện (22x30)cm, (22x60)cm, đá 1x2 mác 250; Sàn BTCT đá 1x2 mác 250 dày 12cm; Tường nhà xây gạch bê tông VXM mác 75. </w:t>
      </w:r>
    </w:p>
    <w:p w14:paraId="1A5DA71C"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Phần mái: Mái lợp tôn dày 0,45mm, gác trên hệ xà gồ thép hộp mạ kẽm []100x50x20x2mm.</w:t>
      </w:r>
    </w:p>
    <w:p w14:paraId="15E08DA7"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c) Thiết kế hệ thống điện chiếu sáng, thoát nước mái, mạng internet đồng bộ theo công trình.</w:t>
      </w:r>
    </w:p>
    <w:p w14:paraId="62A70726" w14:textId="48CB386B"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.2. Tường rào</w:t>
      </w:r>
    </w:p>
    <w:p w14:paraId="3CCA2195"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Xây mới tường rào đoạn A-B-C dài 110m. Kết cấu tường rào xây móng đá VXM mác 75, thân tường xây gạch bê tông VXM mác 75 bổ trụ (khoảng cách 3,3m/trụ, 7 khoảng bố trí 1 khe lún). Trát tường rào VXM mác 75, lăn sơn 01 nước lót, 2 nước phủ. Giằng móng và giằng đình tường rào BTCT đá 1x2 mác 200.</w:t>
      </w:r>
    </w:p>
    <w:p w14:paraId="317736BC" w14:textId="7B7ED7B2"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.3. Sân thể dục:</w:t>
      </w:r>
    </w:p>
    <w:p w14:paraId="457B8976"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Làm mới sân thể dục diện tích 936 m2. Kết cấu mặt sân rải lớp cát dày 30cm trên lớp đất đá san lấp.</w:t>
      </w:r>
    </w:p>
    <w:p w14:paraId="2F55526E" w14:textId="14CBDCA7"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.4. San lấp mặt bằng:</w:t>
      </w:r>
    </w:p>
    <w:p w14:paraId="77480246"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Diện tích san lấp 1.492 m2; nạo vét lớp bùn ao dày trung bình 40cm; san lấp bằng lấp đất hỗn hợp đầm chặt K85, chiều cao san lấp trung bình 1,2m.</w:t>
      </w:r>
    </w:p>
    <w:p w14:paraId="208C401A" w14:textId="27D403DF"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.5. Bể nước PCCC:</w:t>
      </w:r>
    </w:p>
    <w:p w14:paraId="3F83E4E9"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 xml:space="preserve">Xây mới bể nước dung tích 12m3. Gia cố móng đáy bể bằng cọc tre dài 2,5m, mật độ 16 cọc/m2; Đáy và nắp bể đổ BTCT mác 250; Tường bể xây gạch chỉ  đặc mác 75. Trát tường trong, tường ngoài bể bằng vữa xi măng mác 75, láng đáy bể vữa xi măng mác 75 dày 3cm. </w:t>
      </w:r>
    </w:p>
    <w:p w14:paraId="41F192B7" w14:textId="6835FA81"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.6. Nhà máy bơm:</w:t>
      </w:r>
    </w:p>
    <w:p w14:paraId="6B9648AD"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Diện tích xây dựng (4,8x1,65)m = 7,92 m2; Móng trụ bê tông đá 1x2 mác 250; Hệ kết cấu cột bằng thép mạ kẽm D113.5x3mm. Vì kèo thép hình mạ kẽm [80x40x15x2mm, xà gồ thép hình mạ kẽm []40x40x2mm. Mái và tường bao lợp tôn xóp cách nhiệt dày 0,4mm.</w:t>
      </w:r>
    </w:p>
    <w:p w14:paraId="7F6EF8A6" w14:textId="73F324FA" w:rsidR="00CB3E0A" w:rsidRPr="00CB3E0A" w:rsidRDefault="00CB3E0A" w:rsidP="00CB3E0A">
      <w:pPr>
        <w:widowControl w:val="0"/>
        <w:spacing w:beforeLines="24" w:before="57" w:afterLines="24" w:after="57" w:line="288" w:lineRule="auto"/>
        <w:ind w:firstLine="567"/>
        <w:rPr>
          <w:color w:val="000000"/>
          <w:sz w:val="28"/>
          <w:szCs w:val="28"/>
          <w:lang w:val="pt-BR"/>
        </w:rPr>
      </w:pPr>
      <w:r>
        <w:rPr>
          <w:color w:val="000000"/>
          <w:sz w:val="28"/>
          <w:szCs w:val="28"/>
          <w:lang w:val="pt-BR"/>
        </w:rPr>
        <w:t>1.5</w:t>
      </w:r>
      <w:r w:rsidRPr="00CB3E0A">
        <w:rPr>
          <w:color w:val="000000"/>
          <w:sz w:val="28"/>
          <w:szCs w:val="28"/>
          <w:lang w:val="pt-BR"/>
        </w:rPr>
        <w:t xml:space="preserve">.7. Hệ thống PCCC: </w:t>
      </w:r>
    </w:p>
    <w:p w14:paraId="5F45F668" w14:textId="77777777" w:rsidR="00CB3E0A" w:rsidRPr="00CB3E0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Lắp đặt mới hệ thống PCCC bao gồm hệ thống chữa cháy, hệ thống báo cháy tự động, hệ thống đèn chiếu sáng sự cố Exit thoát nạn, hệ thống bình chữa cháy di động theo quy định.</w:t>
      </w:r>
    </w:p>
    <w:p w14:paraId="4FD7E471" w14:textId="1A0AE899" w:rsidR="00A12C9A" w:rsidRDefault="00CB3E0A" w:rsidP="00CB3E0A">
      <w:pPr>
        <w:widowControl w:val="0"/>
        <w:spacing w:beforeLines="24" w:before="57" w:afterLines="24" w:after="57" w:line="288" w:lineRule="auto"/>
        <w:ind w:firstLine="567"/>
        <w:rPr>
          <w:color w:val="000000"/>
          <w:sz w:val="28"/>
          <w:szCs w:val="28"/>
          <w:lang w:val="pt-BR"/>
        </w:rPr>
      </w:pPr>
      <w:r w:rsidRPr="00CB3E0A">
        <w:rPr>
          <w:color w:val="000000"/>
          <w:sz w:val="28"/>
          <w:szCs w:val="28"/>
          <w:lang w:val="pt-BR"/>
        </w:rPr>
        <w:t>Và một số hạng mục khác.</w:t>
      </w:r>
    </w:p>
    <w:p w14:paraId="69CB1A5D" w14:textId="3E04374E" w:rsidR="00635986" w:rsidRDefault="00635986" w:rsidP="00A12C9A">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CB3E0A">
        <w:rPr>
          <w:color w:val="000000"/>
          <w:sz w:val="28"/>
          <w:szCs w:val="28"/>
          <w:lang w:val="es-PE"/>
        </w:rPr>
        <w:t>18</w:t>
      </w:r>
      <w:r w:rsidR="005856A3">
        <w:rPr>
          <w:color w:val="000000"/>
          <w:sz w:val="28"/>
          <w:szCs w:val="28"/>
          <w:lang w:val="es-PE"/>
        </w:rPr>
        <w:t>0</w:t>
      </w:r>
      <w:r w:rsidR="00A5776B">
        <w:rPr>
          <w:color w:val="000000"/>
          <w:sz w:val="28"/>
          <w:szCs w:val="28"/>
          <w:lang w:val="es-PE"/>
        </w:rPr>
        <w:t xml:space="preserve">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lastRenderedPageBreak/>
        <w:t>II. Yêu cầu tiến độ thực hiện</w:t>
      </w:r>
    </w:p>
    <w:p w14:paraId="69CB1A5F" w14:textId="6916F21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CB3E0A">
        <w:rPr>
          <w:color w:val="000000"/>
          <w:sz w:val="28"/>
          <w:szCs w:val="28"/>
        </w:rPr>
        <w:t>18</w:t>
      </w:r>
      <w:r w:rsidR="005856A3">
        <w:rPr>
          <w:color w:val="000000"/>
          <w:sz w:val="28"/>
          <w:szCs w:val="28"/>
        </w:rPr>
        <w:t>0</w:t>
      </w:r>
      <w:r w:rsidR="00A5776B">
        <w:rPr>
          <w:color w:val="000000"/>
          <w:sz w:val="28"/>
          <w:szCs w:val="28"/>
        </w:rPr>
        <w:t xml:space="preserve">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Khi có bất cứ sự nghi ngờ nào về chất lượng công trình và công tác thí nghiệm hoặc bất cứ nghi ngờ nào nguồn gốc, chỉ tiêu, thành phần của vật liệu </w:t>
      </w:r>
      <w:r>
        <w:rPr>
          <w:color w:val="000000"/>
          <w:sz w:val="28"/>
          <w:szCs w:val="28"/>
          <w:lang w:val="vi-VN"/>
        </w:rPr>
        <w:lastRenderedPageBreak/>
        <w:t>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lastRenderedPageBreak/>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w:t>
      </w:r>
      <w:r>
        <w:rPr>
          <w:color w:val="000000"/>
          <w:sz w:val="28"/>
          <w:szCs w:val="28"/>
          <w:lang w:val="vi-VN"/>
        </w:rPr>
        <w:lastRenderedPageBreak/>
        <w:t xml:space="preserve">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Số lượng nhân lực được huy động trong từng thời kỳ, thời gian đến và đi </w:t>
      </w:r>
      <w:r>
        <w:rPr>
          <w:color w:val="000000"/>
          <w:sz w:val="28"/>
          <w:szCs w:val="28"/>
          <w:lang w:val="vi-VN"/>
        </w:rPr>
        <w:lastRenderedPageBreak/>
        <w:t>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w:t>
      </w:r>
      <w:r>
        <w:rPr>
          <w:color w:val="000000"/>
          <w:sz w:val="28"/>
          <w:szCs w:val="28"/>
          <w:lang w:val="vi-VN"/>
        </w:rPr>
        <w:lastRenderedPageBreak/>
        <w:t>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Báo cáo đột xuất: Trong quá trình thi công thực tế, khi gặp phải các sự </w:t>
      </w:r>
      <w:r>
        <w:rPr>
          <w:color w:val="000000"/>
          <w:sz w:val="28"/>
          <w:szCs w:val="28"/>
          <w:lang w:val="vi-VN"/>
        </w:rPr>
        <w:lastRenderedPageBreak/>
        <w:t>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w:t>
      </w:r>
      <w:r>
        <w:rPr>
          <w:color w:val="000000"/>
          <w:sz w:val="28"/>
          <w:szCs w:val="28"/>
          <w:lang w:val="vi-VN"/>
        </w:rPr>
        <w:lastRenderedPageBreak/>
        <w:t>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48404709"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w:t>
            </w:r>
            <w:r w:rsidR="00CB3E0A">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9902" w14:textId="77777777" w:rsidR="00EC4B37" w:rsidRDefault="00EC4B37" w:rsidP="00E05AF1">
      <w:r>
        <w:separator/>
      </w:r>
    </w:p>
  </w:endnote>
  <w:endnote w:type="continuationSeparator" w:id="0">
    <w:p w14:paraId="4F4FCA17" w14:textId="77777777" w:rsidR="00EC4B37" w:rsidRDefault="00EC4B3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AC39" w14:textId="77777777" w:rsidR="00EC4B37" w:rsidRDefault="00EC4B37" w:rsidP="00E05AF1">
      <w:r>
        <w:separator/>
      </w:r>
    </w:p>
  </w:footnote>
  <w:footnote w:type="continuationSeparator" w:id="0">
    <w:p w14:paraId="13102E8C" w14:textId="77777777" w:rsidR="00EC4B37" w:rsidRDefault="00EC4B3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4D5"/>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56A3"/>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47643"/>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0C48"/>
    <w:rsid w:val="007E189B"/>
    <w:rsid w:val="007E1C40"/>
    <w:rsid w:val="007E24B6"/>
    <w:rsid w:val="007E66DC"/>
    <w:rsid w:val="007F04B2"/>
    <w:rsid w:val="007F245C"/>
    <w:rsid w:val="007F2D59"/>
    <w:rsid w:val="007F3961"/>
    <w:rsid w:val="007F5602"/>
    <w:rsid w:val="007F6B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2DE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0A2"/>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3E0A"/>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448B"/>
    <w:rsid w:val="00EA5723"/>
    <w:rsid w:val="00EA6FDC"/>
    <w:rsid w:val="00EB2A9E"/>
    <w:rsid w:val="00EB39DF"/>
    <w:rsid w:val="00EB3FA3"/>
    <w:rsid w:val="00EB47DB"/>
    <w:rsid w:val="00EB5EEC"/>
    <w:rsid w:val="00EB5F8A"/>
    <w:rsid w:val="00EC0C52"/>
    <w:rsid w:val="00EC179D"/>
    <w:rsid w:val="00EC4B37"/>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13</Pages>
  <Words>3760</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309</cp:revision>
  <cp:lastPrinted>2025-06-20T09:37:00Z</cp:lastPrinted>
  <dcterms:created xsi:type="dcterms:W3CDTF">2024-05-05T01:30:00Z</dcterms:created>
  <dcterms:modified xsi:type="dcterms:W3CDTF">2025-11-05T03:13:00Z</dcterms:modified>
</cp:coreProperties>
</file>