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63ED7" w14:textId="77777777" w:rsidR="009B1FC0" w:rsidRPr="009B1FC0" w:rsidRDefault="009B1FC0" w:rsidP="009B1FC0">
      <w:pPr>
        <w:spacing w:before="60" w:after="60"/>
        <w:ind w:firstLine="720"/>
        <w:jc w:val="center"/>
        <w:rPr>
          <w:b/>
          <w:sz w:val="28"/>
          <w:szCs w:val="28"/>
          <w:lang w:val="it-IT"/>
        </w:rPr>
      </w:pPr>
      <w:bookmarkStart w:id="0" w:name="_Toc154510932"/>
      <w:r w:rsidRPr="009B1FC0">
        <w:rPr>
          <w:b/>
          <w:sz w:val="28"/>
          <w:szCs w:val="28"/>
          <w:lang w:val="it-IT"/>
        </w:rPr>
        <w:t>PHẦN 2. ĐIỀU KHOẢN THAM CHIẾU</w:t>
      </w:r>
      <w:bookmarkEnd w:id="0"/>
    </w:p>
    <w:p w14:paraId="62E59A44" w14:textId="77777777" w:rsidR="009B1FC0" w:rsidRPr="009B1FC0" w:rsidRDefault="009B1FC0" w:rsidP="009B1FC0">
      <w:pPr>
        <w:spacing w:before="60" w:after="60"/>
        <w:ind w:firstLine="720"/>
        <w:jc w:val="center"/>
        <w:rPr>
          <w:b/>
          <w:sz w:val="28"/>
          <w:szCs w:val="28"/>
          <w:lang w:val="it-IT"/>
        </w:rPr>
      </w:pPr>
      <w:bookmarkStart w:id="1" w:name="_Toc154510933"/>
      <w:r w:rsidRPr="009B1FC0">
        <w:rPr>
          <w:b/>
          <w:sz w:val="28"/>
          <w:szCs w:val="28"/>
          <w:lang w:val="it-IT"/>
        </w:rPr>
        <w:t>CHƯƠNG V. ĐIỀU KHOẢN THAM CHIẾU</w:t>
      </w:r>
      <w:bookmarkEnd w:id="1"/>
    </w:p>
    <w:p w14:paraId="1D5C0C94" w14:textId="77777777" w:rsidR="009B1FC0" w:rsidRPr="00403FAC" w:rsidRDefault="009B1FC0" w:rsidP="009B1FC0">
      <w:pPr>
        <w:spacing w:before="60" w:after="60"/>
        <w:ind w:firstLine="720"/>
        <w:rPr>
          <w:b/>
          <w:sz w:val="28"/>
          <w:szCs w:val="28"/>
          <w:lang w:val="it-IT"/>
        </w:rPr>
      </w:pPr>
      <w:r w:rsidRPr="00403FAC">
        <w:rPr>
          <w:b/>
          <w:sz w:val="28"/>
          <w:szCs w:val="28"/>
          <w:lang w:val="it-IT"/>
        </w:rPr>
        <w:t>I. Giới thiệu về dự án và gói thầu:</w:t>
      </w:r>
    </w:p>
    <w:p w14:paraId="6F5B567D" w14:textId="77777777" w:rsidR="009B1FC0" w:rsidRPr="00403FAC" w:rsidRDefault="009B1FC0" w:rsidP="009B1FC0">
      <w:pPr>
        <w:spacing w:before="60" w:after="60"/>
        <w:ind w:firstLine="720"/>
        <w:rPr>
          <w:b/>
          <w:bCs/>
          <w:sz w:val="28"/>
          <w:szCs w:val="28"/>
          <w:lang w:val="it-IT"/>
        </w:rPr>
      </w:pPr>
      <w:r w:rsidRPr="00403FAC">
        <w:rPr>
          <w:b/>
          <w:bCs/>
          <w:sz w:val="28"/>
          <w:szCs w:val="28"/>
          <w:lang w:val="it-IT"/>
        </w:rPr>
        <w:t xml:space="preserve">1. </w:t>
      </w:r>
      <w:r w:rsidRPr="00403FAC">
        <w:rPr>
          <w:b/>
          <w:sz w:val="26"/>
          <w:szCs w:val="26"/>
          <w:lang w:val="it-IT"/>
        </w:rPr>
        <w:t>Giới thiệu chung về dự án</w:t>
      </w:r>
    </w:p>
    <w:p w14:paraId="1E11F99D" w14:textId="51CF0E25" w:rsidR="009B1FC0" w:rsidRPr="00403FAC" w:rsidRDefault="009B1FC0" w:rsidP="009B1FC0">
      <w:pPr>
        <w:spacing w:before="60" w:after="60"/>
        <w:ind w:firstLine="720"/>
        <w:rPr>
          <w:bCs/>
          <w:iCs/>
          <w:sz w:val="28"/>
          <w:szCs w:val="28"/>
          <w:lang w:val="it-IT"/>
        </w:rPr>
      </w:pPr>
      <w:r w:rsidRPr="00403FAC">
        <w:rPr>
          <w:bCs/>
          <w:iCs/>
          <w:sz w:val="28"/>
          <w:szCs w:val="28"/>
          <w:lang w:val="it-IT"/>
        </w:rPr>
        <w:t xml:space="preserve">- Tên dự án: </w:t>
      </w:r>
      <w:r w:rsidR="009D1F32" w:rsidRPr="007719E7">
        <w:rPr>
          <w:sz w:val="26"/>
          <w:szCs w:val="26"/>
        </w:rPr>
        <w:t>Nâng cấp, cải tạo Trường THPT A Bình Lục</w:t>
      </w:r>
      <w:r w:rsidRPr="00403FAC">
        <w:rPr>
          <w:bCs/>
          <w:iCs/>
          <w:sz w:val="28"/>
          <w:szCs w:val="28"/>
          <w:lang w:val="it-IT"/>
        </w:rPr>
        <w:t>.</w:t>
      </w:r>
    </w:p>
    <w:p w14:paraId="32A1CDC8" w14:textId="0F5E83AD" w:rsidR="009B1FC0" w:rsidRPr="00403FAC" w:rsidRDefault="009B1FC0" w:rsidP="009B1FC0">
      <w:pPr>
        <w:spacing w:before="60" w:after="60"/>
        <w:ind w:firstLine="720"/>
        <w:rPr>
          <w:iCs/>
          <w:sz w:val="28"/>
          <w:szCs w:val="28"/>
          <w:lang w:val="it-IT"/>
        </w:rPr>
      </w:pPr>
      <w:r w:rsidRPr="00403FAC">
        <w:rPr>
          <w:iCs/>
          <w:sz w:val="28"/>
          <w:szCs w:val="28"/>
          <w:lang w:val="it-IT"/>
        </w:rPr>
        <w:t>- Loại, cấp công trình: Công trình dân dụng, cấp II</w:t>
      </w:r>
      <w:r w:rsidR="009D1F32">
        <w:rPr>
          <w:iCs/>
          <w:sz w:val="28"/>
          <w:szCs w:val="28"/>
          <w:lang w:val="it-IT"/>
        </w:rPr>
        <w:t>I</w:t>
      </w:r>
    </w:p>
    <w:p w14:paraId="636F25CE" w14:textId="77777777" w:rsidR="009D1F32" w:rsidRPr="007719E7" w:rsidRDefault="009B1FC0" w:rsidP="009D1F32">
      <w:pPr>
        <w:spacing w:before="60" w:after="60"/>
        <w:ind w:firstLine="720"/>
        <w:rPr>
          <w:i/>
          <w:sz w:val="26"/>
          <w:szCs w:val="26"/>
        </w:rPr>
      </w:pPr>
      <w:r w:rsidRPr="00403FAC">
        <w:rPr>
          <w:iCs/>
          <w:sz w:val="28"/>
          <w:szCs w:val="28"/>
          <w:lang w:val="it-IT"/>
        </w:rPr>
        <w:t xml:space="preserve">- Địa điểm xây dựng: </w:t>
      </w:r>
      <w:r w:rsidR="009D1F32" w:rsidRPr="007719E7">
        <w:rPr>
          <w:sz w:val="26"/>
          <w:szCs w:val="26"/>
        </w:rPr>
        <w:t xml:space="preserve">Xã Bình Mỹ, tỉnh Ninh Bình. </w:t>
      </w:r>
      <w:r w:rsidR="009D1F32" w:rsidRPr="007719E7">
        <w:rPr>
          <w:i/>
          <w:sz w:val="26"/>
          <w:szCs w:val="26"/>
        </w:rPr>
        <w:t>(trước sáp nhập là Huyện Bình Lục, tỉnh Hà Nam)</w:t>
      </w:r>
    </w:p>
    <w:p w14:paraId="7E372D8E" w14:textId="32C6101A" w:rsidR="009B1FC0" w:rsidRPr="00403FAC" w:rsidRDefault="009B1FC0" w:rsidP="009B1FC0">
      <w:pPr>
        <w:spacing w:before="60" w:after="60"/>
        <w:ind w:firstLine="720"/>
        <w:rPr>
          <w:iCs/>
          <w:sz w:val="28"/>
          <w:szCs w:val="28"/>
          <w:lang w:val="it-IT"/>
        </w:rPr>
      </w:pPr>
      <w:r w:rsidRPr="00403FAC">
        <w:rPr>
          <w:iCs/>
          <w:sz w:val="28"/>
          <w:szCs w:val="28"/>
          <w:lang w:val="it-IT"/>
        </w:rPr>
        <w:t xml:space="preserve">- Chủ đầu tư: </w:t>
      </w:r>
      <w:r>
        <w:rPr>
          <w:iCs/>
          <w:sz w:val="28"/>
          <w:szCs w:val="28"/>
          <w:lang w:val="it-IT"/>
        </w:rPr>
        <w:t xml:space="preserve">Ban </w:t>
      </w:r>
      <w:r w:rsidR="009D1F32">
        <w:rPr>
          <w:iCs/>
          <w:sz w:val="28"/>
          <w:szCs w:val="28"/>
          <w:lang w:val="it-IT"/>
        </w:rPr>
        <w:t>Quản lý dự án đầu tư xây dựng Hà Nam</w:t>
      </w:r>
    </w:p>
    <w:p w14:paraId="25DB9314" w14:textId="77777777" w:rsidR="009B1FC0" w:rsidRPr="00403FAC" w:rsidRDefault="009B1FC0" w:rsidP="009B1FC0">
      <w:pPr>
        <w:spacing w:before="60" w:after="60"/>
        <w:ind w:firstLine="720"/>
        <w:rPr>
          <w:iCs/>
          <w:sz w:val="28"/>
          <w:szCs w:val="28"/>
          <w:lang w:val="it-IT"/>
        </w:rPr>
      </w:pPr>
      <w:r w:rsidRPr="00403FAC">
        <w:rPr>
          <w:iCs/>
          <w:sz w:val="28"/>
          <w:szCs w:val="28"/>
          <w:lang w:val="it-IT"/>
        </w:rPr>
        <w:t>- Mục tiêu đầu tư:</w:t>
      </w:r>
    </w:p>
    <w:p w14:paraId="73A62EB8" w14:textId="15C06A56" w:rsidR="009B1FC0" w:rsidRPr="009D1F32" w:rsidRDefault="009D1F32" w:rsidP="009B1FC0">
      <w:pPr>
        <w:spacing w:before="60" w:after="60"/>
        <w:ind w:firstLine="720"/>
        <w:rPr>
          <w:iCs/>
          <w:sz w:val="28"/>
          <w:szCs w:val="28"/>
          <w:lang w:val="it-IT"/>
        </w:rPr>
      </w:pPr>
      <w:r w:rsidRPr="009D1F32">
        <w:rPr>
          <w:sz w:val="28"/>
          <w:szCs w:val="28"/>
        </w:rPr>
        <w:t>Mục tiêu dự án: Đảm bảo cơ sở vật chất trường đạt chuẩn Quốc gia theo Thông tư số 13/2020/TT-BGDĐT ngày 26/5/2020 của Bộ Giáo dục và Đào tạo ban hành Quy định tiêu chuẩn cơ sở vật chất các trường mầm non, tiểu học, trung học cơ sở, trung học phổ thông và trường phổ thông có nhiều cấp học; Thông tư số 18/2018/TT-BGDĐT ngày 22/8/2018 của Bộ Giáo dục và Đào tạo ban hành Quy định về kiểm định chất lượng giáo dục và công nhận đạt chuẩn quốc gia đối với trường trung học cơ sở, trường trung học phổ thông và trường phổ thông có nhiều cấp học, phục vụ ngày càng tốt hơn việc dạy và học của trường THPT A Bình Lục; góp phần nâng cao chất lượng giáo dục toàn diện, hiệu quả giáo dục của nhà trường, đáp ứng yêu cầu đổi mới về giáo dục.</w:t>
      </w:r>
    </w:p>
    <w:p w14:paraId="495B3B7C" w14:textId="77777777" w:rsidR="009B1FC0" w:rsidRPr="00403FAC" w:rsidRDefault="009B1FC0" w:rsidP="009B1FC0">
      <w:pPr>
        <w:spacing w:before="60" w:after="60"/>
        <w:ind w:firstLine="720"/>
        <w:rPr>
          <w:iCs/>
          <w:sz w:val="28"/>
          <w:szCs w:val="28"/>
          <w:lang w:val="it-IT"/>
        </w:rPr>
      </w:pPr>
      <w:r w:rsidRPr="00403FAC">
        <w:rPr>
          <w:iCs/>
          <w:sz w:val="28"/>
          <w:szCs w:val="28"/>
          <w:lang w:val="it-IT"/>
        </w:rPr>
        <w:t>- Mục đích tuyển chọn nhà thầu:</w:t>
      </w:r>
    </w:p>
    <w:p w14:paraId="4C05DA97" w14:textId="5DABC6A2" w:rsidR="009B1FC0" w:rsidRPr="00096C1F" w:rsidRDefault="009B1FC0" w:rsidP="00096C1F">
      <w:pPr>
        <w:pStyle w:val="BodyText"/>
        <w:spacing w:before="60" w:after="60"/>
        <w:ind w:left="0" w:firstLine="720"/>
        <w:rPr>
          <w:sz w:val="26"/>
          <w:szCs w:val="26"/>
          <w:lang w:val="vi-VN"/>
        </w:rPr>
      </w:pPr>
      <w:r w:rsidRPr="00403FAC">
        <w:rPr>
          <w:iCs/>
          <w:sz w:val="28"/>
          <w:szCs w:val="28"/>
          <w:lang w:val="it-IT"/>
        </w:rPr>
        <w:t xml:space="preserve">+ Nhằm lựa chọn nhà thầu tư vấn có đầy đủ năng lực kinh nghiệm tiến hành thực hiện gói thầu: </w:t>
      </w:r>
      <w:r>
        <w:rPr>
          <w:iCs/>
          <w:sz w:val="28"/>
          <w:szCs w:val="28"/>
          <w:lang w:val="it-IT"/>
        </w:rPr>
        <w:t xml:space="preserve">Gói thầu số </w:t>
      </w:r>
      <w:r w:rsidR="009D1F32">
        <w:rPr>
          <w:iCs/>
          <w:sz w:val="28"/>
          <w:szCs w:val="28"/>
          <w:lang w:val="it-IT"/>
        </w:rPr>
        <w:t>12</w:t>
      </w:r>
      <w:r>
        <w:rPr>
          <w:iCs/>
          <w:sz w:val="28"/>
          <w:szCs w:val="28"/>
          <w:lang w:val="it-IT"/>
        </w:rPr>
        <w:t xml:space="preserve">: </w:t>
      </w:r>
      <w:r w:rsidR="009D1F32">
        <w:rPr>
          <w:iCs/>
          <w:sz w:val="28"/>
          <w:szCs w:val="28"/>
          <w:lang w:val="it-IT"/>
        </w:rPr>
        <w:t>Tư vấn g</w:t>
      </w:r>
      <w:r>
        <w:rPr>
          <w:iCs/>
          <w:sz w:val="28"/>
          <w:szCs w:val="28"/>
          <w:lang w:val="it-IT"/>
        </w:rPr>
        <w:t>iám sát thi công</w:t>
      </w:r>
      <w:r w:rsidR="00096C1F">
        <w:rPr>
          <w:iCs/>
          <w:sz w:val="28"/>
          <w:szCs w:val="28"/>
          <w:lang w:val="it-IT"/>
        </w:rPr>
        <w:t xml:space="preserve"> xây dựng</w:t>
      </w:r>
      <w:r>
        <w:rPr>
          <w:iCs/>
          <w:sz w:val="28"/>
          <w:szCs w:val="28"/>
          <w:lang w:val="it-IT"/>
        </w:rPr>
        <w:t xml:space="preserve"> </w:t>
      </w:r>
      <w:r w:rsidR="00096C1F">
        <w:rPr>
          <w:iCs/>
          <w:sz w:val="28"/>
          <w:szCs w:val="28"/>
          <w:lang w:val="it-IT"/>
        </w:rPr>
        <w:t xml:space="preserve">công trình </w:t>
      </w:r>
      <w:r w:rsidR="00096C1F" w:rsidRPr="007719E7">
        <w:rPr>
          <w:sz w:val="26"/>
          <w:szCs w:val="26"/>
          <w:lang w:val="vi-VN"/>
        </w:rPr>
        <w:t>(</w:t>
      </w:r>
      <w:r w:rsidR="00096C1F">
        <w:rPr>
          <w:sz w:val="26"/>
          <w:szCs w:val="26"/>
          <w:lang w:val="en-US"/>
        </w:rPr>
        <w:t>b</w:t>
      </w:r>
      <w:r w:rsidR="00096C1F" w:rsidRPr="007719E7">
        <w:rPr>
          <w:sz w:val="26"/>
          <w:szCs w:val="26"/>
          <w:lang w:val="vi-VN"/>
        </w:rPr>
        <w:t>ao gồm chi phí xây lắp + chi phí thiết bị)</w:t>
      </w:r>
      <w:r w:rsidR="00096C1F">
        <w:rPr>
          <w:sz w:val="26"/>
          <w:szCs w:val="26"/>
          <w:lang w:val="en-US"/>
        </w:rPr>
        <w:t xml:space="preserve"> </w:t>
      </w:r>
      <w:r w:rsidRPr="00403FAC">
        <w:rPr>
          <w:iCs/>
          <w:sz w:val="28"/>
          <w:szCs w:val="28"/>
          <w:lang w:val="it-IT"/>
        </w:rPr>
        <w:t>đảm bảo chất lượng và tiến độ theo kế hoạch đấu thầu được phê duyệt.</w:t>
      </w:r>
    </w:p>
    <w:p w14:paraId="179FA4D4" w14:textId="77777777" w:rsidR="009B1FC0" w:rsidRPr="00403FAC" w:rsidRDefault="009B1FC0" w:rsidP="009B1FC0">
      <w:pPr>
        <w:spacing w:before="60" w:after="60"/>
        <w:ind w:firstLine="720"/>
        <w:rPr>
          <w:b/>
          <w:iCs/>
          <w:sz w:val="26"/>
          <w:szCs w:val="26"/>
          <w:lang w:val="it-IT"/>
        </w:rPr>
      </w:pPr>
      <w:r w:rsidRPr="00403FAC">
        <w:rPr>
          <w:b/>
          <w:iCs/>
          <w:sz w:val="28"/>
          <w:szCs w:val="28"/>
          <w:lang w:val="it-IT"/>
        </w:rPr>
        <w:t xml:space="preserve">2. </w:t>
      </w:r>
      <w:r w:rsidRPr="00403FAC">
        <w:rPr>
          <w:b/>
          <w:iCs/>
          <w:sz w:val="26"/>
          <w:szCs w:val="26"/>
          <w:lang w:val="it-IT"/>
        </w:rPr>
        <w:t>Gói thiệu về gói thầu:</w:t>
      </w:r>
    </w:p>
    <w:p w14:paraId="6144F39B" w14:textId="77777777" w:rsidR="00096C1F" w:rsidRDefault="009B1FC0" w:rsidP="009B1FC0">
      <w:pPr>
        <w:spacing w:before="60" w:after="60"/>
        <w:ind w:firstLine="720"/>
        <w:rPr>
          <w:sz w:val="26"/>
          <w:szCs w:val="26"/>
        </w:rPr>
      </w:pPr>
      <w:r w:rsidRPr="00403FAC">
        <w:rPr>
          <w:iCs/>
          <w:sz w:val="28"/>
          <w:szCs w:val="28"/>
          <w:lang w:val="it-IT"/>
        </w:rPr>
        <w:t xml:space="preserve">2.1. Tên gói thầu: </w:t>
      </w:r>
      <w:r w:rsidR="00096C1F">
        <w:rPr>
          <w:iCs/>
          <w:sz w:val="28"/>
          <w:szCs w:val="28"/>
          <w:lang w:val="it-IT"/>
        </w:rPr>
        <w:t xml:space="preserve">Gói thầu số 12: Tư vấn giám sát thi công xây dựng công trình </w:t>
      </w:r>
      <w:r w:rsidR="00096C1F" w:rsidRPr="007719E7">
        <w:rPr>
          <w:sz w:val="26"/>
          <w:szCs w:val="26"/>
          <w:lang w:val="vi-VN"/>
        </w:rPr>
        <w:t>(</w:t>
      </w:r>
      <w:r w:rsidR="00096C1F">
        <w:rPr>
          <w:sz w:val="26"/>
          <w:szCs w:val="26"/>
        </w:rPr>
        <w:t>b</w:t>
      </w:r>
      <w:r w:rsidR="00096C1F" w:rsidRPr="007719E7">
        <w:rPr>
          <w:sz w:val="26"/>
          <w:szCs w:val="26"/>
          <w:lang w:val="vi-VN"/>
        </w:rPr>
        <w:t>ao gồm chi phí xây lắp + chi phí thiết bị)</w:t>
      </w:r>
      <w:r w:rsidR="00096C1F">
        <w:rPr>
          <w:sz w:val="26"/>
          <w:szCs w:val="26"/>
        </w:rPr>
        <w:t xml:space="preserve"> </w:t>
      </w:r>
    </w:p>
    <w:p w14:paraId="5C9F201C" w14:textId="040224A8" w:rsidR="009B1FC0" w:rsidRPr="00403FAC" w:rsidRDefault="009B1FC0" w:rsidP="009B1FC0">
      <w:pPr>
        <w:spacing w:before="60" w:after="60"/>
        <w:ind w:firstLine="720"/>
        <w:rPr>
          <w:iCs/>
          <w:sz w:val="28"/>
          <w:szCs w:val="28"/>
          <w:lang w:val="it-IT"/>
        </w:rPr>
      </w:pPr>
      <w:r w:rsidRPr="00403FAC">
        <w:rPr>
          <w:iCs/>
          <w:sz w:val="28"/>
          <w:szCs w:val="28"/>
          <w:lang w:val="it-IT"/>
        </w:rPr>
        <w:t>2.2. Hình thức lựa chọn nhà thầu: Đấu thầu rộng rãi trong nước, qua mạng</w:t>
      </w:r>
    </w:p>
    <w:p w14:paraId="5F9FC5C9" w14:textId="79B62266" w:rsidR="009B1FC0" w:rsidRPr="00403FAC" w:rsidRDefault="009B1FC0" w:rsidP="009B1FC0">
      <w:pPr>
        <w:spacing w:before="60" w:after="60"/>
        <w:ind w:firstLine="720"/>
        <w:rPr>
          <w:iCs/>
          <w:sz w:val="28"/>
          <w:szCs w:val="28"/>
          <w:lang w:val="it-IT"/>
        </w:rPr>
      </w:pPr>
      <w:r w:rsidRPr="00403FAC">
        <w:rPr>
          <w:iCs/>
          <w:sz w:val="28"/>
          <w:szCs w:val="28"/>
          <w:lang w:val="it-IT"/>
        </w:rPr>
        <w:t xml:space="preserve">2.3. Thời gian thực hiện gói thầu: </w:t>
      </w:r>
      <w:r w:rsidR="00096C1F">
        <w:rPr>
          <w:iCs/>
          <w:sz w:val="28"/>
          <w:szCs w:val="28"/>
          <w:lang w:val="it-IT"/>
        </w:rPr>
        <w:t>360</w:t>
      </w:r>
      <w:r w:rsidRPr="00403FAC">
        <w:rPr>
          <w:iCs/>
          <w:sz w:val="28"/>
          <w:szCs w:val="28"/>
          <w:lang w:val="it-IT"/>
        </w:rPr>
        <w:t xml:space="preserve"> ngày (Theo thời gian thi công)</w:t>
      </w:r>
    </w:p>
    <w:p w14:paraId="0F739447" w14:textId="77777777" w:rsidR="009B1FC0" w:rsidRPr="00403FAC" w:rsidRDefault="009B1FC0" w:rsidP="009B1FC0">
      <w:pPr>
        <w:spacing w:before="60" w:after="60"/>
        <w:ind w:firstLine="720"/>
        <w:rPr>
          <w:b/>
          <w:bCs/>
          <w:sz w:val="28"/>
          <w:szCs w:val="28"/>
          <w:lang w:val="it-IT"/>
        </w:rPr>
      </w:pPr>
      <w:r w:rsidRPr="00403FAC">
        <w:rPr>
          <w:b/>
          <w:sz w:val="28"/>
          <w:szCs w:val="28"/>
          <w:lang w:val="it-IT"/>
        </w:rPr>
        <w:t>II. Phạm vi công việc:</w:t>
      </w:r>
    </w:p>
    <w:p w14:paraId="600C1C9E" w14:textId="513BDB8C" w:rsidR="009B1FC0" w:rsidRPr="00FC2F71" w:rsidRDefault="009B1FC0" w:rsidP="00FC2F71">
      <w:pPr>
        <w:spacing w:before="60" w:after="60"/>
        <w:ind w:firstLine="720"/>
        <w:rPr>
          <w:sz w:val="26"/>
          <w:szCs w:val="26"/>
        </w:rPr>
      </w:pPr>
      <w:r w:rsidRPr="00B4588E">
        <w:rPr>
          <w:rFonts w:eastAsia="Calibri"/>
          <w:b/>
          <w:iCs/>
          <w:spacing w:val="-2"/>
          <w:sz w:val="28"/>
          <w:szCs w:val="28"/>
          <w:lang w:val="it-IT"/>
        </w:rPr>
        <w:t xml:space="preserve">1. Phạm vi công việc: </w:t>
      </w:r>
      <w:r w:rsidRPr="000F4D33">
        <w:rPr>
          <w:rFonts w:eastAsia="Calibri"/>
          <w:iCs/>
          <w:spacing w:val="-2"/>
          <w:sz w:val="28"/>
          <w:szCs w:val="28"/>
          <w:lang w:val="it-IT"/>
        </w:rPr>
        <w:t xml:space="preserve">Cung cấp dịch vụ tư vấn </w:t>
      </w:r>
      <w:r w:rsidR="0057080C">
        <w:rPr>
          <w:iCs/>
          <w:sz w:val="28"/>
          <w:szCs w:val="28"/>
          <w:lang w:val="it-IT"/>
        </w:rPr>
        <w:t xml:space="preserve">giám sát thi công xây dựng công trình </w:t>
      </w:r>
      <w:r w:rsidR="0057080C" w:rsidRPr="007719E7">
        <w:rPr>
          <w:sz w:val="26"/>
          <w:szCs w:val="26"/>
          <w:lang w:val="vi-VN"/>
        </w:rPr>
        <w:t>(</w:t>
      </w:r>
      <w:r w:rsidR="0057080C">
        <w:rPr>
          <w:sz w:val="26"/>
          <w:szCs w:val="26"/>
        </w:rPr>
        <w:t>b</w:t>
      </w:r>
      <w:r w:rsidR="0057080C" w:rsidRPr="007719E7">
        <w:rPr>
          <w:sz w:val="26"/>
          <w:szCs w:val="26"/>
          <w:lang w:val="vi-VN"/>
        </w:rPr>
        <w:t>ao gồm chi phí xây lắp + chi phí thiết bị)</w:t>
      </w:r>
      <w:r w:rsidR="0057080C">
        <w:rPr>
          <w:sz w:val="26"/>
          <w:szCs w:val="26"/>
        </w:rPr>
        <w:t xml:space="preserve"> </w:t>
      </w:r>
      <w:r w:rsidRPr="000F4D33">
        <w:rPr>
          <w:bCs/>
          <w:iCs/>
          <w:sz w:val="28"/>
          <w:szCs w:val="28"/>
          <w:lang w:val="it-IT"/>
        </w:rPr>
        <w:t>theo hồ sơ thiết kế được phê duyệt</w:t>
      </w:r>
      <w:r w:rsidRPr="000F4D33">
        <w:rPr>
          <w:rFonts w:eastAsia="Calibri"/>
          <w:iCs/>
          <w:spacing w:val="-2"/>
          <w:sz w:val="28"/>
          <w:szCs w:val="28"/>
          <w:lang w:val="it-IT"/>
        </w:rPr>
        <w:t xml:space="preserve"> </w:t>
      </w:r>
      <w:r w:rsidRPr="000F4D33">
        <w:rPr>
          <w:rFonts w:eastAsia="Calibri"/>
          <w:i/>
          <w:spacing w:val="-2"/>
          <w:sz w:val="28"/>
          <w:szCs w:val="28"/>
          <w:lang w:val="it-IT"/>
        </w:rPr>
        <w:t>(Chi tiết xem hồ sơ thiết kế và các tài liệu khác được duyệt đính kèm theo HSMT này)</w:t>
      </w:r>
    </w:p>
    <w:p w14:paraId="4BB2B569" w14:textId="77777777" w:rsidR="009B1FC0" w:rsidRPr="00403FAC" w:rsidRDefault="009B1FC0" w:rsidP="009B1FC0">
      <w:pPr>
        <w:spacing w:before="20" w:after="20" w:line="264" w:lineRule="auto"/>
        <w:ind w:firstLine="567"/>
        <w:rPr>
          <w:rFonts w:eastAsia="Calibri"/>
          <w:iCs/>
          <w:sz w:val="28"/>
          <w:szCs w:val="28"/>
          <w:lang w:val="pl-PL"/>
        </w:rPr>
      </w:pPr>
      <w:r w:rsidRPr="00403FAC">
        <w:rPr>
          <w:rFonts w:eastAsia="Calibri"/>
          <w:iCs/>
          <w:sz w:val="28"/>
          <w:szCs w:val="28"/>
          <w:lang w:val="pl-PL"/>
        </w:rPr>
        <w:lastRenderedPageBreak/>
        <w:t>Nhà thầu khi tham dự phải bằng năng lực và nguồn lực của mình để xây dựng giải pháp và phương pháp luận đáp ứng các yêu cầu của Chủ đầu tư và của E-HSMT phù hợp với tính chất, đặc điểm của dự án, tuân thủ các quy định của pháp luật xây dựng hiện hành và pháp luật liên quan. Phải thể hiện được sự hiểu biết của mình về dự án và các nhiệm vụ của nhà tư vấn giám sát.</w:t>
      </w:r>
    </w:p>
    <w:p w14:paraId="21E65915" w14:textId="77777777" w:rsidR="009B1FC0" w:rsidRPr="00403FAC" w:rsidRDefault="009B1FC0" w:rsidP="009B1FC0">
      <w:pPr>
        <w:spacing w:before="20" w:after="20" w:line="264" w:lineRule="auto"/>
        <w:ind w:firstLine="567"/>
        <w:rPr>
          <w:rFonts w:eastAsia="Calibri"/>
          <w:b/>
          <w:iCs/>
          <w:sz w:val="28"/>
          <w:szCs w:val="28"/>
          <w:lang w:val="pl-PL"/>
        </w:rPr>
      </w:pPr>
      <w:r w:rsidRPr="00403FAC">
        <w:rPr>
          <w:rFonts w:eastAsia="Calibri"/>
          <w:b/>
          <w:iCs/>
          <w:sz w:val="28"/>
          <w:szCs w:val="28"/>
          <w:lang w:val="pl-PL"/>
        </w:rPr>
        <w:t>2. Các nhiệm vụ cụ thể do nhà thầu phải tiến hành trong thời gian thực hiện hợp đồng tư vấn:</w:t>
      </w:r>
    </w:p>
    <w:p w14:paraId="1CF44F9A" w14:textId="6F618E11" w:rsidR="009B1FC0" w:rsidRPr="00403FAC" w:rsidRDefault="009B1FC0" w:rsidP="009B1FC0">
      <w:pPr>
        <w:spacing w:before="20" w:after="20" w:line="264" w:lineRule="auto"/>
        <w:ind w:firstLine="567"/>
        <w:rPr>
          <w:rFonts w:eastAsia="Calibri"/>
          <w:iCs/>
          <w:sz w:val="28"/>
          <w:szCs w:val="28"/>
          <w:lang w:val="pl-PL"/>
        </w:rPr>
      </w:pPr>
      <w:r w:rsidRPr="00403FAC">
        <w:rPr>
          <w:rFonts w:eastAsia="Calibri"/>
          <w:iCs/>
          <w:sz w:val="28"/>
          <w:szCs w:val="28"/>
          <w:lang w:val="pl-PL"/>
        </w:rPr>
        <w:t xml:space="preserve">Nhà thầu trúng thầu có nhiệm vụ </w:t>
      </w:r>
      <w:r w:rsidR="00FC2F71">
        <w:rPr>
          <w:iCs/>
          <w:sz w:val="28"/>
          <w:szCs w:val="28"/>
          <w:lang w:val="it-IT"/>
        </w:rPr>
        <w:t xml:space="preserve">giám sát thi công xây dựng công trình </w:t>
      </w:r>
      <w:r w:rsidR="00FC2F71" w:rsidRPr="007719E7">
        <w:rPr>
          <w:sz w:val="26"/>
          <w:szCs w:val="26"/>
          <w:lang w:val="vi-VN"/>
        </w:rPr>
        <w:t>(</w:t>
      </w:r>
      <w:r w:rsidR="00FC2F71">
        <w:rPr>
          <w:sz w:val="26"/>
          <w:szCs w:val="26"/>
        </w:rPr>
        <w:t>b</w:t>
      </w:r>
      <w:r w:rsidR="00FC2F71" w:rsidRPr="007719E7">
        <w:rPr>
          <w:sz w:val="26"/>
          <w:szCs w:val="26"/>
          <w:lang w:val="vi-VN"/>
        </w:rPr>
        <w:t>ao gồm chi phí xây lắp + chi phí thiết bị)</w:t>
      </w:r>
      <w:r w:rsidRPr="00403FAC">
        <w:rPr>
          <w:rFonts w:eastAsia="Calibri"/>
          <w:iCs/>
          <w:sz w:val="28"/>
          <w:szCs w:val="28"/>
          <w:lang w:val="pl-PL"/>
        </w:rPr>
        <w:t>ị được thực hiện theo các qui định trong các văn bản pháp luật Việt Nam, nhưng không giới hạn các văn bản sau: Luật Xây dựng; Nghị định số 175/2024/NĐ-CP ngày 30/12/2024 của Chính phủ quy định chi tiết một số điều và biện pháp thi hành luật xây dựng về quản lý hoạt động xây dựng;</w:t>
      </w:r>
      <w:r w:rsidRPr="00403FAC">
        <w:rPr>
          <w:sz w:val="28"/>
          <w:szCs w:val="28"/>
          <w:lang w:val="pl-PL"/>
        </w:rPr>
        <w:t xml:space="preserve"> </w:t>
      </w:r>
      <w:r w:rsidRPr="00403FAC">
        <w:rPr>
          <w:rFonts w:eastAsia="Calibri"/>
          <w:iCs/>
          <w:sz w:val="28"/>
          <w:szCs w:val="28"/>
          <w:lang w:val="pl-PL"/>
        </w:rPr>
        <w:t>Nghị định số 06/2021/NĐ-CP ngày 26/01/2021 của Chính phủ quy định chi tiết một số nội dung về quản lý chất lượng, thi công xây dựng và bảo trì công trình xây dựng; và các quy định của pháp luật hiện hành, bao gồm các nội dung sau:</w:t>
      </w:r>
    </w:p>
    <w:p w14:paraId="639E79AC" w14:textId="77777777" w:rsidR="009B1FC0" w:rsidRPr="00403FAC" w:rsidRDefault="009B1FC0" w:rsidP="009B1FC0">
      <w:pPr>
        <w:spacing w:before="20" w:after="20" w:line="264" w:lineRule="auto"/>
        <w:ind w:firstLine="567"/>
        <w:rPr>
          <w:rFonts w:eastAsia="Calibri"/>
          <w:b/>
          <w:i/>
          <w:iCs/>
          <w:sz w:val="28"/>
          <w:szCs w:val="28"/>
          <w:lang w:val="pl-PL"/>
        </w:rPr>
      </w:pPr>
      <w:r w:rsidRPr="00403FAC">
        <w:rPr>
          <w:rFonts w:eastAsia="Calibri"/>
          <w:b/>
          <w:i/>
          <w:iCs/>
          <w:sz w:val="28"/>
          <w:szCs w:val="28"/>
          <w:lang w:val="pl-PL"/>
        </w:rPr>
        <w:t>2.1. Kiểm tra sự phù hợp năng lực của Nhà thầu thi công xây dựng công trình với Hồ sơ dự thầu và hợp đồng xây dựng, bao gồm:</w:t>
      </w:r>
    </w:p>
    <w:p w14:paraId="51AE9433" w14:textId="77777777" w:rsidR="009B1FC0" w:rsidRPr="00403FAC" w:rsidRDefault="009B1FC0" w:rsidP="009B1FC0">
      <w:pPr>
        <w:spacing w:before="20" w:after="20" w:line="264" w:lineRule="auto"/>
        <w:ind w:firstLine="567"/>
        <w:rPr>
          <w:rFonts w:eastAsia="Calibri"/>
          <w:iCs/>
          <w:sz w:val="28"/>
          <w:szCs w:val="28"/>
          <w:lang w:val="pl-PL"/>
        </w:rPr>
      </w:pPr>
      <w:r w:rsidRPr="00403FAC">
        <w:rPr>
          <w:rFonts w:eastAsia="Calibri"/>
          <w:iCs/>
          <w:sz w:val="28"/>
          <w:szCs w:val="28"/>
          <w:lang w:val="pl-PL"/>
        </w:rPr>
        <w:t>- Kiểm tra về nhân lực, thiết bị thi công của Nhà thầu thi công xây dựng công trình đưa vào công trường;</w:t>
      </w:r>
    </w:p>
    <w:p w14:paraId="317844C4" w14:textId="77777777" w:rsidR="009B1FC0" w:rsidRPr="00403FAC" w:rsidRDefault="009B1FC0" w:rsidP="009B1FC0">
      <w:pPr>
        <w:spacing w:before="20" w:after="20" w:line="264" w:lineRule="auto"/>
        <w:ind w:firstLine="567"/>
        <w:rPr>
          <w:rFonts w:eastAsia="Calibri"/>
          <w:iCs/>
          <w:sz w:val="28"/>
          <w:szCs w:val="28"/>
          <w:lang w:val="pl-PL"/>
        </w:rPr>
      </w:pPr>
      <w:r w:rsidRPr="00403FAC">
        <w:rPr>
          <w:rFonts w:eastAsia="Calibri"/>
          <w:iCs/>
          <w:sz w:val="28"/>
          <w:szCs w:val="28"/>
          <w:lang w:val="pl-PL"/>
        </w:rPr>
        <w:t xml:space="preserve">- Kiểm tra hệ thống quản lý chất lượng của Nhà thầu thi công xây dựng công trình; </w:t>
      </w:r>
    </w:p>
    <w:p w14:paraId="6DF2DDAE" w14:textId="77777777" w:rsidR="009B1FC0" w:rsidRPr="00403FAC" w:rsidRDefault="009B1FC0" w:rsidP="009B1FC0">
      <w:pPr>
        <w:spacing w:before="20" w:after="20" w:line="264" w:lineRule="auto"/>
        <w:ind w:firstLine="567"/>
        <w:rPr>
          <w:rFonts w:eastAsia="Calibri"/>
          <w:iCs/>
          <w:sz w:val="28"/>
          <w:szCs w:val="28"/>
          <w:lang w:val="pl-PL"/>
        </w:rPr>
      </w:pPr>
      <w:r w:rsidRPr="00403FAC">
        <w:rPr>
          <w:rFonts w:eastAsia="Calibri"/>
          <w:iCs/>
          <w:sz w:val="28"/>
          <w:szCs w:val="28"/>
          <w:lang w:val="pl-PL"/>
        </w:rPr>
        <w:t>- Kiểm tra giấy phép sử dụng các máy móc, thiết bị, vật tư có yêu cầu an toàn phục vụ thi công xây dựng công trình;</w:t>
      </w:r>
      <w:bookmarkStart w:id="2" w:name="_GoBack"/>
      <w:bookmarkEnd w:id="2"/>
    </w:p>
    <w:p w14:paraId="192F4B2F" w14:textId="77777777" w:rsidR="009B1FC0" w:rsidRPr="00403FAC" w:rsidRDefault="009B1FC0" w:rsidP="009B1FC0">
      <w:pPr>
        <w:spacing w:before="20" w:after="20" w:line="264" w:lineRule="auto"/>
        <w:ind w:firstLine="567"/>
        <w:rPr>
          <w:rFonts w:eastAsia="Calibri"/>
          <w:iCs/>
          <w:sz w:val="28"/>
          <w:szCs w:val="28"/>
          <w:lang w:val="pl-PL"/>
        </w:rPr>
      </w:pPr>
      <w:r w:rsidRPr="00403FAC">
        <w:rPr>
          <w:rFonts w:eastAsia="Calibri"/>
          <w:iCs/>
          <w:sz w:val="28"/>
          <w:szCs w:val="28"/>
          <w:lang w:val="pl-PL"/>
        </w:rPr>
        <w:t xml:space="preserve">- Kiểm tra phòng thí nghiệm và các cơ sở sản xuất vật liệu, cấu kiện, sản phẩm xây dựng phục vụ thi công xây dựng của Nhà thầu thi công xây dựng công trình. </w:t>
      </w:r>
    </w:p>
    <w:p w14:paraId="4663FE00" w14:textId="77777777" w:rsidR="009B1FC0" w:rsidRPr="00403FAC" w:rsidRDefault="009B1FC0" w:rsidP="009B1FC0">
      <w:pPr>
        <w:spacing w:before="20" w:after="20" w:line="264" w:lineRule="auto"/>
        <w:ind w:firstLine="567"/>
        <w:rPr>
          <w:rFonts w:eastAsia="Calibri"/>
          <w:b/>
          <w:i/>
          <w:iCs/>
          <w:sz w:val="28"/>
          <w:szCs w:val="28"/>
          <w:lang w:val="pl-PL"/>
        </w:rPr>
      </w:pPr>
      <w:r w:rsidRPr="00403FAC">
        <w:rPr>
          <w:rFonts w:eastAsia="Calibri"/>
          <w:b/>
          <w:i/>
          <w:iCs/>
          <w:sz w:val="28"/>
          <w:szCs w:val="28"/>
          <w:lang w:val="pl-PL"/>
        </w:rPr>
        <w:t>2.2. Kiểm tra và giám sát chất lượng vật tư, vật liệu và thiết bị lắp đặt vào công trình do Nhà thầu thi công xây dựng công trình cung cấp theo yêu cầu của thiết kế, bao gồm:</w:t>
      </w:r>
    </w:p>
    <w:p w14:paraId="05141B1F" w14:textId="77777777" w:rsidR="009B1FC0" w:rsidRPr="00403FAC" w:rsidRDefault="009B1FC0" w:rsidP="009B1FC0">
      <w:pPr>
        <w:spacing w:before="20" w:after="20" w:line="264" w:lineRule="auto"/>
        <w:ind w:firstLine="567"/>
        <w:rPr>
          <w:rFonts w:eastAsia="Calibri"/>
          <w:iCs/>
          <w:sz w:val="28"/>
          <w:szCs w:val="28"/>
          <w:lang w:val="pl-PL"/>
        </w:rPr>
      </w:pPr>
      <w:r w:rsidRPr="00403FAC">
        <w:rPr>
          <w:rFonts w:eastAsia="Calibri"/>
          <w:iCs/>
          <w:sz w:val="28"/>
          <w:szCs w:val="28"/>
          <w:lang w:val="pl-PL"/>
        </w:rPr>
        <w:t>Kiểm tra giấy chứng nhận chất lượng của nhà sản xuất, kết quả thí nghiệm của các phòng thí nghiệm hợp chuẩn và kết quả kiểm định chất lượng thiết bị của các tổ chức được cơ quan Nhà nước có thẩm quyền công nhận đối với vật liệu, cấu kiện, sản phẩm xây dựng, thiết bị lắp đặt vào công trình trước khi đưa vào xây dựng công trình.</w:t>
      </w:r>
    </w:p>
    <w:p w14:paraId="6F6134EC" w14:textId="77777777" w:rsidR="009B1FC0" w:rsidRPr="00403FAC" w:rsidRDefault="009B1FC0" w:rsidP="009B1FC0">
      <w:pPr>
        <w:spacing w:before="20" w:after="20" w:line="264" w:lineRule="auto"/>
        <w:ind w:firstLine="567"/>
        <w:rPr>
          <w:rFonts w:eastAsia="Calibri"/>
          <w:iCs/>
          <w:sz w:val="28"/>
          <w:szCs w:val="28"/>
          <w:lang w:val="pl-PL"/>
        </w:rPr>
      </w:pPr>
      <w:r w:rsidRPr="00403FAC">
        <w:rPr>
          <w:rFonts w:eastAsia="Calibri"/>
          <w:iCs/>
          <w:sz w:val="28"/>
          <w:szCs w:val="28"/>
          <w:lang w:val="pl-PL"/>
        </w:rPr>
        <w:t xml:space="preserve">Có đề xuất phương án thí nghiệm đối chứng, kiểm tra chất lượng vật tư thiết bị (sử dụng phòng LAS của nhà thầu hoặc bên thứ 3 độc lập được nhà thầu thuê – </w:t>
      </w:r>
      <w:r w:rsidRPr="00403FAC">
        <w:rPr>
          <w:rFonts w:eastAsia="Calibri"/>
          <w:iCs/>
          <w:sz w:val="28"/>
          <w:szCs w:val="28"/>
          <w:lang w:val="pl-PL"/>
        </w:rPr>
        <w:lastRenderedPageBreak/>
        <w:t>phòng LAS có đủ điều kiện thí nghiệm theo quy định) trước khi đưa vào xây dựng công trình khi có yêu cầu hoặc nghi ngờ chất lượng của vật tư, thiết bị.</w:t>
      </w:r>
    </w:p>
    <w:p w14:paraId="7F383891" w14:textId="77777777" w:rsidR="009B1FC0" w:rsidRPr="00403FAC" w:rsidRDefault="009B1FC0" w:rsidP="009B1FC0">
      <w:pPr>
        <w:spacing w:before="20" w:after="20" w:line="264" w:lineRule="auto"/>
        <w:ind w:firstLine="567"/>
        <w:rPr>
          <w:rFonts w:eastAsia="Calibri"/>
          <w:b/>
          <w:i/>
          <w:iCs/>
          <w:sz w:val="28"/>
          <w:szCs w:val="28"/>
          <w:lang w:val="pl-PL"/>
        </w:rPr>
      </w:pPr>
      <w:r w:rsidRPr="00403FAC">
        <w:rPr>
          <w:rFonts w:eastAsia="Calibri"/>
          <w:b/>
          <w:i/>
          <w:iCs/>
          <w:sz w:val="28"/>
          <w:szCs w:val="28"/>
          <w:lang w:val="pl-PL"/>
        </w:rPr>
        <w:t>2.3. Kiểm tra và giám sát trong quá trình thi công xây dựng công trình, bao gồm:</w:t>
      </w:r>
    </w:p>
    <w:p w14:paraId="2ADF162D" w14:textId="77777777" w:rsidR="009B1FC0" w:rsidRPr="00403FAC" w:rsidRDefault="009B1FC0" w:rsidP="009B1FC0">
      <w:pPr>
        <w:spacing w:before="20" w:after="20" w:line="264" w:lineRule="auto"/>
        <w:ind w:firstLine="567"/>
        <w:rPr>
          <w:rFonts w:eastAsia="Calibri"/>
          <w:iCs/>
          <w:sz w:val="28"/>
          <w:szCs w:val="28"/>
          <w:lang w:val="pl-PL"/>
        </w:rPr>
      </w:pPr>
      <w:r w:rsidRPr="00403FAC">
        <w:rPr>
          <w:rFonts w:eastAsia="Calibri"/>
          <w:iCs/>
          <w:sz w:val="28"/>
          <w:szCs w:val="28"/>
          <w:lang w:val="pl-PL"/>
        </w:rPr>
        <w:t>- Kiểm tra biện pháp thi công của Nhà thầu thi công xây dựng công trình;</w:t>
      </w:r>
    </w:p>
    <w:p w14:paraId="4B628DCB" w14:textId="77777777" w:rsidR="009B1FC0" w:rsidRPr="00403FAC" w:rsidRDefault="009B1FC0" w:rsidP="009B1FC0">
      <w:pPr>
        <w:spacing w:before="20" w:after="20" w:line="264" w:lineRule="auto"/>
        <w:ind w:firstLine="567"/>
        <w:rPr>
          <w:rFonts w:eastAsia="Calibri"/>
          <w:iCs/>
          <w:sz w:val="28"/>
          <w:szCs w:val="28"/>
          <w:lang w:val="pl-PL"/>
        </w:rPr>
      </w:pPr>
      <w:r w:rsidRPr="00403FAC">
        <w:rPr>
          <w:rFonts w:eastAsia="Calibri"/>
          <w:iCs/>
          <w:sz w:val="28"/>
          <w:szCs w:val="28"/>
          <w:lang w:val="pl-PL"/>
        </w:rPr>
        <w:t>- Kiểm tra và giám sát thường xuyên có hệ thống quá trình nhà thầu thi công xây dựng công trình, triển khai các công việc tại hiện trường. Kết quả kiểm tra đều phải ghi nhật ký giám sát hoặc biên bản kiểm tra theo quy định;</w:t>
      </w:r>
    </w:p>
    <w:p w14:paraId="1EE68F99" w14:textId="77777777" w:rsidR="009B1FC0" w:rsidRPr="00403FAC" w:rsidRDefault="009B1FC0" w:rsidP="009B1FC0">
      <w:pPr>
        <w:spacing w:before="20" w:after="20" w:line="264" w:lineRule="auto"/>
        <w:ind w:firstLine="567"/>
        <w:rPr>
          <w:rFonts w:eastAsia="Calibri"/>
          <w:iCs/>
          <w:sz w:val="28"/>
          <w:szCs w:val="28"/>
          <w:lang w:val="pl-PL"/>
        </w:rPr>
      </w:pPr>
      <w:r w:rsidRPr="00403FAC">
        <w:rPr>
          <w:rFonts w:eastAsia="Calibri"/>
          <w:iCs/>
          <w:sz w:val="28"/>
          <w:szCs w:val="28"/>
          <w:lang w:val="pl-PL"/>
        </w:rPr>
        <w:t>- Xác nhận khối lượng, chất lượng và bản vẽ hoàn công;</w:t>
      </w:r>
    </w:p>
    <w:p w14:paraId="0E1F94CF" w14:textId="77777777" w:rsidR="009B1FC0" w:rsidRPr="00403FAC" w:rsidRDefault="009B1FC0" w:rsidP="009B1FC0">
      <w:pPr>
        <w:spacing w:before="20" w:after="20" w:line="264" w:lineRule="auto"/>
        <w:ind w:firstLine="567"/>
        <w:rPr>
          <w:rFonts w:eastAsia="Calibri"/>
          <w:iCs/>
          <w:sz w:val="28"/>
          <w:szCs w:val="28"/>
          <w:lang w:val="pl-PL"/>
        </w:rPr>
      </w:pPr>
      <w:r w:rsidRPr="00403FAC">
        <w:rPr>
          <w:rFonts w:eastAsia="Calibri"/>
          <w:iCs/>
          <w:sz w:val="28"/>
          <w:szCs w:val="28"/>
          <w:lang w:val="pl-PL"/>
        </w:rPr>
        <w:t>- Tập hợp, kiểm tra tài liệu phục vụ nghiệm thu công việc xây dựng, bộ phận công trình, giai đoạn thi công xây dựng, nghiệm thu thiết bị, nghiệm thu hoàn thành từng hạng mục công trình xây dựng và hoàn thành công trình xây dựng;</w:t>
      </w:r>
    </w:p>
    <w:p w14:paraId="6C9C93D3" w14:textId="77777777" w:rsidR="009B1FC0" w:rsidRPr="00403FAC" w:rsidRDefault="009B1FC0" w:rsidP="009B1FC0">
      <w:pPr>
        <w:widowControl w:val="0"/>
        <w:spacing w:before="20" w:after="20" w:line="264" w:lineRule="auto"/>
        <w:ind w:firstLine="567"/>
        <w:rPr>
          <w:rFonts w:eastAsia="Calibri"/>
          <w:iCs/>
          <w:sz w:val="28"/>
          <w:szCs w:val="28"/>
          <w:lang w:val="pl-PL"/>
        </w:rPr>
      </w:pPr>
      <w:r w:rsidRPr="00403FAC">
        <w:rPr>
          <w:rFonts w:eastAsia="Calibri"/>
          <w:iCs/>
          <w:sz w:val="28"/>
          <w:szCs w:val="28"/>
          <w:lang w:val="pl-PL"/>
        </w:rPr>
        <w:t xml:space="preserve">- Phát hiện sai sót, bất hợp lý về thiết kế để đề nghị Chủ đầu tư yêu cầu nhà thầu thiết kế điều chỉnh; </w:t>
      </w:r>
    </w:p>
    <w:p w14:paraId="4DE0028F" w14:textId="77777777" w:rsidR="009B1FC0" w:rsidRPr="00403FAC" w:rsidRDefault="009B1FC0" w:rsidP="009B1FC0">
      <w:pPr>
        <w:widowControl w:val="0"/>
        <w:spacing w:before="20" w:after="20" w:line="264" w:lineRule="auto"/>
        <w:ind w:firstLine="567"/>
        <w:rPr>
          <w:rFonts w:eastAsia="Calibri"/>
          <w:iCs/>
          <w:sz w:val="28"/>
          <w:szCs w:val="28"/>
          <w:lang w:val="pl-PL"/>
        </w:rPr>
      </w:pPr>
      <w:r w:rsidRPr="00403FAC">
        <w:rPr>
          <w:rFonts w:eastAsia="Calibri"/>
          <w:iCs/>
          <w:sz w:val="28"/>
          <w:szCs w:val="28"/>
          <w:lang w:val="pl-PL"/>
        </w:rPr>
        <w:t>- Tổ chức kiểm định lại chất lượng bộ phận công trình, hạng mục công trình và công trình xây dựng khi có nghi ngờ về chất lượng.</w:t>
      </w:r>
    </w:p>
    <w:p w14:paraId="25CEF9FF" w14:textId="77777777" w:rsidR="009B1FC0" w:rsidRPr="00403FAC" w:rsidRDefault="009B1FC0" w:rsidP="009B1FC0">
      <w:pPr>
        <w:widowControl w:val="0"/>
        <w:spacing w:before="20" w:after="20" w:line="264" w:lineRule="auto"/>
        <w:ind w:firstLine="567"/>
        <w:rPr>
          <w:rFonts w:eastAsia="Calibri"/>
          <w:b/>
          <w:i/>
          <w:iCs/>
          <w:sz w:val="28"/>
          <w:szCs w:val="28"/>
          <w:lang w:val="pl-PL"/>
        </w:rPr>
      </w:pPr>
      <w:r w:rsidRPr="00403FAC">
        <w:rPr>
          <w:rFonts w:eastAsia="Calibri"/>
          <w:b/>
          <w:i/>
          <w:iCs/>
          <w:sz w:val="28"/>
          <w:szCs w:val="28"/>
          <w:lang w:val="pl-PL"/>
        </w:rPr>
        <w:t>2.4. Các yêu cầu khác gồm:</w:t>
      </w:r>
    </w:p>
    <w:p w14:paraId="10598182" w14:textId="77777777" w:rsidR="009B1FC0" w:rsidRPr="00403FAC" w:rsidRDefault="009B1FC0" w:rsidP="009B1FC0">
      <w:pPr>
        <w:widowControl w:val="0"/>
        <w:spacing w:before="20" w:after="20" w:line="264" w:lineRule="auto"/>
        <w:ind w:firstLine="567"/>
        <w:rPr>
          <w:rFonts w:eastAsia="Calibri"/>
          <w:iCs/>
          <w:sz w:val="28"/>
          <w:szCs w:val="28"/>
          <w:lang w:val="pl-PL"/>
        </w:rPr>
      </w:pPr>
      <w:r w:rsidRPr="00403FAC">
        <w:rPr>
          <w:rFonts w:eastAsia="Calibri"/>
          <w:iCs/>
          <w:sz w:val="28"/>
          <w:szCs w:val="28"/>
          <w:lang w:val="pl-PL"/>
        </w:rPr>
        <w:t>- Cử cán bộ có đủ năng lực, kinh nghiệm theo quy định, có mặt thường xuyên liên tục tại hiện trường trong suốt thời gian nhà thầu thi công thi công xây dựng công trình.</w:t>
      </w:r>
    </w:p>
    <w:p w14:paraId="54CA11D8" w14:textId="77777777" w:rsidR="009B1FC0" w:rsidRPr="00403FAC" w:rsidRDefault="009B1FC0" w:rsidP="009B1FC0">
      <w:pPr>
        <w:widowControl w:val="0"/>
        <w:spacing w:before="20" w:after="20" w:line="264" w:lineRule="auto"/>
        <w:ind w:firstLine="567"/>
        <w:rPr>
          <w:rFonts w:eastAsia="Calibri"/>
          <w:iCs/>
          <w:sz w:val="28"/>
          <w:szCs w:val="28"/>
          <w:lang w:val="pl-PL"/>
        </w:rPr>
      </w:pPr>
      <w:r w:rsidRPr="00403FAC">
        <w:rPr>
          <w:rFonts w:eastAsia="Calibri"/>
          <w:iCs/>
          <w:sz w:val="28"/>
          <w:szCs w:val="28"/>
          <w:lang w:val="pl-PL"/>
        </w:rPr>
        <w:t>- Thông báo cho Chủ đầu tư danh sách cán bộ giám sát tại hiện trường, kèm theo bản sao chụp Quyết định đề cử cán bộ giám sát của Nhà thầu tư vấn giám sát.</w:t>
      </w:r>
    </w:p>
    <w:p w14:paraId="671B7F75" w14:textId="77777777" w:rsidR="009B1FC0" w:rsidRPr="00403FAC" w:rsidRDefault="009B1FC0" w:rsidP="009B1FC0">
      <w:pPr>
        <w:widowControl w:val="0"/>
        <w:spacing w:before="20" w:after="20" w:line="264" w:lineRule="auto"/>
        <w:ind w:firstLine="567"/>
        <w:rPr>
          <w:rFonts w:eastAsia="Calibri"/>
          <w:iCs/>
          <w:sz w:val="28"/>
          <w:szCs w:val="28"/>
          <w:lang w:val="pl-PL"/>
        </w:rPr>
      </w:pPr>
      <w:r w:rsidRPr="00403FAC">
        <w:rPr>
          <w:rFonts w:eastAsia="Calibri"/>
          <w:iCs/>
          <w:sz w:val="28"/>
          <w:szCs w:val="28"/>
          <w:lang w:val="pl-PL"/>
        </w:rPr>
        <w:t>- Phối hợp với các Bên liên quan giải quyết những vướng mắc, phát sinh trong thi công xây dựng công trình.</w:t>
      </w:r>
    </w:p>
    <w:p w14:paraId="24F58C3D" w14:textId="77777777" w:rsidR="009B1FC0" w:rsidRPr="00403FAC" w:rsidRDefault="009B1FC0" w:rsidP="009B1FC0">
      <w:pPr>
        <w:spacing w:before="20" w:after="20" w:line="264" w:lineRule="auto"/>
        <w:ind w:firstLine="567"/>
        <w:rPr>
          <w:rFonts w:eastAsia="Calibri"/>
          <w:iCs/>
          <w:sz w:val="28"/>
          <w:szCs w:val="28"/>
          <w:lang w:val="pl-PL"/>
        </w:rPr>
      </w:pPr>
      <w:r w:rsidRPr="00403FAC">
        <w:rPr>
          <w:rFonts w:eastAsia="Calibri"/>
          <w:iCs/>
          <w:sz w:val="28"/>
          <w:szCs w:val="28"/>
          <w:lang w:val="pl-PL"/>
        </w:rPr>
        <w:t>- Trung thực, khách quan, không vụ lợi.</w:t>
      </w:r>
    </w:p>
    <w:p w14:paraId="7B11C6BD" w14:textId="77777777" w:rsidR="009B1FC0" w:rsidRPr="00403FAC" w:rsidRDefault="009B1FC0" w:rsidP="009B1FC0">
      <w:pPr>
        <w:spacing w:before="20" w:after="20" w:line="264" w:lineRule="auto"/>
        <w:ind w:firstLine="567"/>
        <w:rPr>
          <w:rFonts w:eastAsia="Calibri"/>
          <w:iCs/>
          <w:sz w:val="28"/>
          <w:szCs w:val="28"/>
          <w:lang w:val="pl-PL"/>
        </w:rPr>
      </w:pPr>
      <w:r w:rsidRPr="00403FAC">
        <w:rPr>
          <w:rFonts w:eastAsia="Calibri"/>
          <w:iCs/>
          <w:sz w:val="28"/>
          <w:szCs w:val="28"/>
          <w:lang w:val="pl-PL"/>
        </w:rPr>
        <w:t>- Các yêu cầu khác theo Đề cương giám sát và quy định của pháp luật hiện hành.</w:t>
      </w:r>
    </w:p>
    <w:p w14:paraId="740244E8" w14:textId="77777777" w:rsidR="009B1FC0" w:rsidRPr="00403FAC" w:rsidRDefault="009B1FC0" w:rsidP="009B1FC0">
      <w:pPr>
        <w:spacing w:before="20" w:after="20" w:line="264" w:lineRule="auto"/>
        <w:ind w:firstLine="567"/>
        <w:rPr>
          <w:rFonts w:eastAsia="Calibri"/>
          <w:b/>
          <w:iCs/>
          <w:sz w:val="28"/>
          <w:szCs w:val="28"/>
          <w:lang w:val="pl-PL"/>
        </w:rPr>
      </w:pPr>
      <w:r w:rsidRPr="00403FAC">
        <w:rPr>
          <w:rFonts w:eastAsia="Calibri"/>
          <w:b/>
          <w:iCs/>
          <w:sz w:val="28"/>
          <w:szCs w:val="28"/>
          <w:lang w:val="pl-PL"/>
        </w:rPr>
        <w:t>3. Dự kiến thời gian chuyên gia bắt đầu thực hiện DVTV:</w:t>
      </w:r>
    </w:p>
    <w:p w14:paraId="161A690D" w14:textId="77777777" w:rsidR="009B1FC0" w:rsidRPr="00403FAC" w:rsidRDefault="009B1FC0" w:rsidP="009B1FC0">
      <w:pPr>
        <w:spacing w:before="20" w:after="20" w:line="264" w:lineRule="auto"/>
        <w:ind w:firstLine="567"/>
        <w:rPr>
          <w:rFonts w:eastAsia="Calibri"/>
          <w:sz w:val="28"/>
          <w:szCs w:val="28"/>
          <w:lang w:val="pl-PL"/>
        </w:rPr>
      </w:pPr>
      <w:r w:rsidRPr="00403FAC">
        <w:rPr>
          <w:rFonts w:eastAsia="Calibri"/>
          <w:iCs/>
          <w:sz w:val="28"/>
          <w:szCs w:val="28"/>
          <w:lang w:val="pl-PL"/>
        </w:rPr>
        <w:t>Kể từ khi hợp đồng có hiệu lực</w:t>
      </w:r>
      <w:r w:rsidRPr="00403FAC">
        <w:rPr>
          <w:rFonts w:eastAsia="Calibri"/>
          <w:sz w:val="28"/>
          <w:szCs w:val="28"/>
          <w:lang w:val="pl-PL"/>
        </w:rPr>
        <w:t>.</w:t>
      </w:r>
    </w:p>
    <w:p w14:paraId="0E3CD970" w14:textId="77777777" w:rsidR="009B1FC0" w:rsidRPr="00403FAC" w:rsidRDefault="009B1FC0" w:rsidP="009B1FC0">
      <w:pPr>
        <w:spacing w:before="20" w:after="20" w:line="264" w:lineRule="auto"/>
        <w:ind w:firstLine="567"/>
        <w:rPr>
          <w:b/>
          <w:bCs/>
          <w:sz w:val="28"/>
          <w:szCs w:val="28"/>
          <w:lang w:val="it-IT"/>
        </w:rPr>
      </w:pPr>
      <w:r w:rsidRPr="00403FAC">
        <w:rPr>
          <w:b/>
          <w:sz w:val="28"/>
          <w:szCs w:val="28"/>
          <w:lang w:val="it-IT"/>
        </w:rPr>
        <w:t>III. Báo cáo và thời gian thực hiện:</w:t>
      </w:r>
    </w:p>
    <w:p w14:paraId="4F6E5CA0" w14:textId="77777777" w:rsidR="009B1FC0" w:rsidRPr="00403FAC" w:rsidRDefault="009B1FC0" w:rsidP="009B1FC0">
      <w:pPr>
        <w:spacing w:before="20" w:after="20" w:line="264" w:lineRule="auto"/>
        <w:ind w:firstLine="567"/>
        <w:rPr>
          <w:rFonts w:eastAsia="Calibri"/>
          <w:iCs/>
          <w:sz w:val="28"/>
          <w:szCs w:val="28"/>
          <w:lang w:val="pl-PL"/>
        </w:rPr>
      </w:pPr>
      <w:r w:rsidRPr="00403FAC">
        <w:rPr>
          <w:rFonts w:eastAsia="Calibri"/>
          <w:iCs/>
          <w:sz w:val="28"/>
          <w:szCs w:val="28"/>
          <w:lang w:val="pl-PL"/>
        </w:rPr>
        <w:t>- Ngay sau khi hợp đồng giữa hai bên có hiệu lực, Nhà thầu tư vấn có trách nhiệm lập đề cương tư vấn giám sát thi công xây dựng và cung cấp, lắp đặt thiết bị trình chủ đầu tư xem xét phê duyệt.</w:t>
      </w:r>
    </w:p>
    <w:p w14:paraId="57E45624" w14:textId="77777777" w:rsidR="009B1FC0" w:rsidRPr="00403FAC" w:rsidRDefault="009B1FC0" w:rsidP="009B1FC0">
      <w:pPr>
        <w:spacing w:before="20" w:after="20" w:line="264" w:lineRule="auto"/>
        <w:ind w:firstLine="567"/>
        <w:rPr>
          <w:rFonts w:eastAsia="Calibri"/>
          <w:iCs/>
          <w:sz w:val="28"/>
          <w:szCs w:val="28"/>
          <w:lang w:val="pl-PL"/>
        </w:rPr>
      </w:pPr>
      <w:r w:rsidRPr="00403FAC">
        <w:rPr>
          <w:rFonts w:eastAsia="Calibri"/>
          <w:iCs/>
          <w:sz w:val="28"/>
          <w:szCs w:val="28"/>
          <w:lang w:val="pl-PL"/>
        </w:rPr>
        <w:t>- Cùng với Chủ đầu tư họp giao ban định kỳ với các nhà thầu có liên quan. Cuộc họp phải được lập biên bản và xác nhận của các bên tham gia cuộc họp;</w:t>
      </w:r>
    </w:p>
    <w:p w14:paraId="6DC9921F" w14:textId="77777777" w:rsidR="009B1FC0" w:rsidRPr="00403FAC" w:rsidRDefault="009B1FC0" w:rsidP="009B1FC0">
      <w:pPr>
        <w:spacing w:before="20" w:after="20" w:line="264" w:lineRule="auto"/>
        <w:ind w:firstLine="567"/>
        <w:rPr>
          <w:rFonts w:eastAsia="Calibri"/>
          <w:iCs/>
          <w:sz w:val="28"/>
          <w:szCs w:val="28"/>
          <w:lang w:val="pl-PL"/>
        </w:rPr>
      </w:pPr>
      <w:r w:rsidRPr="00403FAC">
        <w:rPr>
          <w:rFonts w:eastAsia="Calibri"/>
          <w:iCs/>
          <w:sz w:val="28"/>
          <w:szCs w:val="28"/>
          <w:lang w:val="pl-PL"/>
        </w:rPr>
        <w:lastRenderedPageBreak/>
        <w:t>- Phân tích nguyên nhân và đề xuất các giải pháp thực hiện nhằm đảm bảo tiến độ, chất lượng công trình xây dựng.</w:t>
      </w:r>
    </w:p>
    <w:p w14:paraId="68F79071" w14:textId="77777777" w:rsidR="009B1FC0" w:rsidRPr="00403FAC" w:rsidRDefault="009B1FC0" w:rsidP="009B1FC0">
      <w:pPr>
        <w:spacing w:before="20" w:after="20" w:line="264" w:lineRule="auto"/>
        <w:ind w:firstLine="567"/>
        <w:rPr>
          <w:rFonts w:eastAsia="Calibri"/>
          <w:sz w:val="28"/>
          <w:szCs w:val="28"/>
          <w:lang w:val="pl-PL"/>
        </w:rPr>
      </w:pPr>
      <w:r w:rsidRPr="00403FAC">
        <w:rPr>
          <w:rFonts w:eastAsia="Calibri"/>
          <w:iCs/>
          <w:sz w:val="28"/>
          <w:szCs w:val="28"/>
          <w:lang w:val="pl-PL"/>
        </w:rPr>
        <w:t>- Lập báo cáo về tiến độ, chất lượng của các nhà thầu thi công định kỳ hàng tuần, hàng tháng và báo cáo bất thường khi có yêu cầu từ chủ đầu tư.</w:t>
      </w:r>
    </w:p>
    <w:p w14:paraId="7C6D2F84" w14:textId="77777777" w:rsidR="009B1FC0" w:rsidRPr="00403FAC" w:rsidRDefault="009B1FC0" w:rsidP="009B1FC0">
      <w:pPr>
        <w:spacing w:before="20" w:after="20" w:line="264" w:lineRule="auto"/>
        <w:ind w:firstLine="567"/>
        <w:rPr>
          <w:b/>
          <w:sz w:val="28"/>
          <w:szCs w:val="28"/>
          <w:lang w:val="it-IT"/>
        </w:rPr>
      </w:pPr>
      <w:r w:rsidRPr="00403FAC">
        <w:rPr>
          <w:b/>
          <w:sz w:val="28"/>
          <w:szCs w:val="28"/>
          <w:lang w:val="it-IT"/>
        </w:rPr>
        <w:t>IV. Kinh nghiệm và nhân sự của nhà thầu:</w:t>
      </w:r>
    </w:p>
    <w:p w14:paraId="03C4CD73" w14:textId="77777777" w:rsidR="009B1FC0" w:rsidRPr="00403FAC" w:rsidRDefault="009B1FC0" w:rsidP="009B1FC0">
      <w:pPr>
        <w:spacing w:before="20" w:after="20" w:line="264" w:lineRule="auto"/>
        <w:ind w:firstLine="567"/>
        <w:rPr>
          <w:sz w:val="28"/>
          <w:szCs w:val="28"/>
          <w:lang w:val="it-IT"/>
        </w:rPr>
      </w:pPr>
      <w:r w:rsidRPr="00403FAC">
        <w:rPr>
          <w:sz w:val="28"/>
          <w:szCs w:val="28"/>
          <w:lang w:val="it-IT"/>
        </w:rPr>
        <w:t>Theo yêu cầu tại Chương III, E-HSMT .</w:t>
      </w:r>
    </w:p>
    <w:p w14:paraId="300A56DF" w14:textId="77777777" w:rsidR="009B1FC0" w:rsidRPr="00403FAC" w:rsidRDefault="009B1FC0" w:rsidP="009B1FC0">
      <w:pPr>
        <w:spacing w:before="20" w:after="20" w:line="264" w:lineRule="auto"/>
        <w:ind w:firstLine="567"/>
        <w:rPr>
          <w:b/>
          <w:bCs/>
          <w:sz w:val="28"/>
          <w:szCs w:val="28"/>
          <w:lang w:val="it-IT"/>
        </w:rPr>
      </w:pPr>
      <w:r w:rsidRPr="00403FAC">
        <w:rPr>
          <w:b/>
          <w:sz w:val="28"/>
          <w:szCs w:val="28"/>
          <w:lang w:val="it-IT"/>
        </w:rPr>
        <w:t>V. Trách nhiệm của Chủ đầu tư:</w:t>
      </w:r>
    </w:p>
    <w:p w14:paraId="17B3754B" w14:textId="77777777" w:rsidR="009B1FC0" w:rsidRPr="00403FAC" w:rsidRDefault="009B1FC0" w:rsidP="009B1FC0">
      <w:pPr>
        <w:spacing w:before="20" w:after="20" w:line="264" w:lineRule="auto"/>
        <w:ind w:firstLine="567"/>
        <w:rPr>
          <w:rFonts w:eastAsia="Calibri"/>
          <w:iCs/>
          <w:sz w:val="28"/>
          <w:szCs w:val="28"/>
          <w:lang w:val="pl-PL"/>
        </w:rPr>
      </w:pPr>
      <w:r w:rsidRPr="00403FAC">
        <w:rPr>
          <w:rFonts w:eastAsia="Calibri"/>
          <w:iCs/>
          <w:sz w:val="28"/>
          <w:szCs w:val="28"/>
          <w:lang w:val="pl-PL"/>
        </w:rPr>
        <w:t>Cung cấp cho nhà thầu tư vấn giám sát các thông tin, tài liệu (phục vụ công tác giám sát chất lượng, tiến độ…) liên quan đến dự án mà Chủ đầu tư có được trong khoảng thời gian sớm nhất theo đề nghị của nhà thầu tư vấn giám sát;</w:t>
      </w:r>
    </w:p>
    <w:p w14:paraId="5AA76E46" w14:textId="77777777" w:rsidR="009B1FC0" w:rsidRPr="00403FAC" w:rsidRDefault="009B1FC0" w:rsidP="009B1FC0">
      <w:pPr>
        <w:spacing w:before="20" w:after="20" w:line="264" w:lineRule="auto"/>
        <w:ind w:firstLine="567"/>
        <w:rPr>
          <w:rFonts w:eastAsia="Calibri"/>
          <w:iCs/>
          <w:sz w:val="28"/>
          <w:szCs w:val="28"/>
          <w:lang w:val="pl-PL"/>
        </w:rPr>
      </w:pPr>
      <w:r w:rsidRPr="00403FAC">
        <w:rPr>
          <w:rFonts w:eastAsia="Calibri"/>
          <w:iCs/>
          <w:sz w:val="28"/>
          <w:szCs w:val="28"/>
          <w:lang w:val="pl-PL"/>
        </w:rPr>
        <w:t>Hợp tác với nhà thầu tư vấn giám sát và tạo điều kiện đến mức tối đa cho nhà thầu tư vấn giám sát trong quá trình thực hiện hợp đồng.</w:t>
      </w:r>
    </w:p>
    <w:p w14:paraId="643E5DD3" w14:textId="77777777" w:rsidR="009B1FC0" w:rsidRPr="00403FAC" w:rsidRDefault="009B1FC0" w:rsidP="009B1FC0">
      <w:pPr>
        <w:spacing w:before="20" w:after="20" w:line="264" w:lineRule="auto"/>
        <w:ind w:firstLine="567"/>
        <w:rPr>
          <w:rFonts w:eastAsia="Calibri"/>
          <w:iCs/>
          <w:sz w:val="28"/>
          <w:szCs w:val="28"/>
          <w:lang w:val="pl-PL"/>
        </w:rPr>
      </w:pPr>
      <w:r w:rsidRPr="00403FAC">
        <w:rPr>
          <w:rFonts w:eastAsia="Calibri"/>
          <w:iCs/>
          <w:sz w:val="28"/>
          <w:szCs w:val="28"/>
          <w:lang w:val="pl-PL"/>
        </w:rPr>
        <w:t>Thanh toán cho nhà thầu tư vấn giám sát toàn bộ giá hợp đồng theo đúng các quy định được thỏa thuận trong hợp đồng này.</w:t>
      </w:r>
    </w:p>
    <w:p w14:paraId="47A26528" w14:textId="77777777" w:rsidR="009B1FC0" w:rsidRPr="00403FAC" w:rsidRDefault="009B1FC0" w:rsidP="009B1FC0">
      <w:pPr>
        <w:widowControl w:val="0"/>
        <w:spacing w:before="20" w:after="20" w:line="264" w:lineRule="auto"/>
        <w:ind w:firstLine="567"/>
        <w:rPr>
          <w:rFonts w:eastAsia="Calibri"/>
          <w:iCs/>
          <w:sz w:val="28"/>
          <w:szCs w:val="28"/>
          <w:lang w:val="pl-PL"/>
        </w:rPr>
      </w:pPr>
      <w:r w:rsidRPr="00403FAC">
        <w:rPr>
          <w:rFonts w:eastAsia="Calibri"/>
          <w:iCs/>
          <w:sz w:val="28"/>
          <w:szCs w:val="28"/>
          <w:lang w:val="pl-PL"/>
        </w:rPr>
        <w:t>Chủ đầu tư sẽ trả lời bằng văn bản các đề nghị hay yêu cầu của nhà thầu tư vấn giám sát trong vòng 03 ngày làm việc.</w:t>
      </w:r>
    </w:p>
    <w:p w14:paraId="3C0F92E3" w14:textId="77777777" w:rsidR="009B1FC0" w:rsidRPr="00403FAC" w:rsidRDefault="009B1FC0" w:rsidP="009B1FC0">
      <w:pPr>
        <w:widowControl w:val="0"/>
        <w:spacing w:before="20" w:after="20" w:line="264" w:lineRule="auto"/>
        <w:ind w:firstLine="567"/>
        <w:rPr>
          <w:rFonts w:eastAsia="Calibri"/>
          <w:iCs/>
          <w:sz w:val="28"/>
          <w:szCs w:val="28"/>
          <w:lang w:val="pl-PL"/>
        </w:rPr>
      </w:pPr>
      <w:r w:rsidRPr="00403FAC">
        <w:rPr>
          <w:rFonts w:eastAsia="Calibri"/>
          <w:iCs/>
          <w:sz w:val="28"/>
          <w:szCs w:val="28"/>
          <w:lang w:val="pl-PL"/>
        </w:rPr>
        <w:t xml:space="preserve">Chủ đầu tư có trách nhiệm cử những cá nhân có đủ năng lực và chuyên môn phù hợp với từng công việc để làm việc với nhà thầu tư vấn giám sát. </w:t>
      </w:r>
    </w:p>
    <w:p w14:paraId="3C82E2C2" w14:textId="77777777" w:rsidR="009B1FC0" w:rsidRPr="00403FAC" w:rsidRDefault="009B1FC0" w:rsidP="009B1FC0">
      <w:pPr>
        <w:widowControl w:val="0"/>
        <w:spacing w:before="20" w:after="20" w:line="264" w:lineRule="auto"/>
        <w:ind w:firstLine="567"/>
        <w:rPr>
          <w:rFonts w:eastAsia="Calibri"/>
          <w:iCs/>
          <w:sz w:val="28"/>
          <w:szCs w:val="28"/>
          <w:lang w:val="pl-PL"/>
        </w:rPr>
      </w:pPr>
      <w:r w:rsidRPr="00403FAC">
        <w:rPr>
          <w:rFonts w:eastAsia="Calibri"/>
          <w:iCs/>
          <w:sz w:val="28"/>
          <w:szCs w:val="28"/>
          <w:lang w:val="pl-PL"/>
        </w:rPr>
        <w:t>Cùng bàn bạc và đi tới thống nhất trước khi quyết định các vấn đề quan trọng liên quan đến phạm vi công việc của nhà thầu tư vấn giám sát;</w:t>
      </w:r>
    </w:p>
    <w:p w14:paraId="04421395" w14:textId="77777777" w:rsidR="009B1FC0" w:rsidRPr="00403FAC" w:rsidRDefault="009B1FC0" w:rsidP="009B1FC0">
      <w:pPr>
        <w:spacing w:before="60" w:after="60"/>
        <w:ind w:firstLine="720"/>
        <w:rPr>
          <w:bCs/>
          <w:iCs/>
          <w:sz w:val="28"/>
          <w:szCs w:val="28"/>
          <w:lang w:val="it-IT"/>
        </w:rPr>
      </w:pPr>
      <w:r w:rsidRPr="00403FAC">
        <w:rPr>
          <w:rFonts w:eastAsia="Calibri"/>
          <w:iCs/>
          <w:sz w:val="28"/>
          <w:szCs w:val="28"/>
          <w:lang w:val="pl-PL"/>
        </w:rPr>
        <w:t>Cấp biên bản xác nhận việc hoàn thành các nghĩa vụ theo hợp đồng này cho nhà thầu tư vấn giám sát. Tuy nhiên tất cả việc phê duyệt hay cấp bất kỳ văn bản nào của Chủ đầu tư không làm giảm trách nhiệm của nhà thầu tư vấn giám sát trong quá trình thực hiện hợp đồng này</w:t>
      </w:r>
    </w:p>
    <w:p w14:paraId="7FF57ACD" w14:textId="77777777" w:rsidR="009B1FC0" w:rsidRDefault="009B1FC0"/>
    <w:sectPr w:rsidR="009B1F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FC0"/>
    <w:rsid w:val="00096C1F"/>
    <w:rsid w:val="00471CB1"/>
    <w:rsid w:val="00554019"/>
    <w:rsid w:val="0057080C"/>
    <w:rsid w:val="009B1FC0"/>
    <w:rsid w:val="009D1F32"/>
    <w:rsid w:val="00FC2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060A"/>
  <w15:chartTrackingRefBased/>
  <w15:docId w15:val="{D3BEC16C-C067-45B9-93ED-FE798A37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FC0"/>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
    <w:basedOn w:val="Normal"/>
    <w:next w:val="Normal"/>
    <w:link w:val="Heading1Char"/>
    <w:qFormat/>
    <w:rsid w:val="009B1FC0"/>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B1FC0"/>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B1FC0"/>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B1FC0"/>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B1FC0"/>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B1FC0"/>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B1FC0"/>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B1FC0"/>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B1FC0"/>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9B1F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1F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1F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1F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1F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1F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F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F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FC0"/>
    <w:rPr>
      <w:rFonts w:eastAsiaTheme="majorEastAsia" w:cstheme="majorBidi"/>
      <w:color w:val="272727" w:themeColor="text1" w:themeTint="D8"/>
    </w:rPr>
  </w:style>
  <w:style w:type="paragraph" w:styleId="Title">
    <w:name w:val="Title"/>
    <w:basedOn w:val="Normal"/>
    <w:next w:val="Normal"/>
    <w:link w:val="TitleChar"/>
    <w:uiPriority w:val="10"/>
    <w:qFormat/>
    <w:rsid w:val="009B1FC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1F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FC0"/>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1F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FC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B1FC0"/>
    <w:rPr>
      <w:i/>
      <w:iCs/>
      <w:color w:val="404040" w:themeColor="text1" w:themeTint="BF"/>
    </w:rPr>
  </w:style>
  <w:style w:type="paragraph" w:styleId="ListParagraph">
    <w:name w:val="List Paragraph"/>
    <w:basedOn w:val="Normal"/>
    <w:uiPriority w:val="34"/>
    <w:qFormat/>
    <w:rsid w:val="009B1FC0"/>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9B1FC0"/>
    <w:rPr>
      <w:i/>
      <w:iCs/>
      <w:color w:val="2F5496" w:themeColor="accent1" w:themeShade="BF"/>
    </w:rPr>
  </w:style>
  <w:style w:type="paragraph" w:styleId="IntenseQuote">
    <w:name w:val="Intense Quote"/>
    <w:basedOn w:val="Normal"/>
    <w:next w:val="Normal"/>
    <w:link w:val="IntenseQuoteChar"/>
    <w:uiPriority w:val="30"/>
    <w:qFormat/>
    <w:rsid w:val="009B1FC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B1FC0"/>
    <w:rPr>
      <w:i/>
      <w:iCs/>
      <w:color w:val="2F5496" w:themeColor="accent1" w:themeShade="BF"/>
    </w:rPr>
  </w:style>
  <w:style w:type="character" w:styleId="IntenseReference">
    <w:name w:val="Intense Reference"/>
    <w:basedOn w:val="DefaultParagraphFont"/>
    <w:uiPriority w:val="32"/>
    <w:qFormat/>
    <w:rsid w:val="009B1FC0"/>
    <w:rPr>
      <w:b/>
      <w:bCs/>
      <w:smallCaps/>
      <w:color w:val="2F5496" w:themeColor="accent1" w:themeShade="BF"/>
      <w:spacing w:val="5"/>
    </w:rPr>
  </w:style>
  <w:style w:type="paragraph" w:styleId="BodyText">
    <w:name w:val="Body Text"/>
    <w:basedOn w:val="Normal"/>
    <w:link w:val="BodyTextChar"/>
    <w:uiPriority w:val="1"/>
    <w:qFormat/>
    <w:rsid w:val="00096C1F"/>
    <w:pPr>
      <w:widowControl w:val="0"/>
      <w:autoSpaceDE w:val="0"/>
      <w:autoSpaceDN w:val="0"/>
      <w:ind w:left="72" w:firstLine="664"/>
    </w:pPr>
    <w:rPr>
      <w:szCs w:val="24"/>
      <w:lang w:val="vi"/>
    </w:rPr>
  </w:style>
  <w:style w:type="character" w:customStyle="1" w:styleId="BodyTextChar">
    <w:name w:val="Body Text Char"/>
    <w:basedOn w:val="DefaultParagraphFont"/>
    <w:link w:val="BodyText"/>
    <w:uiPriority w:val="1"/>
    <w:rsid w:val="00096C1F"/>
    <w:rPr>
      <w:rFonts w:ascii="Times New Roman" w:eastAsia="Times New Roman" w:hAnsi="Times New Roman" w:cs="Times New Roman"/>
      <w:kern w:val="0"/>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vui daoquang</dc:creator>
  <cp:keywords/>
  <dc:description/>
  <cp:lastModifiedBy>Administrator</cp:lastModifiedBy>
  <cp:revision>4</cp:revision>
  <dcterms:created xsi:type="dcterms:W3CDTF">2025-12-01T06:58:00Z</dcterms:created>
  <dcterms:modified xsi:type="dcterms:W3CDTF">2025-12-01T07:36:00Z</dcterms:modified>
</cp:coreProperties>
</file>