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A919" w14:textId="77777777" w:rsidR="00A53513" w:rsidRPr="00A53513" w:rsidRDefault="00A53513" w:rsidP="00A53513">
      <w:pPr>
        <w:pStyle w:val="Style11"/>
        <w:tabs>
          <w:tab w:val="left" w:pos="0"/>
          <w:tab w:val="left" w:pos="851"/>
          <w:tab w:val="left" w:pos="1418"/>
        </w:tabs>
        <w:spacing w:before="120" w:after="120" w:line="264" w:lineRule="auto"/>
        <w:ind w:firstLine="567"/>
        <w:jc w:val="center"/>
        <w:rPr>
          <w:rFonts w:asciiTheme="majorHAnsi" w:hAnsiTheme="majorHAnsi" w:cstheme="majorHAnsi"/>
          <w:sz w:val="28"/>
          <w:szCs w:val="28"/>
          <w:lang w:val="nl-NL"/>
        </w:rPr>
      </w:pPr>
      <w:r w:rsidRPr="00A53513">
        <w:rPr>
          <w:rFonts w:asciiTheme="majorHAnsi" w:hAnsiTheme="majorHAnsi" w:cstheme="majorHAnsi"/>
          <w:b/>
          <w:sz w:val="28"/>
          <w:szCs w:val="28"/>
          <w:lang w:val="nl-NL"/>
        </w:rPr>
        <w:t>Phần 2. YÊU CẦU VỀ KỸ THUẬT</w:t>
      </w:r>
    </w:p>
    <w:p w14:paraId="2E39100E" w14:textId="77777777" w:rsidR="00A53513" w:rsidRPr="00A53513" w:rsidRDefault="00A53513" w:rsidP="00A53513">
      <w:pPr>
        <w:pStyle w:val="Style11"/>
        <w:tabs>
          <w:tab w:val="left" w:pos="0"/>
          <w:tab w:val="left" w:pos="851"/>
          <w:tab w:val="left" w:pos="1418"/>
        </w:tabs>
        <w:spacing w:before="120" w:after="120" w:line="264" w:lineRule="auto"/>
        <w:ind w:firstLine="567"/>
        <w:jc w:val="center"/>
        <w:rPr>
          <w:rFonts w:asciiTheme="majorHAnsi" w:hAnsiTheme="majorHAnsi" w:cstheme="majorHAnsi"/>
          <w:b/>
          <w:sz w:val="28"/>
          <w:szCs w:val="28"/>
          <w:lang w:val="vi-VN"/>
        </w:rPr>
      </w:pPr>
      <w:r w:rsidRPr="00A53513">
        <w:rPr>
          <w:rFonts w:asciiTheme="majorHAnsi" w:hAnsiTheme="majorHAnsi" w:cstheme="majorHAnsi"/>
          <w:sz w:val="28"/>
          <w:szCs w:val="28"/>
          <w:lang w:val="nl-NL"/>
        </w:rPr>
        <w:t xml:space="preserve"> </w:t>
      </w:r>
      <w:r w:rsidRPr="00A53513">
        <w:rPr>
          <w:rFonts w:asciiTheme="majorHAnsi" w:hAnsiTheme="majorHAnsi" w:cstheme="majorHAnsi"/>
          <w:b/>
          <w:sz w:val="28"/>
          <w:szCs w:val="28"/>
          <w:lang w:val="vi-VN"/>
        </w:rPr>
        <w:t>Chương V. YÊU CẦU VỀ KỸ THUẬT</w:t>
      </w:r>
    </w:p>
    <w:p w14:paraId="5E29B92F" w14:textId="77777777" w:rsidR="00A53513" w:rsidRPr="00A53513" w:rsidRDefault="00A53513" w:rsidP="00A53513">
      <w:pPr>
        <w:tabs>
          <w:tab w:val="left" w:pos="1418"/>
        </w:tabs>
        <w:spacing w:line="276" w:lineRule="auto"/>
        <w:ind w:firstLine="567"/>
        <w:rPr>
          <w:rFonts w:asciiTheme="majorHAnsi" w:hAnsiTheme="majorHAnsi" w:cstheme="majorHAnsi"/>
          <w:b/>
          <w:sz w:val="28"/>
          <w:szCs w:val="28"/>
          <w:lang w:val="vi-VN"/>
        </w:rPr>
      </w:pPr>
      <w:r w:rsidRPr="00A53513">
        <w:rPr>
          <w:rFonts w:asciiTheme="majorHAnsi" w:hAnsiTheme="majorHAnsi" w:cstheme="majorHAnsi"/>
          <w:b/>
          <w:sz w:val="28"/>
          <w:szCs w:val="28"/>
          <w:lang w:val="vi-VN"/>
        </w:rPr>
        <w:t>I. Giới thiệu về gói thầu</w:t>
      </w:r>
    </w:p>
    <w:p w14:paraId="01B22096" w14:textId="77777777" w:rsidR="00A53513" w:rsidRPr="00A53513" w:rsidRDefault="00A53513" w:rsidP="00A53513">
      <w:pPr>
        <w:tabs>
          <w:tab w:val="left" w:pos="1418"/>
        </w:tabs>
        <w:spacing w:line="276" w:lineRule="auto"/>
        <w:ind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1. Phạm vi công việc của gói thầu.</w:t>
      </w:r>
    </w:p>
    <w:p w14:paraId="2998CC2C" w14:textId="77777777" w:rsidR="00A53513" w:rsidRPr="00A53513" w:rsidRDefault="00A53513" w:rsidP="00A53513">
      <w:pPr>
        <w:spacing w:line="276" w:lineRule="auto"/>
        <w:ind w:firstLine="567"/>
        <w:rPr>
          <w:rFonts w:asciiTheme="majorHAnsi" w:hAnsiTheme="majorHAnsi" w:cstheme="majorHAnsi"/>
          <w:b/>
          <w:bCs/>
          <w:sz w:val="28"/>
          <w:szCs w:val="28"/>
          <w:lang w:val="it-IT"/>
        </w:rPr>
      </w:pPr>
      <w:r w:rsidRPr="00A53513">
        <w:rPr>
          <w:rFonts w:asciiTheme="majorHAnsi" w:hAnsiTheme="majorHAnsi" w:cstheme="majorHAnsi"/>
          <w:b/>
          <w:bCs/>
          <w:sz w:val="28"/>
          <w:szCs w:val="28"/>
          <w:lang w:val="it-IT"/>
        </w:rPr>
        <w:t>a) Khái quát về công trình:</w:t>
      </w:r>
    </w:p>
    <w:p w14:paraId="65DD77DF" w14:textId="77777777" w:rsidR="00A53513" w:rsidRPr="00A53513" w:rsidRDefault="00A53513" w:rsidP="00A53513">
      <w:pPr>
        <w:tabs>
          <w:tab w:val="left" w:pos="540"/>
          <w:tab w:val="left" w:pos="851"/>
          <w:tab w:val="left" w:pos="993"/>
        </w:tabs>
        <w:spacing w:line="276" w:lineRule="auto"/>
        <w:ind w:firstLine="567"/>
        <w:rPr>
          <w:rFonts w:asciiTheme="majorHAnsi" w:hAnsiTheme="majorHAnsi" w:cstheme="majorHAnsi"/>
          <w:sz w:val="28"/>
          <w:szCs w:val="28"/>
        </w:rPr>
      </w:pPr>
      <w:bookmarkStart w:id="0" w:name="_Hlk213923271"/>
      <w:r w:rsidRPr="00A53513">
        <w:rPr>
          <w:rFonts w:asciiTheme="majorHAnsi" w:hAnsiTheme="majorHAnsi" w:cstheme="majorHAnsi"/>
          <w:sz w:val="28"/>
          <w:szCs w:val="28"/>
        </w:rPr>
        <w:t xml:space="preserve">- Tên dự án: </w:t>
      </w:r>
      <w:bookmarkStart w:id="1" w:name="_Hlk213923813"/>
      <w:r w:rsidRPr="00A53513">
        <w:rPr>
          <w:rFonts w:asciiTheme="majorHAnsi" w:hAnsiTheme="majorHAnsi" w:cstheme="majorHAnsi"/>
          <w:sz w:val="28"/>
          <w:szCs w:val="28"/>
        </w:rPr>
        <w:t>Sửa chữa hư hỏng nền mặt đường, hoàn thiện hệ thống ATGT theo QCVN 41:2024 đoạn Km5+300 đến Km9+200, Quốc lộ 51</w:t>
      </w:r>
      <w:bookmarkEnd w:id="1"/>
      <w:r w:rsidRPr="00A53513">
        <w:rPr>
          <w:rFonts w:asciiTheme="majorHAnsi" w:hAnsiTheme="majorHAnsi" w:cstheme="majorHAnsi"/>
          <w:sz w:val="28"/>
          <w:szCs w:val="28"/>
        </w:rPr>
        <w:t>.</w:t>
      </w:r>
    </w:p>
    <w:p w14:paraId="7C4C8637" w14:textId="77777777" w:rsidR="00A53513" w:rsidRPr="00A53513" w:rsidRDefault="00A53513" w:rsidP="00A53513">
      <w:pPr>
        <w:tabs>
          <w:tab w:val="left" w:pos="540"/>
          <w:tab w:val="left" w:pos="851"/>
          <w:tab w:val="left" w:pos="993"/>
        </w:tabs>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Địa điểm xây dựng: phường Phước Tân, phường Tam Phước, tỉnh Đồng Nai.</w:t>
      </w:r>
    </w:p>
    <w:p w14:paraId="1EC5F4E0" w14:textId="77777777" w:rsidR="00A53513" w:rsidRPr="00A53513" w:rsidRDefault="00A53513" w:rsidP="00A53513">
      <w:pPr>
        <w:tabs>
          <w:tab w:val="left" w:pos="540"/>
          <w:tab w:val="left" w:pos="851"/>
          <w:tab w:val="left" w:pos="993"/>
        </w:tabs>
        <w:spacing w:line="276" w:lineRule="auto"/>
        <w:ind w:firstLineChars="202" w:firstLine="566"/>
        <w:rPr>
          <w:rFonts w:asciiTheme="majorHAnsi" w:hAnsiTheme="majorHAnsi" w:cstheme="majorHAnsi"/>
          <w:sz w:val="28"/>
          <w:szCs w:val="28"/>
        </w:rPr>
      </w:pPr>
      <w:r w:rsidRPr="00A53513">
        <w:rPr>
          <w:rFonts w:asciiTheme="majorHAnsi" w:hAnsiTheme="majorHAnsi" w:cstheme="majorHAnsi"/>
          <w:sz w:val="28"/>
          <w:szCs w:val="28"/>
        </w:rPr>
        <w:t>- Người phê duyệt đầu tư: Giám đốc Sở Xây dựng tỉnh Đồng Nai.</w:t>
      </w:r>
    </w:p>
    <w:p w14:paraId="2B5009D2" w14:textId="77777777" w:rsidR="00A53513" w:rsidRPr="00A53513" w:rsidRDefault="00A53513" w:rsidP="00A53513">
      <w:pPr>
        <w:tabs>
          <w:tab w:val="left" w:pos="540"/>
          <w:tab w:val="left" w:pos="851"/>
          <w:tab w:val="left" w:pos="993"/>
        </w:tabs>
        <w:spacing w:line="276" w:lineRule="auto"/>
        <w:ind w:firstLineChars="202" w:firstLine="566"/>
        <w:rPr>
          <w:rFonts w:asciiTheme="majorHAnsi" w:hAnsiTheme="majorHAnsi" w:cstheme="majorHAnsi"/>
          <w:sz w:val="28"/>
          <w:szCs w:val="28"/>
        </w:rPr>
      </w:pPr>
      <w:r w:rsidRPr="00A53513">
        <w:rPr>
          <w:rFonts w:asciiTheme="majorHAnsi" w:hAnsiTheme="majorHAnsi" w:cstheme="majorHAnsi"/>
          <w:sz w:val="28"/>
          <w:szCs w:val="28"/>
        </w:rPr>
        <w:t>- Chủ đầu tư: Trung tâm Quy hoạch, kiểm định xây dựng và bảo trì đường bộ.</w:t>
      </w:r>
    </w:p>
    <w:p w14:paraId="38958BF7" w14:textId="77777777" w:rsidR="00A53513" w:rsidRPr="00A53513" w:rsidRDefault="00A53513" w:rsidP="00A53513">
      <w:pPr>
        <w:tabs>
          <w:tab w:val="left" w:pos="993"/>
        </w:tabs>
        <w:spacing w:line="276" w:lineRule="auto"/>
        <w:ind w:firstLineChars="202" w:firstLine="566"/>
        <w:rPr>
          <w:rFonts w:asciiTheme="majorHAnsi" w:hAnsiTheme="majorHAnsi" w:cstheme="majorHAnsi"/>
          <w:sz w:val="28"/>
          <w:szCs w:val="28"/>
        </w:rPr>
      </w:pPr>
      <w:r w:rsidRPr="00A53513">
        <w:rPr>
          <w:rFonts w:asciiTheme="majorHAnsi" w:hAnsiTheme="majorHAnsi" w:cstheme="majorHAnsi"/>
          <w:sz w:val="28"/>
          <w:szCs w:val="28"/>
        </w:rPr>
        <w:t>- Tổ chức tư vấn Lập báo cáo kinh tế - kỹ thuật đầu tư xây dựng, tổ chức lập khảo sát xây dựng: Công ty cổ phần tư vấn xây dựng Trung Nam VN.</w:t>
      </w:r>
    </w:p>
    <w:p w14:paraId="5C2751EE" w14:textId="77777777" w:rsidR="00A53513" w:rsidRPr="00A53513" w:rsidRDefault="00A53513" w:rsidP="00A53513">
      <w:pPr>
        <w:tabs>
          <w:tab w:val="left" w:pos="993"/>
        </w:tabs>
        <w:spacing w:line="276" w:lineRule="auto"/>
        <w:ind w:firstLineChars="202" w:firstLine="566"/>
        <w:rPr>
          <w:rFonts w:asciiTheme="majorHAnsi" w:hAnsiTheme="majorHAnsi" w:cstheme="majorHAnsi"/>
          <w:bCs/>
          <w:color w:val="000000"/>
          <w:sz w:val="28"/>
          <w:szCs w:val="28"/>
          <w:lang w:val="vi-VN"/>
        </w:rPr>
      </w:pPr>
      <w:r w:rsidRPr="00A53513">
        <w:rPr>
          <w:rFonts w:asciiTheme="majorHAnsi" w:hAnsiTheme="majorHAnsi" w:cstheme="majorHAnsi"/>
          <w:bCs/>
          <w:color w:val="000000"/>
          <w:sz w:val="28"/>
          <w:szCs w:val="28"/>
        </w:rPr>
        <w:t>-</w:t>
      </w:r>
      <w:r w:rsidRPr="00A53513">
        <w:rPr>
          <w:rFonts w:asciiTheme="majorHAnsi" w:hAnsiTheme="majorHAnsi" w:cstheme="majorHAnsi"/>
          <w:bCs/>
          <w:color w:val="000000"/>
          <w:sz w:val="28"/>
          <w:szCs w:val="28"/>
          <w:lang w:val="vi-VN"/>
        </w:rPr>
        <w:t xml:space="preserve"> Loại, nhóm dự án; loại, cấp công trình chính; thời hạn sử dụng theo thiết kế của công trình chính.</w:t>
      </w:r>
    </w:p>
    <w:p w14:paraId="6B7EF113" w14:textId="77777777" w:rsidR="00A53513" w:rsidRPr="00A53513" w:rsidRDefault="00A53513" w:rsidP="00A53513">
      <w:pPr>
        <w:tabs>
          <w:tab w:val="left" w:pos="709"/>
          <w:tab w:val="left" w:pos="851"/>
          <w:tab w:val="left" w:pos="993"/>
        </w:tabs>
        <w:spacing w:line="276" w:lineRule="auto"/>
        <w:ind w:firstLineChars="202" w:firstLine="566"/>
        <w:rPr>
          <w:rFonts w:asciiTheme="majorHAnsi" w:hAnsiTheme="majorHAnsi" w:cstheme="majorHAnsi"/>
          <w:b/>
          <w:bCs/>
          <w:color w:val="000000"/>
          <w:sz w:val="28"/>
          <w:szCs w:val="28"/>
          <w:lang w:val="vi-VN"/>
        </w:rPr>
      </w:pPr>
      <w:r w:rsidRPr="00A53513">
        <w:rPr>
          <w:rFonts w:asciiTheme="majorHAnsi" w:hAnsiTheme="majorHAnsi" w:cstheme="majorHAnsi"/>
          <w:bCs/>
          <w:color w:val="000000"/>
          <w:sz w:val="28"/>
          <w:szCs w:val="28"/>
        </w:rPr>
        <w:t>+</w:t>
      </w:r>
      <w:r w:rsidRPr="00A53513">
        <w:rPr>
          <w:rFonts w:asciiTheme="majorHAnsi" w:hAnsiTheme="majorHAnsi" w:cstheme="majorHAnsi"/>
          <w:bCs/>
          <w:color w:val="000000"/>
          <w:sz w:val="28"/>
          <w:szCs w:val="28"/>
          <w:lang w:val="vi-VN"/>
        </w:rPr>
        <w:t xml:space="preserve"> Loại, nhóm dự án:</w:t>
      </w:r>
      <w:r w:rsidRPr="00A53513">
        <w:rPr>
          <w:rFonts w:asciiTheme="majorHAnsi" w:hAnsiTheme="majorHAnsi" w:cstheme="majorHAnsi"/>
          <w:b/>
          <w:bCs/>
          <w:color w:val="000000"/>
          <w:sz w:val="28"/>
          <w:szCs w:val="28"/>
          <w:lang w:val="vi-VN"/>
        </w:rPr>
        <w:t xml:space="preserve"> </w:t>
      </w:r>
      <w:r w:rsidRPr="00A53513">
        <w:rPr>
          <w:rFonts w:asciiTheme="majorHAnsi" w:hAnsiTheme="majorHAnsi" w:cstheme="majorHAnsi"/>
          <w:bCs/>
          <w:color w:val="000000"/>
          <w:sz w:val="28"/>
          <w:szCs w:val="28"/>
          <w:lang w:val="nl-NL"/>
        </w:rPr>
        <w:t>Công trình giao thông, nhóm C.</w:t>
      </w:r>
    </w:p>
    <w:p w14:paraId="7FF34907" w14:textId="77777777" w:rsidR="00A53513" w:rsidRPr="00A53513" w:rsidRDefault="00A53513" w:rsidP="00A53513">
      <w:pPr>
        <w:tabs>
          <w:tab w:val="left" w:pos="709"/>
          <w:tab w:val="left" w:pos="851"/>
          <w:tab w:val="left" w:pos="993"/>
        </w:tabs>
        <w:spacing w:line="276" w:lineRule="auto"/>
        <w:ind w:firstLineChars="202" w:firstLine="566"/>
        <w:rPr>
          <w:rFonts w:asciiTheme="majorHAnsi" w:hAnsiTheme="majorHAnsi" w:cstheme="majorHAnsi"/>
          <w:i/>
          <w:color w:val="000000"/>
          <w:sz w:val="28"/>
          <w:szCs w:val="28"/>
          <w:lang w:val="vi-VN"/>
        </w:rPr>
      </w:pPr>
      <w:r w:rsidRPr="00A53513">
        <w:rPr>
          <w:rFonts w:asciiTheme="majorHAnsi" w:hAnsiTheme="majorHAnsi" w:cstheme="majorHAnsi"/>
          <w:bCs/>
          <w:color w:val="000000"/>
          <w:sz w:val="28"/>
          <w:szCs w:val="28"/>
        </w:rPr>
        <w:t>+</w:t>
      </w:r>
      <w:r w:rsidRPr="00A53513">
        <w:rPr>
          <w:rFonts w:asciiTheme="majorHAnsi" w:hAnsiTheme="majorHAnsi" w:cstheme="majorHAnsi"/>
          <w:bCs/>
          <w:color w:val="000000"/>
          <w:sz w:val="28"/>
          <w:szCs w:val="28"/>
          <w:lang w:val="vi-VN"/>
        </w:rPr>
        <w:t xml:space="preserve"> Loại, cấp công trình chính:</w:t>
      </w:r>
      <w:r w:rsidRPr="00A53513">
        <w:rPr>
          <w:rFonts w:asciiTheme="majorHAnsi" w:hAnsiTheme="majorHAnsi" w:cstheme="majorHAnsi"/>
          <w:bCs/>
          <w:color w:val="000000"/>
          <w:sz w:val="28"/>
          <w:szCs w:val="28"/>
          <w:lang w:val="nl-NL"/>
        </w:rPr>
        <w:t xml:space="preserve"> Sửa chữa công trình giao thông đường bộ,</w:t>
      </w:r>
      <w:r w:rsidRPr="00A53513">
        <w:rPr>
          <w:rFonts w:asciiTheme="majorHAnsi" w:hAnsiTheme="majorHAnsi" w:cstheme="majorHAnsi"/>
          <w:color w:val="000000"/>
          <w:sz w:val="28"/>
          <w:szCs w:val="28"/>
        </w:rPr>
        <w:t xml:space="preserve"> Cấp II</w:t>
      </w:r>
      <w:r w:rsidRPr="00A53513">
        <w:rPr>
          <w:rFonts w:asciiTheme="majorHAnsi" w:hAnsiTheme="majorHAnsi" w:cstheme="majorHAnsi"/>
          <w:i/>
          <w:color w:val="000000"/>
          <w:sz w:val="28"/>
          <w:szCs w:val="28"/>
          <w:lang w:val="vi-VN"/>
        </w:rPr>
        <w:t>.</w:t>
      </w:r>
    </w:p>
    <w:p w14:paraId="33459DBC" w14:textId="77777777" w:rsidR="00A53513" w:rsidRPr="00A53513" w:rsidRDefault="00A53513" w:rsidP="00A53513">
      <w:pPr>
        <w:tabs>
          <w:tab w:val="left" w:pos="540"/>
          <w:tab w:val="left" w:pos="993"/>
        </w:tabs>
        <w:spacing w:line="276" w:lineRule="auto"/>
        <w:ind w:firstLineChars="218" w:firstLine="610"/>
        <w:rPr>
          <w:rFonts w:asciiTheme="majorHAnsi" w:hAnsiTheme="majorHAnsi" w:cstheme="majorHAnsi"/>
          <w:sz w:val="28"/>
          <w:szCs w:val="28"/>
        </w:rPr>
      </w:pPr>
      <w:r w:rsidRPr="00A53513">
        <w:rPr>
          <w:rFonts w:asciiTheme="majorHAnsi" w:hAnsiTheme="majorHAnsi" w:cstheme="majorHAnsi"/>
          <w:sz w:val="28"/>
          <w:szCs w:val="28"/>
        </w:rPr>
        <w:t>- Mục tiêu dự án: Sửa chữa nền, mặt đường, hoàn thiện hệ thống ATGT nhằm cải thiện điều kiện khai thác, đảm bảo an toàn giao thông, hạn chế sự xuống cấp và bảo vệ bền vững công trình, tăng tuổi thọ công trình, nâng cao khả năng khai thác trên tuyến, đáp ứng nhu cầu vận chuyển lưu thông thuận lợi nhằm phát triển kinh tế, an sinh xã hội, dịch vụ và du lịch trên địa bàn tỉnh Đồng Nai và thành phố Hồ Chí Minh.</w:t>
      </w:r>
    </w:p>
    <w:p w14:paraId="10C10972" w14:textId="77777777" w:rsidR="00A53513" w:rsidRPr="00A53513" w:rsidRDefault="00A53513" w:rsidP="00A53513">
      <w:pPr>
        <w:tabs>
          <w:tab w:val="left" w:pos="851"/>
          <w:tab w:val="left" w:pos="993"/>
        </w:tabs>
        <w:spacing w:line="276" w:lineRule="auto"/>
        <w:ind w:firstLineChars="218" w:firstLine="610"/>
        <w:rPr>
          <w:rFonts w:asciiTheme="majorHAnsi" w:hAnsiTheme="majorHAnsi" w:cstheme="majorHAnsi"/>
          <w:sz w:val="28"/>
          <w:szCs w:val="28"/>
        </w:rPr>
      </w:pPr>
      <w:r w:rsidRPr="00A53513">
        <w:rPr>
          <w:rFonts w:asciiTheme="majorHAnsi" w:hAnsiTheme="majorHAnsi" w:cstheme="majorHAnsi"/>
          <w:sz w:val="28"/>
          <w:szCs w:val="28"/>
        </w:rPr>
        <w:t xml:space="preserve">* Quy mô đầu tư xây dựng: </w:t>
      </w:r>
    </w:p>
    <w:p w14:paraId="58940D37" w14:textId="77777777" w:rsidR="00A53513" w:rsidRPr="00A53513" w:rsidRDefault="00A53513" w:rsidP="00A53513">
      <w:pPr>
        <w:widowControl w:val="0"/>
        <w:spacing w:line="276" w:lineRule="auto"/>
        <w:ind w:firstLineChars="218" w:firstLine="610"/>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Đầu tư sửa chữa hư hỏng nền mặt đường, hoàn thiện hệ thống an toàn giao thông theo QCVN 41:2024 trên tuyến Quốc lộ 51 đoạn: Km5+300 đến Km9+200 (điểm đầu tuyến tại mố B cầu Suối Quan; Điểm cuối tuyến tại Km9+200, không bao gồm các đoạn đã được Khu Quản lý đường bộ IV thực hiện sửa chữa). Cụ thể:</w:t>
      </w:r>
    </w:p>
    <w:p w14:paraId="42CBD6AA" w14:textId="77777777" w:rsidR="00A53513" w:rsidRPr="00A53513" w:rsidRDefault="00A53513" w:rsidP="00A53513">
      <w:pPr>
        <w:pStyle w:val="Heading7"/>
        <w:spacing w:line="276" w:lineRule="auto"/>
        <w:ind w:firstLineChars="218" w:firstLine="610"/>
        <w:rPr>
          <w:rFonts w:asciiTheme="majorHAnsi" w:hAnsiTheme="majorHAnsi" w:cstheme="majorHAnsi"/>
          <w:b/>
          <w:sz w:val="28"/>
          <w:szCs w:val="28"/>
        </w:rPr>
      </w:pPr>
      <w:r w:rsidRPr="00A53513">
        <w:rPr>
          <w:rFonts w:asciiTheme="majorHAnsi" w:hAnsiTheme="majorHAnsi" w:cstheme="majorHAnsi"/>
          <w:sz w:val="28"/>
          <w:szCs w:val="28"/>
        </w:rPr>
        <w:t xml:space="preserve">- Sửa chữa hư hỏng cục bộ nền mặt đường, thảm tăng cường lớp bê tông nhựa </w:t>
      </w:r>
      <w:proofErr w:type="spellStart"/>
      <w:r w:rsidRPr="00A53513">
        <w:rPr>
          <w:rFonts w:asciiTheme="majorHAnsi" w:hAnsiTheme="majorHAnsi" w:cstheme="majorHAnsi"/>
          <w:sz w:val="28"/>
          <w:szCs w:val="28"/>
        </w:rPr>
        <w:t>Polyme</w:t>
      </w:r>
      <w:proofErr w:type="spellEnd"/>
      <w:r w:rsidRPr="00A53513">
        <w:rPr>
          <w:rFonts w:asciiTheme="majorHAnsi" w:hAnsiTheme="majorHAnsi" w:cstheme="majorHAnsi"/>
          <w:sz w:val="28"/>
          <w:szCs w:val="28"/>
        </w:rPr>
        <w:t xml:space="preserve"> trên toàn bộ mặt đường (trừ 03 nút giao: Nút giao QL51 và đường Bùi Văn Hoà, Nút giao QL51 và đường Nam Cao, Nút giao Quốc lộ 51 và đường chuyên dùng Phước Tân (đường vào mỏ đá Tân Cang)).</w:t>
      </w:r>
    </w:p>
    <w:p w14:paraId="20F70FE0" w14:textId="77777777" w:rsidR="00A53513" w:rsidRPr="00A53513" w:rsidRDefault="00A53513" w:rsidP="00A53513">
      <w:pPr>
        <w:widowControl w:val="0"/>
        <w:spacing w:line="276" w:lineRule="auto"/>
        <w:ind w:firstLineChars="202" w:firstLine="566"/>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xml:space="preserve">- Sửa chữa mặt đường hiện hữu bằng kết cấu bê tông xi măng được phủ mặt bằng lớp phủ mặt </w:t>
      </w:r>
      <w:proofErr w:type="spellStart"/>
      <w:r w:rsidRPr="00A53513">
        <w:rPr>
          <w:rStyle w:val="fontstyle01"/>
          <w:rFonts w:asciiTheme="majorHAnsi" w:hAnsiTheme="majorHAnsi" w:cstheme="majorHAnsi"/>
          <w:b w:val="0"/>
          <w:bCs w:val="0"/>
          <w:sz w:val="28"/>
          <w:szCs w:val="28"/>
        </w:rPr>
        <w:t>đường</w:t>
      </w:r>
      <w:proofErr w:type="spellEnd"/>
      <w:r w:rsidRPr="00A53513">
        <w:rPr>
          <w:rStyle w:val="fontstyle01"/>
          <w:rFonts w:asciiTheme="majorHAnsi" w:hAnsiTheme="majorHAnsi" w:cstheme="majorHAnsi"/>
          <w:b w:val="0"/>
          <w:bCs w:val="0"/>
          <w:sz w:val="28"/>
          <w:szCs w:val="28"/>
        </w:rPr>
        <w:t xml:space="preserve"> Micro-Surfacing trong phạm vi nút giao có tín hiệu đèn tại 2 nút giao: Nút giao Quốc lộ 51 và đường Bùi Văn Hoà, Nút giao Quốc lộ 51 và đường Nam Cao. Đối với Nút giao </w:t>
      </w:r>
      <w:r w:rsidRPr="00A53513">
        <w:rPr>
          <w:rFonts w:asciiTheme="majorHAnsi" w:hAnsiTheme="majorHAnsi" w:cstheme="majorHAnsi"/>
          <w:sz w:val="28"/>
          <w:szCs w:val="28"/>
        </w:rPr>
        <w:t>Quốc lộ 51 và đường chuyên dùng Phước Tân (đường vào mỏ đá Tân Cang): P</w:t>
      </w:r>
      <w:r w:rsidRPr="00A53513">
        <w:rPr>
          <w:rStyle w:val="fontstyle01"/>
          <w:rFonts w:asciiTheme="majorHAnsi" w:hAnsiTheme="majorHAnsi" w:cstheme="majorHAnsi"/>
          <w:b w:val="0"/>
          <w:bCs w:val="0"/>
          <w:sz w:val="28"/>
          <w:szCs w:val="28"/>
        </w:rPr>
        <w:t xml:space="preserve">hủ mặt bằng lớp phủ mặt </w:t>
      </w:r>
      <w:proofErr w:type="spellStart"/>
      <w:r w:rsidRPr="00A53513">
        <w:rPr>
          <w:rStyle w:val="fontstyle01"/>
          <w:rFonts w:asciiTheme="majorHAnsi" w:hAnsiTheme="majorHAnsi" w:cstheme="majorHAnsi"/>
          <w:b w:val="0"/>
          <w:bCs w:val="0"/>
          <w:sz w:val="28"/>
          <w:szCs w:val="28"/>
        </w:rPr>
        <w:t>đường</w:t>
      </w:r>
      <w:proofErr w:type="spellEnd"/>
      <w:r w:rsidRPr="00A53513">
        <w:rPr>
          <w:rStyle w:val="fontstyle01"/>
          <w:rFonts w:asciiTheme="majorHAnsi" w:hAnsiTheme="majorHAnsi" w:cstheme="majorHAnsi"/>
          <w:b w:val="0"/>
          <w:bCs w:val="0"/>
          <w:sz w:val="28"/>
          <w:szCs w:val="28"/>
        </w:rPr>
        <w:t xml:space="preserve"> Micro-Surfacing trên mặt đường bê tông xi măng hiện hữu.</w:t>
      </w:r>
    </w:p>
    <w:p w14:paraId="4128CF3B" w14:textId="77777777" w:rsidR="00A53513" w:rsidRPr="00A53513" w:rsidRDefault="00A53513" w:rsidP="00A53513">
      <w:pPr>
        <w:widowControl w:val="0"/>
        <w:spacing w:line="276" w:lineRule="auto"/>
        <w:ind w:firstLineChars="202" w:firstLine="566"/>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Sửa chữa hư hỏng lớp bê tông nhựa mặt cầu Sông Buông Km7+050 (phải tuyến) và cầu Bà Bướm Km7+516 (trái và phải tuyến).</w:t>
      </w:r>
    </w:p>
    <w:p w14:paraId="55A2CF84" w14:textId="77777777" w:rsidR="00A53513" w:rsidRPr="00A53513" w:rsidRDefault="00A53513" w:rsidP="00A53513">
      <w:pPr>
        <w:widowControl w:val="0"/>
        <w:spacing w:line="276" w:lineRule="auto"/>
        <w:ind w:firstLineChars="202" w:firstLine="568"/>
        <w:rPr>
          <w:rStyle w:val="fontstyle01"/>
          <w:rFonts w:asciiTheme="majorHAnsi" w:hAnsiTheme="majorHAnsi" w:cstheme="majorHAnsi"/>
          <w:b w:val="0"/>
          <w:bCs w:val="0"/>
          <w:sz w:val="28"/>
          <w:szCs w:val="28"/>
        </w:rPr>
      </w:pPr>
      <w:r w:rsidRPr="00A53513">
        <w:rPr>
          <w:rStyle w:val="fontstyle01"/>
          <w:rFonts w:asciiTheme="majorHAnsi" w:hAnsiTheme="majorHAnsi" w:cstheme="majorHAnsi"/>
          <w:sz w:val="28"/>
          <w:szCs w:val="28"/>
        </w:rPr>
        <w:lastRenderedPageBreak/>
        <w:t>- Hoàn thiện hệ thống ATGT theo QCVN 41:2024/BGTVT.</w:t>
      </w:r>
    </w:p>
    <w:p w14:paraId="61FFE6EC" w14:textId="77777777" w:rsidR="00A53513" w:rsidRPr="00A53513" w:rsidRDefault="00A53513" w:rsidP="00A53513">
      <w:pPr>
        <w:tabs>
          <w:tab w:val="left" w:pos="851"/>
          <w:tab w:val="left" w:pos="993"/>
        </w:tabs>
        <w:spacing w:line="276" w:lineRule="auto"/>
        <w:ind w:firstLineChars="202" w:firstLine="566"/>
        <w:rPr>
          <w:rFonts w:asciiTheme="majorHAnsi" w:hAnsiTheme="majorHAnsi" w:cstheme="majorHAnsi"/>
          <w:sz w:val="28"/>
          <w:szCs w:val="28"/>
        </w:rPr>
      </w:pPr>
      <w:r w:rsidRPr="00A53513">
        <w:rPr>
          <w:rFonts w:asciiTheme="majorHAnsi" w:hAnsiTheme="majorHAnsi" w:cstheme="majorHAnsi"/>
          <w:sz w:val="28"/>
          <w:szCs w:val="28"/>
        </w:rPr>
        <w:t xml:space="preserve">* Giải pháp sửa chữa: </w:t>
      </w:r>
    </w:p>
    <w:p w14:paraId="314AE21F"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2.1 Sửa chữa hư hỏng nền mặt đường thông thường:</w:t>
      </w:r>
    </w:p>
    <w:p w14:paraId="20D198CE"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b/>
          <w:bCs/>
          <w:i/>
          <w:iCs/>
          <w:sz w:val="28"/>
          <w:szCs w:val="28"/>
          <w:lang w:val="vi-VN"/>
        </w:rPr>
      </w:pPr>
      <w:r w:rsidRPr="00A53513">
        <w:rPr>
          <w:rFonts w:asciiTheme="majorHAnsi" w:hAnsiTheme="majorHAnsi" w:cstheme="majorHAnsi"/>
          <w:b/>
          <w:bCs/>
          <w:i/>
          <w:iCs/>
          <w:sz w:val="28"/>
          <w:szCs w:val="28"/>
          <w:lang w:val="vi-VN"/>
        </w:rPr>
        <w:t>Sửa chữa hư hỏng loại 1 (mặt đường hư hỏng loại 1)</w:t>
      </w:r>
    </w:p>
    <w:p w14:paraId="23DFCCA3"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Cắt mặt đường bê tông Asphalt chiều dày lớp cắt ≤ 12cm;</w:t>
      </w:r>
    </w:p>
    <w:p w14:paraId="5BBA4CB9"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Đào mặt đường và móng CPĐD mặt đường hiện hữu đến cao độ đáy thiết kế (tuỳ vị trí);</w:t>
      </w:r>
    </w:p>
    <w:p w14:paraId="151E484D"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cấp phối đá dăm loại 1 dày 45cm, K≥0,98 (chia 3 lớp thi công);</w:t>
      </w:r>
    </w:p>
    <w:p w14:paraId="45C86573"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thấm bám CRS-1, tiêu chuẩn 1,0 kg/m2;</w:t>
      </w:r>
    </w:p>
    <w:p w14:paraId="33E8BE73"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w:t>
      </w:r>
    </w:p>
    <w:p w14:paraId="02DF1B2C"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44220ED9"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 đến cao độ đáy lớp BTNCP 16 tăng cường dày 5cm;</w:t>
      </w:r>
    </w:p>
    <w:p w14:paraId="69A06696"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b/>
          <w:bCs/>
          <w:i/>
          <w:iCs/>
          <w:sz w:val="28"/>
          <w:szCs w:val="28"/>
          <w:lang w:val="vi-VN"/>
        </w:rPr>
      </w:pPr>
      <w:r w:rsidRPr="00A53513">
        <w:rPr>
          <w:rFonts w:asciiTheme="majorHAnsi" w:hAnsiTheme="majorHAnsi" w:cstheme="majorHAnsi"/>
          <w:b/>
          <w:bCs/>
          <w:i/>
          <w:iCs/>
          <w:sz w:val="28"/>
          <w:szCs w:val="28"/>
          <w:lang w:val="vi-VN"/>
        </w:rPr>
        <w:t>Sửa chữa hư hỏng loại 2 (mặt đường hư hỏng loại 2)</w:t>
      </w:r>
    </w:p>
    <w:p w14:paraId="498C6B79"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Cắt mặt đường bê tông Asphalt chiều dày lớp cắt ≤ 12cm;</w:t>
      </w:r>
    </w:p>
    <w:p w14:paraId="2B03D8C6"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Cào bóc lớp mặt đường BTN hư hỏng hiện trạng đến cao độ thiết kế (tuỳ vị trí);</w:t>
      </w:r>
    </w:p>
    <w:p w14:paraId="4D9FF946"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Thi công lớp tái chế sử dụng nhựa đường bọt và xi măng dày 20cm, K≥0,98;</w:t>
      </w:r>
    </w:p>
    <w:p w14:paraId="0D2AC800" w14:textId="77777777" w:rsidR="00A53513" w:rsidRPr="00A53513" w:rsidRDefault="00A53513" w:rsidP="00A53513">
      <w:pPr>
        <w:widowControl w:val="0"/>
        <w:tabs>
          <w:tab w:val="left" w:pos="284"/>
          <w:tab w:val="left" w:pos="851"/>
          <w:tab w:val="left" w:pos="993"/>
        </w:tabs>
        <w:spacing w:line="276" w:lineRule="auto"/>
        <w:ind w:firstLineChars="218" w:firstLine="613"/>
        <w:rPr>
          <w:rFonts w:asciiTheme="majorHAnsi" w:hAnsiTheme="majorHAnsi" w:cstheme="majorHAnsi"/>
          <w:sz w:val="28"/>
          <w:szCs w:val="28"/>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thấm bám CRS-1, tiêu chuẩn 1,0 kg/m2;</w:t>
      </w:r>
    </w:p>
    <w:p w14:paraId="3D476C1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 đến cao độ đáy lớp BTNCP 16 tăng cường dày 5cm;</w:t>
      </w:r>
    </w:p>
    <w:p w14:paraId="780B4C4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A53513">
        <w:rPr>
          <w:rFonts w:asciiTheme="majorHAnsi" w:hAnsiTheme="majorHAnsi" w:cstheme="majorHAnsi"/>
          <w:b/>
          <w:bCs/>
          <w:i/>
          <w:iCs/>
          <w:sz w:val="28"/>
          <w:szCs w:val="28"/>
          <w:lang w:val="vi-VN"/>
        </w:rPr>
        <w:t>Sửa chữa hư hỏng loại 3 (mặt đường hư hỏng loại 3)</w:t>
      </w:r>
    </w:p>
    <w:p w14:paraId="647A456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Cào bóc lớp mặt đường BTN hư hỏng hiện trạng đến cao độ thiết kế (tuỳ vị trí);</w:t>
      </w:r>
    </w:p>
    <w:p w14:paraId="41C4E212"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thấm bám CRS-1, tiêu chuẩn 1,0 kg/m2;</w:t>
      </w:r>
    </w:p>
    <w:p w14:paraId="3921B716"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w:t>
      </w:r>
    </w:p>
    <w:p w14:paraId="5D79AC12"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1FCB09A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 đến cao độ đáy lớp BTNCP 16 tăng cường dày 5cm;</w:t>
      </w:r>
    </w:p>
    <w:p w14:paraId="4B3E20B6"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A53513">
        <w:rPr>
          <w:rFonts w:asciiTheme="majorHAnsi" w:hAnsiTheme="majorHAnsi" w:cstheme="majorHAnsi"/>
          <w:b/>
          <w:bCs/>
          <w:i/>
          <w:iCs/>
          <w:sz w:val="28"/>
          <w:szCs w:val="28"/>
          <w:lang w:val="vi-VN"/>
        </w:rPr>
        <w:t>Sửa chữa hư hỏng loại 4 (mặt đường hư hỏng loại 4)</w:t>
      </w:r>
    </w:p>
    <w:p w14:paraId="2979C62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Cào bóc lớp mặt đường BTN hư hỏng hiện trạng dày trung bình 6cm;</w:t>
      </w:r>
    </w:p>
    <w:p w14:paraId="3FB480F1"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0AC37A2A"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w:t>
      </w:r>
    </w:p>
    <w:p w14:paraId="08326438"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i/>
          <w:iCs/>
          <w:sz w:val="28"/>
          <w:szCs w:val="28"/>
          <w:lang w:val="vi-VN"/>
        </w:rPr>
      </w:pPr>
      <w:r w:rsidRPr="00A53513">
        <w:rPr>
          <w:rFonts w:asciiTheme="majorHAnsi" w:hAnsiTheme="majorHAnsi" w:cstheme="majorHAnsi"/>
          <w:b/>
          <w:bCs/>
          <w:i/>
          <w:iCs/>
          <w:sz w:val="28"/>
          <w:szCs w:val="28"/>
          <w:lang w:val="vi-VN"/>
        </w:rPr>
        <w:t>Sửa chữa hư hỏng loại 5 (mặt đường hư hỏng loại 5)</w:t>
      </w:r>
    </w:p>
    <w:p w14:paraId="103B6C59"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Cắt mặt đường bê tông Asphalt chiều dày lớp cắt ≤ 12cm;</w:t>
      </w:r>
    </w:p>
    <w:p w14:paraId="52B8480E"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Đào móng CPĐD mặt đường hiện hữu dày tb 64cm;</w:t>
      </w:r>
    </w:p>
    <w:p w14:paraId="02B123FF"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cấp phối đá dăm loại 1 dày 18cm, K≥0,98;</w:t>
      </w:r>
    </w:p>
    <w:p w14:paraId="60BE981F"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cấp phối đá dăm gia cố xi măng, tỷ lệ xi măng 5% dày 18cm, K≥0,98;</w:t>
      </w:r>
    </w:p>
    <w:p w14:paraId="0ADEB6BB"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giấy dầu lớp cách ly;</w:t>
      </w:r>
    </w:p>
    <w:p w14:paraId="1D14E9C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BTXM đá 1x2 M350 dày 28cm, phụ gia đông kết R7.</w:t>
      </w:r>
    </w:p>
    <w:p w14:paraId="4658E922"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lastRenderedPageBreak/>
        <w:t>2.2 Sửa chữa tăng cường toàn diện mặt đường</w:t>
      </w:r>
    </w:p>
    <w:p w14:paraId="5BF48A8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 xml:space="preserve">Trên toàn bộ mặt đường </w:t>
      </w:r>
      <w:r w:rsidRPr="00A53513">
        <w:rPr>
          <w:rFonts w:asciiTheme="majorHAnsi" w:hAnsiTheme="majorHAnsi" w:cstheme="majorHAnsi"/>
          <w:b/>
          <w:bCs/>
          <w:i/>
          <w:iCs/>
          <w:sz w:val="28"/>
          <w:szCs w:val="28"/>
          <w:lang w:val="vi-VN"/>
        </w:rPr>
        <w:t xml:space="preserve">(trừ 03 nút giao: Nút giao QL51 và đường Bùi Văn Hoà, Nút giao QL51 và đường Nam Cao, Nút giao Quốc lộ 51 và đường chuyên dùng Phước Tân (đường vào mỏ đá Tân Cang), </w:t>
      </w:r>
      <w:r w:rsidRPr="00A53513">
        <w:rPr>
          <w:rFonts w:asciiTheme="majorHAnsi" w:hAnsiTheme="majorHAnsi" w:cstheme="majorHAnsi"/>
          <w:b/>
          <w:bCs/>
          <w:sz w:val="28"/>
          <w:szCs w:val="28"/>
          <w:lang w:val="vi-VN"/>
        </w:rPr>
        <w:t>tiến hành:</w:t>
      </w:r>
    </w:p>
    <w:p w14:paraId="4F733A54"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129187D4"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Bù vênh (đối với các vị trí mặt đường hiện hữu) và thảm mặt đường bằng lớp BTNCP 16 dày 5cm, K≥0,98, Eyc &gt;180Mpa .</w:t>
      </w:r>
    </w:p>
    <w:p w14:paraId="74148549"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2.3 Tại các vị trí nút giao</w:t>
      </w:r>
    </w:p>
    <w:p w14:paraId="524A4757"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 Sửa chữa mặt đường hiện hữu bằng kết cấu bê tông xi măng được phủ mặt bằng lớp phủ mặt đường Micro-Surfacing trong phạm vi nút giao có tín hiệu đèn tại 2 nút giao: Nút giao Quốc lộ 51 và đường Bùi Văn Hoà, Nút giao Quốc lộ 51 và đường Nam Cao. Đối với Nút giao Quốc lộ 51 và đường chuyên dùng Phước</w:t>
      </w:r>
      <w:r w:rsidRPr="00A53513">
        <w:rPr>
          <w:rFonts w:asciiTheme="majorHAnsi" w:hAnsiTheme="majorHAnsi" w:cstheme="majorHAnsi"/>
          <w:sz w:val="28"/>
          <w:szCs w:val="28"/>
        </w:rPr>
        <w:t xml:space="preserve"> </w:t>
      </w:r>
      <w:r w:rsidRPr="00A53513">
        <w:rPr>
          <w:rFonts w:asciiTheme="majorHAnsi" w:hAnsiTheme="majorHAnsi" w:cstheme="majorHAnsi"/>
          <w:sz w:val="28"/>
          <w:szCs w:val="28"/>
          <w:lang w:val="vi-VN"/>
        </w:rPr>
        <w:t>Tân (đường vào mỏ đá Tân Cang): Phủ mặt bằng lớp phủ mặt đường MicroSurfacing trên mặt đường bê tông xi măng hiện hữu. Cụ thể:</w:t>
      </w:r>
    </w:p>
    <w:p w14:paraId="069FBE5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Sửa chữa mặt đường bê tông xi măng vị trí nút giao:</w:t>
      </w:r>
    </w:p>
    <w:p w14:paraId="395581AB"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 Kết cấu sửa chữa hư hỏng loại 5 như trên.</w:t>
      </w:r>
    </w:p>
    <w:p w14:paraId="205C5F34"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Đoạn chuyển tiếp với mặt đường bê tông nhựa (đối với nút giao BTXM làm mới)</w:t>
      </w:r>
    </w:p>
    <w:p w14:paraId="12BD1ED1"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Cắt mặt đường bê tông Asphalt chiều dày lớp cắt ≤ 12cm;</w:t>
      </w:r>
    </w:p>
    <w:p w14:paraId="7C53F1FE"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Đào móng CPĐD mặt đường hiện hữu dày tb 64cm;</w:t>
      </w:r>
    </w:p>
    <w:p w14:paraId="3B7794B6"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cấp phối đá dăm loại 1 dày 18cm, K≥0,98;</w:t>
      </w:r>
    </w:p>
    <w:p w14:paraId="7590D24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cấp phối đá dăm gia cố xi măng, tỷ lệ xi măng 5% dày 18cm, K≥0,98;</w:t>
      </w:r>
    </w:p>
    <w:p w14:paraId="4FDF9E32"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Lớp giấy dầu lớp cách ly;</w:t>
      </w:r>
    </w:p>
    <w:p w14:paraId="50C4CB31"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Làm mặt đường BTXM đá 1x2 M350, phụ gia đông kết R7 dày 28cm.</w:t>
      </w:r>
    </w:p>
    <w:p w14:paraId="28B3E74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Lưới sợi thủy tinh chống nứt mặt đường, 100x100 kN/m.</w:t>
      </w:r>
    </w:p>
    <w:p w14:paraId="18BC456B"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thấm bám CRS-1, tiêu chuẩn 1,0 kg/m2;</w:t>
      </w:r>
    </w:p>
    <w:p w14:paraId="09BFDD4F"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 19 dày 6cm, K≥0,98;</w:t>
      </w:r>
    </w:p>
    <w:p w14:paraId="2099E576"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4B04977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mặt đường bằng lớp BTNCP 16 dày 5cm, K≥0,98.</w:t>
      </w:r>
    </w:p>
    <w:p w14:paraId="0A338188"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Đoạn chuyển tiếp với mặt đường bê tông nhựa (đối với nút giao BTXM hiện hữu)</w:t>
      </w:r>
    </w:p>
    <w:p w14:paraId="74FCF4F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Cào bóc lớp mặt đường bê tông nhựa cũ dày 7cm;</w:t>
      </w:r>
    </w:p>
    <w:p w14:paraId="274E1779"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thấm bám CRS-1, tiêu chuẩn 1,0 kg/m2;</w:t>
      </w:r>
    </w:p>
    <w:p w14:paraId="79E746E8"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Lưới sợi thủy tinh chống nứt mặt đường, 100x100 kN/m.</w:t>
      </w:r>
    </w:p>
    <w:p w14:paraId="38983D3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mặt đường bằng lớp BTNCP 16 dày 7cm, K≥0,98.</w:t>
      </w:r>
    </w:p>
    <w:p w14:paraId="43709E60"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Phủ lớp vữa nhựa trên toàn bộ mặt đường bê tông xi măng tại 03 nút giao</w:t>
      </w:r>
    </w:p>
    <w:p w14:paraId="5278A257"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78F8B8C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Phủ lớp vữa nhựa Polime (Micro-Surfacing) loại III.</w:t>
      </w:r>
    </w:p>
    <w:p w14:paraId="78D6581A"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2.4 Vuốt nối</w:t>
      </w:r>
    </w:p>
    <w:p w14:paraId="51FED029"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nhũ tương dính bám CRS-1, tiêu chuẩn 0,5 kg/m2;</w:t>
      </w:r>
    </w:p>
    <w:p w14:paraId="3784925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rPr>
      </w:pPr>
      <w:r w:rsidRPr="00A53513">
        <w:rPr>
          <w:rFonts w:asciiTheme="majorHAnsi" w:hAnsiTheme="majorHAnsi" w:cstheme="majorHAnsi"/>
          <w:b/>
          <w:bCs/>
          <w:sz w:val="28"/>
          <w:szCs w:val="28"/>
          <w:lang w:val="vi-VN"/>
        </w:rPr>
        <w:lastRenderedPageBreak/>
        <w:t xml:space="preserve">- </w:t>
      </w:r>
      <w:r w:rsidRPr="00A53513">
        <w:rPr>
          <w:rFonts w:asciiTheme="majorHAnsi" w:hAnsiTheme="majorHAnsi" w:cstheme="majorHAnsi"/>
          <w:sz w:val="28"/>
          <w:szCs w:val="28"/>
          <w:lang w:val="vi-VN"/>
        </w:rPr>
        <w:t>Thảm mặt đường bằng lớp BTNCP 16 dày trung bình 2,5cm, K≥0,98.</w:t>
      </w:r>
    </w:p>
    <w:p w14:paraId="73EE8DC2"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2.5 Cải tạo, tăng cường thoát nước mặt đường</w:t>
      </w:r>
    </w:p>
    <w:p w14:paraId="21C1453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Thay thế các tấm đan bê tông bên lề đường bằng đan thép nhúng kẽm nóng tại các vị trí mương trong bụng đường cong, đan thép kt 100x88x15cm, trung bình 30m/nắp.</w:t>
      </w:r>
    </w:p>
    <w:p w14:paraId="0E89EF1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Bổ sung rãnh ngang thoát nước rộng 30cm trên đoạn dải phân cách giữa trồng cỏ (phạm vi đường cong) bằng bê tông đá 1x2 M250, trên lớp đá dăm đệm dày 10cm.</w:t>
      </w:r>
    </w:p>
    <w:p w14:paraId="5CA5BBC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2.6 Nâng dải phân cách giữa</w:t>
      </w:r>
    </w:p>
    <w:p w14:paraId="5D211E7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Đục tạo nhám mặt bê tông;</w:t>
      </w:r>
    </w:p>
    <w:p w14:paraId="5A9A1038"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Khoan cấy cốt thép;</w:t>
      </w:r>
    </w:p>
    <w:p w14:paraId="636D2A81"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Lắp dựng ván khuôn, đổ bê tông đá 1x2 M300.</w:t>
      </w:r>
    </w:p>
    <w:p w14:paraId="6E0481D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2.7 Sửa chữa hư hỏng lớp bê tông nhựa mặt cầu Sông Buông Km7+050 (phải tuyến) và cầu Bà Bướm Km7+516 (trái và phải tuyến).</w:t>
      </w:r>
    </w:p>
    <w:p w14:paraId="3DF6BD7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Cào bóc lớp mặt cầu bằng BTN hư hỏng dày 5cm;</w:t>
      </w:r>
    </w:p>
    <w:p w14:paraId="3DCEA73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Tưới nhựa thấm bám mặt cầu MC70, tiêu chuẩn 1,0 kg/m2.</w:t>
      </w:r>
    </w:p>
    <w:p w14:paraId="3BF2AD6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Thảm lớp BTNCP 16 mặt cầu dày 5cm, K≥0,98.</w:t>
      </w:r>
    </w:p>
    <w:p w14:paraId="67F3CF0A"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2.8 Hoàn thiện hệ thống ATGT báo hiệu đường bộ:</w:t>
      </w:r>
    </w:p>
    <w:p w14:paraId="0F5AA56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Lắp đặt dải phân cách biên</w:t>
      </w:r>
    </w:p>
    <w:p w14:paraId="23890491"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 Lắp đặt dải phân cách biên ngăn cách làn xe cơ giới và làn xe thô sơ trên đoạn tuyến (trừ phạm vi nút giao và đoạn từ Km5+391 đến Km6+166 trái tuyến) bằng BTCT cao 60cm, chiều dài mỗi đốt 2m. Dải phân cách biên phân chia ngăn cách làn xe ô tô với làn xe máy, xe thô sơ dọc theo tuyến.</w:t>
      </w:r>
    </w:p>
    <w:p w14:paraId="5A80EA78"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 Dải phân cách biên được sơn trắng đỏ, đầu cuối đoạn dải phân cách biên được vát xiên, ốp tôn dày 2mm dán phản quang.</w:t>
      </w:r>
    </w:p>
    <w:p w14:paraId="1EAFD57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Lắp biển báo đầu DPC biên.</w:t>
      </w:r>
    </w:p>
    <w:p w14:paraId="5A9DD25B"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Lắp đặt trụ biển báo P.104 “Cấm xe máy” và biển P.130 “Cấm dừng đỗ” tại vị trí đầu dải phân cách biên theo hướng xe chạy (vị trí lắp đặt cụ thể theo bản vẽ thiết kế), quy cách biển báo như sau:</w:t>
      </w:r>
    </w:p>
    <w:p w14:paraId="739BE4DE"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Trụ biển báo là trụ thép D90 dày 2mm được mạ kẽm dài 5m, móng BTXM đá 1x2 M200 kích thước 0,4x0,4x0,6m đúc sẵn. Trụ biển báo liên kết với móng đúc sẵn bằng hệ liên kết bu lông. Trụ biển báo được sơn trắng đỏ cách đều, khoảng cách 30cm.</w:t>
      </w:r>
    </w:p>
    <w:p w14:paraId="3EA8037F"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Quy cách biển báo: kích thước biển báo D70, mặt biển bằng tôn dày 2mm được mạ kẽm. Mặt phản quang loại IV.</w:t>
      </w:r>
    </w:p>
    <w:p w14:paraId="4E9AF9E0"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Bổ sung, tăng cường các hạng mục ATGT khác:</w:t>
      </w:r>
    </w:p>
    <w:p w14:paraId="2A70DEF1"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Bổ sung tiêu phản quang trên DPC giữa và dải phân cách biên trung bình 6</w:t>
      </w:r>
    </w:p>
    <w:p w14:paraId="472591DA"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cái/md. Tiêu phản quang được dán hai mặt phản quang màu vàng trên dải phân cách giữa, dán hai 1 mặt màu vàng và 1 mặt màu đỏ trên dải phân cách biên và dải phân cách giữa trồng cỏ.</w:t>
      </w:r>
    </w:p>
    <w:p w14:paraId="07592AE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 xml:space="preserve">Dải phân cách giữa được sơn trắng đỏ, đầu cuối đoạn dải phân cách giữa được </w:t>
      </w:r>
      <w:r w:rsidRPr="00A53513">
        <w:rPr>
          <w:rFonts w:asciiTheme="majorHAnsi" w:hAnsiTheme="majorHAnsi" w:cstheme="majorHAnsi"/>
          <w:sz w:val="28"/>
          <w:szCs w:val="28"/>
          <w:lang w:val="vi-VN"/>
        </w:rPr>
        <w:lastRenderedPageBreak/>
        <w:t>vát xiên, ốp tôn dày 2mm dán phản quang loại IV.</w:t>
      </w:r>
    </w:p>
    <w:p w14:paraId="02D0413B"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Hoàn trả và hoàn thiện hệ thống vạch sơn an toàn giao thông:</w:t>
      </w:r>
    </w:p>
    <w:p w14:paraId="0A632F55"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lang w:val="vi-VN"/>
        </w:rPr>
      </w:pPr>
      <w:r w:rsidRPr="00A53513">
        <w:rPr>
          <w:rFonts w:asciiTheme="majorHAnsi" w:hAnsiTheme="majorHAnsi" w:cstheme="majorHAnsi"/>
          <w:sz w:val="28"/>
          <w:szCs w:val="28"/>
          <w:lang w:val="vi-VN"/>
        </w:rPr>
        <w:t>Sơn khôi phục và hoàn thiện hệ thống vạch sơn báo hiệu đường bộ bằng sơn phản quang dẻo nhiệt:</w:t>
      </w:r>
    </w:p>
    <w:p w14:paraId="1A1B7A8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2.1: Vạch phân chia 02 làn xe chạy cùng chiều, vạch đơn, nét đứt, màu trắng, rộng 15cm, dày 3mm. Tỷ lệ vạch 1:3, chiều dài vạch liền L1 = 3m, chiều dài nét đứt L2 = 9m.</w:t>
      </w:r>
    </w:p>
    <w:p w14:paraId="2B37F1FC"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3.1a: Vạch xác định mép làn xe chạy, vạch đơn, nét liền, màu trắng, rộng 15cm, dày 2mm.</w:t>
      </w:r>
    </w:p>
    <w:p w14:paraId="1C4B2B8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7.1: Vạch dừng xe, màu trắng, rộng 40cm, vạch dày 3mm.</w:t>
      </w:r>
    </w:p>
    <w:p w14:paraId="0AD277A3"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7.3: Vạch dành cho người đi bộ qua đường, màu trắng, dài 4m rộng 40cm, khoảng cách vạch 60cm, vạch dày 3mm.</w:t>
      </w:r>
    </w:p>
    <w:p w14:paraId="474454E9"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9.3: Vạch mũi tên chỉ hướng, màu trắng, dày 3mm.</w:t>
      </w:r>
    </w:p>
    <w:p w14:paraId="237A42AE"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sơn gờ giảm tốc dạng rải đều khoảng cách 4m/vạch (tối thiểu 10 vạch), màu vàng rộng 20cm, dày 4mm.</w:t>
      </w:r>
    </w:p>
    <w:p w14:paraId="245CC8B5"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7.6: Vạch chỉ dẫn sắp đến chỗ có bố trí vạch đi bộ qua đường (màu trắng), dày 3mm.</w:t>
      </w:r>
    </w:p>
    <w:p w14:paraId="168C83C6"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sz w:val="28"/>
          <w:szCs w:val="28"/>
          <w:lang w:val="vi-VN"/>
        </w:rPr>
      </w:pPr>
      <w:r w:rsidRPr="00A53513">
        <w:rPr>
          <w:rFonts w:asciiTheme="majorHAnsi" w:hAnsiTheme="majorHAnsi" w:cstheme="majorHAnsi"/>
          <w:b/>
          <w:bCs/>
          <w:sz w:val="28"/>
          <w:szCs w:val="28"/>
          <w:lang w:val="vi-VN"/>
        </w:rPr>
        <w:t xml:space="preserve">- </w:t>
      </w:r>
      <w:r w:rsidRPr="00A53513">
        <w:rPr>
          <w:rFonts w:asciiTheme="majorHAnsi" w:hAnsiTheme="majorHAnsi" w:cstheme="majorHAnsi"/>
          <w:sz w:val="28"/>
          <w:szCs w:val="28"/>
          <w:lang w:val="vi-VN"/>
        </w:rPr>
        <w:t>Vạch 9.2: Vạch xe buýt, màu vàng, dày 3mm.</w:t>
      </w:r>
    </w:p>
    <w:p w14:paraId="27A8095D" w14:textId="77777777" w:rsidR="00A53513" w:rsidRPr="00A53513" w:rsidRDefault="00A53513" w:rsidP="00A53513">
      <w:pPr>
        <w:widowControl w:val="0"/>
        <w:tabs>
          <w:tab w:val="left" w:pos="284"/>
          <w:tab w:val="left" w:pos="851"/>
          <w:tab w:val="left" w:pos="993"/>
        </w:tabs>
        <w:spacing w:line="276" w:lineRule="auto"/>
        <w:ind w:firstLineChars="202" w:firstLine="568"/>
        <w:rPr>
          <w:rFonts w:asciiTheme="majorHAnsi" w:hAnsiTheme="majorHAnsi" w:cstheme="majorHAnsi"/>
          <w:b/>
          <w:bCs/>
          <w:sz w:val="28"/>
          <w:szCs w:val="28"/>
          <w:lang w:val="vi-VN"/>
        </w:rPr>
      </w:pPr>
      <w:r w:rsidRPr="00A53513">
        <w:rPr>
          <w:rFonts w:asciiTheme="majorHAnsi" w:hAnsiTheme="majorHAnsi" w:cstheme="majorHAnsi"/>
          <w:b/>
          <w:bCs/>
          <w:sz w:val="28"/>
          <w:szCs w:val="28"/>
          <w:lang w:val="vi-VN"/>
        </w:rPr>
        <w:t>Biển báo:</w:t>
      </w:r>
    </w:p>
    <w:p w14:paraId="747C04BB" w14:textId="77777777" w:rsidR="00A53513" w:rsidRPr="00A53513" w:rsidRDefault="00A53513" w:rsidP="00A53513">
      <w:pPr>
        <w:widowControl w:val="0"/>
        <w:tabs>
          <w:tab w:val="left" w:pos="284"/>
          <w:tab w:val="left" w:pos="851"/>
          <w:tab w:val="left" w:pos="993"/>
        </w:tabs>
        <w:spacing w:line="276" w:lineRule="auto"/>
        <w:ind w:firstLineChars="202" w:firstLine="566"/>
        <w:rPr>
          <w:rFonts w:asciiTheme="majorHAnsi" w:hAnsiTheme="majorHAnsi" w:cstheme="majorHAnsi"/>
          <w:sz w:val="28"/>
          <w:szCs w:val="28"/>
        </w:rPr>
      </w:pPr>
      <w:r w:rsidRPr="00A53513">
        <w:rPr>
          <w:rFonts w:asciiTheme="majorHAnsi" w:hAnsiTheme="majorHAnsi" w:cstheme="majorHAnsi"/>
          <w:sz w:val="28"/>
          <w:szCs w:val="28"/>
          <w:lang w:val="vi-VN"/>
        </w:rPr>
        <w:t>Bố trí các biển báo hiệu, cảnh báo,… dọc tuyến theo đúng quy định. Quy cách biển báo theo Quy chuẩn báo hiệu đường bộ QCVN 41:2024/BGTVT của Bộ Giao thông Vận tải.</w:t>
      </w:r>
    </w:p>
    <w:p w14:paraId="54CE72DE" w14:textId="77777777" w:rsidR="00A53513" w:rsidRPr="00A53513" w:rsidRDefault="00A53513" w:rsidP="00A53513">
      <w:pPr>
        <w:tabs>
          <w:tab w:val="left" w:pos="540"/>
          <w:tab w:val="left" w:pos="993"/>
        </w:tabs>
        <w:spacing w:line="276" w:lineRule="auto"/>
        <w:ind w:firstLine="567"/>
        <w:rPr>
          <w:rFonts w:asciiTheme="majorHAnsi" w:hAnsiTheme="majorHAnsi" w:cstheme="majorHAnsi"/>
          <w:sz w:val="28"/>
          <w:szCs w:val="28"/>
        </w:rPr>
      </w:pPr>
      <w:bookmarkStart w:id="2" w:name="_Toc42632922"/>
      <w:r w:rsidRPr="00A53513">
        <w:rPr>
          <w:rFonts w:asciiTheme="majorHAnsi" w:hAnsiTheme="majorHAnsi" w:cstheme="majorHAnsi"/>
          <w:sz w:val="28"/>
          <w:szCs w:val="28"/>
        </w:rPr>
        <w:t>* Đảm bảo ATGT và VSMT: Tổ chức đảm bảo ATGT và VSMT trong suốt quá trình thi công tuân thủ theo quy định hiện hành.</w:t>
      </w:r>
    </w:p>
    <w:bookmarkEnd w:id="2"/>
    <w:p w14:paraId="0F198F16" w14:textId="77777777" w:rsidR="00A53513" w:rsidRPr="00A53513" w:rsidRDefault="00A53513" w:rsidP="00A53513">
      <w:pPr>
        <w:spacing w:line="276" w:lineRule="auto"/>
        <w:ind w:firstLine="567"/>
        <w:rPr>
          <w:rFonts w:asciiTheme="majorHAnsi" w:hAnsiTheme="majorHAnsi" w:cstheme="majorHAnsi"/>
          <w:i/>
          <w:sz w:val="28"/>
          <w:szCs w:val="28"/>
        </w:rPr>
      </w:pPr>
      <w:r w:rsidRPr="00A53513">
        <w:rPr>
          <w:rFonts w:asciiTheme="majorHAnsi" w:hAnsiTheme="majorHAnsi" w:cstheme="majorHAnsi"/>
          <w:i/>
          <w:sz w:val="28"/>
          <w:szCs w:val="28"/>
        </w:rPr>
        <w:t xml:space="preserve"> (Chi tiết theo hồ sơ được duyệt).</w:t>
      </w:r>
    </w:p>
    <w:p w14:paraId="6292E9B3" w14:textId="77777777" w:rsidR="00A53513" w:rsidRPr="00A53513" w:rsidRDefault="00A53513" w:rsidP="00A53513">
      <w:pPr>
        <w:tabs>
          <w:tab w:val="left" w:pos="993"/>
        </w:tabs>
        <w:spacing w:line="276" w:lineRule="auto"/>
        <w:ind w:firstLine="567"/>
        <w:rPr>
          <w:rFonts w:asciiTheme="majorHAnsi" w:hAnsiTheme="majorHAnsi" w:cstheme="majorHAnsi"/>
          <w:bCs/>
          <w:color w:val="000000"/>
          <w:sz w:val="28"/>
          <w:szCs w:val="28"/>
          <w:lang w:val="vi-VN"/>
        </w:rPr>
      </w:pPr>
      <w:r w:rsidRPr="00A53513">
        <w:rPr>
          <w:rFonts w:asciiTheme="majorHAnsi" w:hAnsiTheme="majorHAnsi" w:cstheme="majorHAnsi"/>
          <w:bCs/>
          <w:color w:val="000000"/>
          <w:sz w:val="28"/>
          <w:szCs w:val="28"/>
          <w:lang w:val="nl-NL"/>
        </w:rPr>
        <w:t>- Tiến độ thực hiện dự án</w:t>
      </w:r>
      <w:r w:rsidRPr="00A53513">
        <w:rPr>
          <w:rFonts w:asciiTheme="majorHAnsi" w:hAnsiTheme="majorHAnsi" w:cstheme="majorHAnsi"/>
          <w:bCs/>
          <w:color w:val="000000"/>
          <w:sz w:val="28"/>
          <w:szCs w:val="28"/>
          <w:lang w:val="vi-VN"/>
        </w:rPr>
        <w:t xml:space="preserve">: </w:t>
      </w:r>
      <w:r w:rsidRPr="00A53513">
        <w:rPr>
          <w:rFonts w:asciiTheme="majorHAnsi" w:hAnsiTheme="majorHAnsi" w:cstheme="majorHAnsi"/>
          <w:bCs/>
          <w:color w:val="000000"/>
          <w:sz w:val="28"/>
          <w:szCs w:val="28"/>
          <w:lang w:val="nl-NL"/>
        </w:rPr>
        <w:t>Năm 2025- 2026.</w:t>
      </w:r>
    </w:p>
    <w:p w14:paraId="391C6666" w14:textId="77777777" w:rsidR="00A53513" w:rsidRPr="00A53513" w:rsidRDefault="00A53513" w:rsidP="00A53513">
      <w:pPr>
        <w:tabs>
          <w:tab w:val="left" w:pos="993"/>
        </w:tabs>
        <w:spacing w:line="276" w:lineRule="auto"/>
        <w:ind w:firstLine="567"/>
        <w:rPr>
          <w:rFonts w:asciiTheme="majorHAnsi" w:hAnsiTheme="majorHAnsi" w:cstheme="majorHAnsi"/>
          <w:bCs/>
          <w:color w:val="000000"/>
          <w:sz w:val="28"/>
          <w:szCs w:val="28"/>
          <w:lang w:val="vi-VN"/>
        </w:rPr>
      </w:pPr>
      <w:r w:rsidRPr="00A53513">
        <w:rPr>
          <w:rFonts w:asciiTheme="majorHAnsi" w:hAnsiTheme="majorHAnsi" w:cstheme="majorHAnsi"/>
          <w:bCs/>
          <w:color w:val="000000"/>
          <w:sz w:val="28"/>
          <w:szCs w:val="28"/>
          <w:lang w:val="nl-NL"/>
        </w:rPr>
        <w:t>- Nguồn vốn đầu tư và dự kiến bố trí kế hoạch vốn theo tiến độ thực hiện dự án:</w:t>
      </w:r>
      <w:r w:rsidRPr="00A53513">
        <w:rPr>
          <w:rFonts w:asciiTheme="majorHAnsi" w:hAnsiTheme="majorHAnsi" w:cstheme="majorHAnsi"/>
          <w:bCs/>
          <w:color w:val="000000"/>
          <w:sz w:val="28"/>
          <w:szCs w:val="28"/>
          <w:lang w:val="vi-VN"/>
        </w:rPr>
        <w:t xml:space="preserve"> </w:t>
      </w:r>
      <w:r w:rsidRPr="00A53513">
        <w:rPr>
          <w:rFonts w:asciiTheme="majorHAnsi" w:hAnsiTheme="majorHAnsi" w:cstheme="majorHAnsi"/>
          <w:sz w:val="28"/>
          <w:szCs w:val="28"/>
          <w:lang w:val="nl-NL"/>
        </w:rPr>
        <w:t>Nguồn vốn sự nghiệp giao thông.</w:t>
      </w:r>
    </w:p>
    <w:p w14:paraId="11911FE3" w14:textId="77777777" w:rsidR="00A53513" w:rsidRPr="00A53513" w:rsidRDefault="00A53513" w:rsidP="00A53513">
      <w:pPr>
        <w:tabs>
          <w:tab w:val="left" w:pos="993"/>
        </w:tabs>
        <w:spacing w:line="276" w:lineRule="auto"/>
        <w:ind w:firstLine="567"/>
        <w:rPr>
          <w:rFonts w:asciiTheme="majorHAnsi" w:hAnsiTheme="majorHAnsi" w:cstheme="majorHAnsi"/>
          <w:bCs/>
          <w:color w:val="000000"/>
          <w:sz w:val="28"/>
          <w:szCs w:val="28"/>
        </w:rPr>
      </w:pPr>
      <w:r w:rsidRPr="00A53513">
        <w:rPr>
          <w:rFonts w:asciiTheme="majorHAnsi" w:hAnsiTheme="majorHAnsi" w:cstheme="majorHAnsi"/>
          <w:bCs/>
          <w:color w:val="000000"/>
          <w:sz w:val="28"/>
          <w:szCs w:val="28"/>
          <w:lang w:val="nl-NL"/>
        </w:rPr>
        <w:t>- Hình thức tổ chức quản lý dự án được áp dụng:</w:t>
      </w:r>
      <w:r w:rsidRPr="00A53513">
        <w:rPr>
          <w:rFonts w:asciiTheme="majorHAnsi" w:hAnsiTheme="majorHAnsi" w:cstheme="majorHAnsi"/>
          <w:bCs/>
          <w:color w:val="000000"/>
          <w:sz w:val="28"/>
          <w:szCs w:val="28"/>
          <w:lang w:val="vi-VN"/>
        </w:rPr>
        <w:t xml:space="preserve"> </w:t>
      </w:r>
      <w:r w:rsidRPr="00A53513">
        <w:rPr>
          <w:rFonts w:asciiTheme="majorHAnsi" w:hAnsiTheme="majorHAnsi" w:cstheme="majorHAnsi"/>
          <w:bCs/>
          <w:color w:val="000000"/>
          <w:sz w:val="28"/>
          <w:szCs w:val="28"/>
        </w:rPr>
        <w:t>Theo quy định hiện hành.</w:t>
      </w:r>
    </w:p>
    <w:p w14:paraId="07811039" w14:textId="77777777" w:rsidR="00A53513" w:rsidRPr="00A53513" w:rsidRDefault="00A53513" w:rsidP="00A53513">
      <w:pPr>
        <w:tabs>
          <w:tab w:val="left" w:pos="993"/>
        </w:tabs>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Yêu cầu về nguồn lực, khai thác sử dụng tài nguyên (nếu có); phương án bồi thường, hỗ trợ, tái định cư (nếu có): Không.</w:t>
      </w:r>
    </w:p>
    <w:p w14:paraId="7D581C7E" w14:textId="77777777" w:rsidR="00A53513" w:rsidRPr="00A53513" w:rsidRDefault="00A53513" w:rsidP="00A53513">
      <w:pPr>
        <w:tabs>
          <w:tab w:val="left" w:pos="993"/>
          <w:tab w:val="left" w:pos="3544"/>
        </w:tabs>
        <w:spacing w:line="276" w:lineRule="auto"/>
        <w:ind w:firstLine="567"/>
        <w:rPr>
          <w:rFonts w:asciiTheme="majorHAnsi" w:hAnsiTheme="majorHAnsi" w:cstheme="majorHAnsi"/>
          <w:color w:val="000000"/>
          <w:sz w:val="28"/>
          <w:szCs w:val="28"/>
          <w:lang w:val="es-UY"/>
        </w:rPr>
      </w:pPr>
      <w:r w:rsidRPr="00A53513">
        <w:rPr>
          <w:rFonts w:asciiTheme="majorHAnsi" w:hAnsiTheme="majorHAnsi" w:cstheme="majorHAnsi"/>
          <w:color w:val="000000"/>
          <w:sz w:val="28"/>
          <w:szCs w:val="28"/>
          <w:lang w:val="es-UY"/>
        </w:rPr>
        <w:t>- Các nội dung khác: Trong quá trình thi công, Nhà thầu xây lắp tổ chức đảm bảo ATGT, môi trường trong suốt quá trình thi công theo đúng các quy định hiện hành; Tư vấn thiết kế, Tư vấn giám sát thường xuyên có mặt tại hiện trường để kịp thời xử lý các vướng mắc phát sinh, đảm bảo chất lượng và tiến độ thi công.</w:t>
      </w:r>
    </w:p>
    <w:p w14:paraId="3849FA0C" w14:textId="77777777" w:rsidR="00A53513" w:rsidRPr="00A53513" w:rsidRDefault="00A53513" w:rsidP="00A53513">
      <w:pPr>
        <w:spacing w:line="276" w:lineRule="auto"/>
        <w:ind w:firstLine="567"/>
        <w:rPr>
          <w:rFonts w:asciiTheme="majorHAnsi" w:hAnsiTheme="majorHAnsi" w:cstheme="majorHAnsi"/>
          <w:b/>
          <w:bCs/>
          <w:i/>
          <w:sz w:val="28"/>
          <w:szCs w:val="28"/>
          <w:lang w:val="it-IT"/>
        </w:rPr>
      </w:pPr>
      <w:bookmarkStart w:id="3" w:name="_Hlk213923307"/>
      <w:bookmarkEnd w:id="0"/>
      <w:r w:rsidRPr="00A53513">
        <w:rPr>
          <w:rFonts w:asciiTheme="majorHAnsi" w:hAnsiTheme="majorHAnsi" w:cstheme="majorHAnsi"/>
          <w:b/>
          <w:bCs/>
          <w:i/>
          <w:sz w:val="28"/>
          <w:szCs w:val="28"/>
          <w:lang w:val="it-IT"/>
        </w:rPr>
        <w:t>b) Khái quát về gói thầu:</w:t>
      </w:r>
    </w:p>
    <w:p w14:paraId="090A63F9" w14:textId="77777777" w:rsidR="00A53513" w:rsidRPr="00A53513" w:rsidRDefault="00A53513" w:rsidP="00A53513">
      <w:pPr>
        <w:spacing w:line="276" w:lineRule="auto"/>
        <w:ind w:firstLine="567"/>
        <w:rPr>
          <w:rFonts w:asciiTheme="majorHAnsi" w:hAnsiTheme="majorHAnsi" w:cstheme="majorHAnsi"/>
          <w:bCs/>
          <w:sz w:val="28"/>
          <w:szCs w:val="28"/>
          <w:lang w:val="it-IT"/>
        </w:rPr>
      </w:pPr>
      <w:r w:rsidRPr="00A53513">
        <w:rPr>
          <w:rFonts w:asciiTheme="majorHAnsi" w:hAnsiTheme="majorHAnsi" w:cstheme="majorHAnsi"/>
          <w:bCs/>
          <w:sz w:val="28"/>
          <w:szCs w:val="28"/>
          <w:lang w:val="it-IT"/>
        </w:rPr>
        <w:t xml:space="preserve">- Tên gói thầu: </w:t>
      </w:r>
      <w:r w:rsidRPr="00A53513">
        <w:rPr>
          <w:rFonts w:asciiTheme="majorHAnsi" w:hAnsiTheme="majorHAnsi" w:cstheme="majorHAnsi"/>
          <w:bCs/>
          <w:color w:val="EE0000"/>
          <w:sz w:val="28"/>
          <w:szCs w:val="28"/>
          <w:lang w:val="it-IT"/>
        </w:rPr>
        <w:t>Xây lắp.</w:t>
      </w:r>
    </w:p>
    <w:p w14:paraId="6EA9F11D" w14:textId="77777777" w:rsidR="00A53513" w:rsidRPr="00A53513" w:rsidRDefault="00A53513" w:rsidP="00A53513">
      <w:pPr>
        <w:spacing w:line="276" w:lineRule="auto"/>
        <w:ind w:firstLine="567"/>
        <w:rPr>
          <w:rFonts w:asciiTheme="majorHAnsi" w:hAnsiTheme="majorHAnsi" w:cstheme="majorHAnsi"/>
          <w:bCs/>
          <w:sz w:val="28"/>
          <w:szCs w:val="28"/>
          <w:lang w:val="it-IT"/>
        </w:rPr>
      </w:pPr>
      <w:r w:rsidRPr="00A53513">
        <w:rPr>
          <w:rFonts w:asciiTheme="majorHAnsi" w:hAnsiTheme="majorHAnsi" w:cstheme="majorHAnsi"/>
          <w:bCs/>
          <w:sz w:val="28"/>
          <w:szCs w:val="28"/>
          <w:lang w:val="it-IT"/>
        </w:rPr>
        <w:t>- Hình thức lựa chọn nhà thầu: Đấu thầu rộng rãi trong nước (qua mạng); 01 giai đoạn 01 túi hồ sơ.</w:t>
      </w:r>
    </w:p>
    <w:p w14:paraId="0893E571" w14:textId="77777777" w:rsidR="00A53513" w:rsidRPr="00A53513" w:rsidRDefault="00A53513" w:rsidP="00A53513">
      <w:pPr>
        <w:spacing w:line="276" w:lineRule="auto"/>
        <w:ind w:firstLine="567"/>
        <w:rPr>
          <w:rFonts w:asciiTheme="majorHAnsi" w:hAnsiTheme="majorHAnsi" w:cstheme="majorHAnsi"/>
          <w:bCs/>
          <w:sz w:val="28"/>
          <w:szCs w:val="28"/>
          <w:lang w:val="it-IT"/>
        </w:rPr>
      </w:pPr>
      <w:r w:rsidRPr="00A53513">
        <w:rPr>
          <w:rFonts w:asciiTheme="majorHAnsi" w:hAnsiTheme="majorHAnsi" w:cstheme="majorHAnsi"/>
          <w:bCs/>
          <w:sz w:val="28"/>
          <w:szCs w:val="28"/>
          <w:lang w:val="it-IT"/>
        </w:rPr>
        <w:t>- Hợp đồng: Theo đơn giá cố định.</w:t>
      </w:r>
    </w:p>
    <w:p w14:paraId="2CD5D5ED" w14:textId="77777777" w:rsidR="00A53513" w:rsidRPr="00A53513" w:rsidRDefault="00A53513" w:rsidP="00A53513">
      <w:pPr>
        <w:spacing w:line="276" w:lineRule="auto"/>
        <w:ind w:firstLine="567"/>
        <w:rPr>
          <w:rFonts w:asciiTheme="majorHAnsi" w:hAnsiTheme="majorHAnsi" w:cstheme="majorHAnsi"/>
          <w:bCs/>
          <w:sz w:val="28"/>
          <w:szCs w:val="28"/>
          <w:lang w:val="it-IT"/>
        </w:rPr>
      </w:pPr>
      <w:r w:rsidRPr="00A53513">
        <w:rPr>
          <w:rFonts w:asciiTheme="majorHAnsi" w:hAnsiTheme="majorHAnsi" w:cstheme="majorHAnsi"/>
          <w:bCs/>
          <w:sz w:val="28"/>
          <w:szCs w:val="28"/>
          <w:lang w:val="it-IT"/>
        </w:rPr>
        <w:lastRenderedPageBreak/>
        <w:t>- Thời gian thực hiện gói thầu: 120 ngày.</w:t>
      </w:r>
    </w:p>
    <w:p w14:paraId="227CAF94" w14:textId="77777777" w:rsidR="00A53513" w:rsidRPr="00A53513" w:rsidRDefault="00A53513" w:rsidP="00A53513">
      <w:pPr>
        <w:widowControl w:val="0"/>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lang w:val="vi-VN"/>
        </w:rPr>
        <w:t>2. Thời hạn hoàn thành</w:t>
      </w:r>
      <w:r w:rsidRPr="00A53513">
        <w:rPr>
          <w:rFonts w:asciiTheme="majorHAnsi" w:hAnsiTheme="majorHAnsi" w:cstheme="majorHAnsi"/>
          <w:sz w:val="28"/>
          <w:szCs w:val="28"/>
        </w:rPr>
        <w:t xml:space="preserve">: </w:t>
      </w:r>
      <w:r w:rsidRPr="00A53513">
        <w:rPr>
          <w:rFonts w:asciiTheme="majorHAnsi" w:hAnsiTheme="majorHAnsi" w:cstheme="majorHAnsi"/>
          <w:bCs/>
          <w:sz w:val="28"/>
          <w:szCs w:val="28"/>
          <w:lang w:val="it-IT"/>
        </w:rPr>
        <w:t>120 ngày.</w:t>
      </w:r>
    </w:p>
    <w:bookmarkEnd w:id="3"/>
    <w:p w14:paraId="24688960" w14:textId="77777777" w:rsidR="00A53513" w:rsidRPr="00A53513" w:rsidRDefault="00A53513" w:rsidP="00A53513">
      <w:pPr>
        <w:widowControl w:val="0"/>
        <w:tabs>
          <w:tab w:val="left" w:pos="1418"/>
        </w:tabs>
        <w:spacing w:before="120" w:after="120" w:line="264" w:lineRule="auto"/>
        <w:ind w:firstLine="567"/>
        <w:rPr>
          <w:rFonts w:asciiTheme="majorHAnsi" w:hAnsiTheme="majorHAnsi" w:cstheme="majorHAnsi"/>
          <w:b/>
          <w:sz w:val="28"/>
          <w:szCs w:val="28"/>
        </w:rPr>
      </w:pPr>
      <w:r w:rsidRPr="00A53513">
        <w:rPr>
          <w:rFonts w:asciiTheme="majorHAnsi" w:hAnsiTheme="majorHAnsi" w:cstheme="majorHAnsi"/>
          <w:b/>
          <w:sz w:val="28"/>
          <w:szCs w:val="28"/>
          <w:lang w:val="vi-VN"/>
        </w:rPr>
        <w:t>II. Yêu cầu về tiến độ thực hiện</w:t>
      </w:r>
      <w:r w:rsidRPr="00A53513">
        <w:rPr>
          <w:rFonts w:asciiTheme="majorHAnsi" w:hAnsiTheme="majorHAnsi" w:cstheme="majorHAnsi"/>
          <w:b/>
          <w:sz w:val="28"/>
          <w:szCs w:val="28"/>
        </w:rPr>
        <w:t xml:space="preserve">: </w:t>
      </w:r>
      <w:r w:rsidRPr="00A53513">
        <w:rPr>
          <w:rFonts w:asciiTheme="majorHAnsi" w:hAnsiTheme="majorHAnsi" w:cstheme="majorHAnsi"/>
          <w:sz w:val="28"/>
          <w:szCs w:val="28"/>
        </w:rPr>
        <w:t>Theo yêu cầu tại E-ĐKC 1.16 và E-ĐKC 1.17 Chương VII E-HSMT.</w:t>
      </w:r>
    </w:p>
    <w:p w14:paraId="596ADBB9" w14:textId="77777777" w:rsidR="00A53513" w:rsidRPr="00A53513" w:rsidRDefault="00A53513" w:rsidP="00A53513">
      <w:pPr>
        <w:widowControl w:val="0"/>
        <w:tabs>
          <w:tab w:val="left" w:pos="700"/>
          <w:tab w:val="left" w:pos="1418"/>
        </w:tabs>
        <w:spacing w:before="120" w:after="120" w:line="264" w:lineRule="auto"/>
        <w:ind w:firstLine="567"/>
        <w:rPr>
          <w:rFonts w:asciiTheme="majorHAnsi" w:hAnsiTheme="majorHAnsi" w:cstheme="majorHAnsi"/>
          <w:b/>
          <w:bCs/>
          <w:sz w:val="28"/>
          <w:szCs w:val="28"/>
        </w:rPr>
      </w:pPr>
      <w:r w:rsidRPr="00A53513">
        <w:rPr>
          <w:rFonts w:asciiTheme="majorHAnsi" w:hAnsiTheme="majorHAnsi" w:cstheme="majorHAnsi"/>
          <w:b/>
          <w:bCs/>
          <w:sz w:val="28"/>
          <w:szCs w:val="28"/>
        </w:rPr>
        <w:t>III. Yêu cầu về kỹ thuật/chỉ dẫn kỹ thuật</w:t>
      </w:r>
    </w:p>
    <w:p w14:paraId="737C3CB8" w14:textId="77777777" w:rsidR="00A53513" w:rsidRPr="00A53513" w:rsidRDefault="00A53513" w:rsidP="00A53513">
      <w:pPr>
        <w:widowControl w:val="0"/>
        <w:autoSpaceDE w:val="0"/>
        <w:autoSpaceDN w:val="0"/>
        <w:spacing w:before="20" w:after="20" w:line="247" w:lineRule="auto"/>
        <w:ind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Toàn bộ các yêu cầu về mặt kỹ</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thuật/chỉ dẫn kỹ</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thuật được soạn thảo dựa</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trên cơ sở quy mô, tính chất của dự án, gói thầu và tuân thủ quy định của pháp luật xây dựng chuyên ngành về quản lý chất lượng công trình xây dựng.</w:t>
      </w:r>
    </w:p>
    <w:p w14:paraId="003249FF" w14:textId="77777777" w:rsidR="00A53513" w:rsidRPr="00A53513" w:rsidRDefault="00A53513" w:rsidP="00A53513">
      <w:pPr>
        <w:widowControl w:val="0"/>
        <w:autoSpaceDE w:val="0"/>
        <w:autoSpaceDN w:val="0"/>
        <w:spacing w:before="20" w:after="20" w:line="247" w:lineRule="auto"/>
        <w:ind w:firstLine="567"/>
        <w:rPr>
          <w:rFonts w:asciiTheme="majorHAnsi" w:hAnsiTheme="majorHAnsi" w:cstheme="majorHAnsi"/>
          <w:sz w:val="28"/>
          <w:szCs w:val="28"/>
          <w:lang w:val="vi-VN"/>
        </w:rPr>
      </w:pPr>
      <w:r w:rsidRPr="00A53513">
        <w:rPr>
          <w:rFonts w:asciiTheme="majorHAnsi" w:hAnsiTheme="majorHAnsi" w:cstheme="majorHAnsi"/>
          <w:sz w:val="28"/>
          <w:szCs w:val="28"/>
        </w:rPr>
        <w:t>Nhà thầu</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phải tuân thủ toàn bộ các nội dung, yêu cầu trong hồ sơ thiết kế và tài liệu kỹ thuật đính kèm.</w:t>
      </w:r>
    </w:p>
    <w:p w14:paraId="244D6586" w14:textId="77777777" w:rsidR="00A53513" w:rsidRPr="00A53513" w:rsidRDefault="00A53513" w:rsidP="00A53513">
      <w:pPr>
        <w:widowControl w:val="0"/>
        <w:autoSpaceDE w:val="0"/>
        <w:autoSpaceDN w:val="0"/>
        <w:spacing w:before="20" w:after="20" w:line="247" w:lineRule="auto"/>
        <w:ind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Yêu cầu về mặt kỹ thuật/chỉ dẫn kỹ thuật theo Hồ thiết kế bản vẽ thi công đầu tư xây dựng kèm theo và các nội dung chủ yếu sau:</w:t>
      </w:r>
    </w:p>
    <w:p w14:paraId="483C8DC3" w14:textId="77777777" w:rsidR="00A53513" w:rsidRPr="00A53513" w:rsidRDefault="00A53513" w:rsidP="00A53513">
      <w:pPr>
        <w:spacing w:line="276" w:lineRule="auto"/>
        <w:ind w:firstLineChars="202" w:firstLine="568"/>
        <w:rPr>
          <w:rFonts w:asciiTheme="majorHAnsi" w:hAnsiTheme="majorHAnsi" w:cstheme="majorHAnsi"/>
          <w:b/>
          <w:sz w:val="28"/>
          <w:szCs w:val="28"/>
        </w:rPr>
      </w:pPr>
      <w:r w:rsidRPr="00A53513">
        <w:rPr>
          <w:rFonts w:asciiTheme="majorHAnsi" w:hAnsiTheme="majorHAnsi" w:cstheme="majorHAnsi"/>
          <w:b/>
          <w:sz w:val="28"/>
          <w:szCs w:val="28"/>
        </w:rPr>
        <w:t>1. Danh mục tiêu chuẩn chủ yếu được lựa chọn áp dụng.</w:t>
      </w: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239"/>
        <w:gridCol w:w="2746"/>
      </w:tblGrid>
      <w:tr w:rsidR="00A53513" w:rsidRPr="00A53513" w14:paraId="7F75D1C1" w14:textId="77777777" w:rsidTr="00FA281D">
        <w:trPr>
          <w:trHeight w:val="654"/>
          <w:tblHeader/>
          <w:jc w:val="center"/>
        </w:trPr>
        <w:tc>
          <w:tcPr>
            <w:tcW w:w="399" w:type="pct"/>
            <w:tcBorders>
              <w:top w:val="single" w:sz="4" w:space="0" w:color="auto"/>
              <w:left w:val="single" w:sz="4" w:space="0" w:color="auto"/>
              <w:bottom w:val="single" w:sz="4" w:space="0" w:color="auto"/>
              <w:right w:val="single" w:sz="4" w:space="0" w:color="auto"/>
            </w:tcBorders>
            <w:vAlign w:val="center"/>
            <w:hideMark/>
          </w:tcPr>
          <w:p w14:paraId="56175006" w14:textId="77777777" w:rsidR="00A53513" w:rsidRPr="00A53513" w:rsidRDefault="00A53513" w:rsidP="00FA281D">
            <w:pPr>
              <w:spacing w:before="40" w:after="40"/>
              <w:jc w:val="center"/>
              <w:rPr>
                <w:rFonts w:asciiTheme="majorHAnsi" w:eastAsia="Arial" w:hAnsiTheme="majorHAnsi" w:cstheme="majorHAnsi"/>
                <w:b/>
                <w:bCs/>
                <w:sz w:val="28"/>
                <w:szCs w:val="28"/>
              </w:rPr>
            </w:pPr>
            <w:proofErr w:type="spellStart"/>
            <w:r w:rsidRPr="00A53513">
              <w:rPr>
                <w:rFonts w:asciiTheme="majorHAnsi" w:eastAsia="Arial" w:hAnsiTheme="majorHAnsi" w:cstheme="majorHAnsi"/>
                <w:b/>
                <w:bCs/>
                <w:sz w:val="28"/>
                <w:szCs w:val="28"/>
              </w:rPr>
              <w:t>Stt</w:t>
            </w:r>
            <w:proofErr w:type="spellEnd"/>
          </w:p>
        </w:tc>
        <w:tc>
          <w:tcPr>
            <w:tcW w:w="3195" w:type="pct"/>
            <w:tcBorders>
              <w:top w:val="single" w:sz="4" w:space="0" w:color="auto"/>
              <w:left w:val="single" w:sz="4" w:space="0" w:color="auto"/>
              <w:bottom w:val="single" w:sz="4" w:space="0" w:color="auto"/>
              <w:right w:val="single" w:sz="4" w:space="0" w:color="auto"/>
            </w:tcBorders>
            <w:vAlign w:val="center"/>
            <w:hideMark/>
          </w:tcPr>
          <w:p w14:paraId="5765DC61" w14:textId="77777777" w:rsidR="00A53513" w:rsidRPr="00A53513" w:rsidRDefault="00A53513" w:rsidP="00FA281D">
            <w:pPr>
              <w:spacing w:before="40" w:after="40"/>
              <w:ind w:hanging="31"/>
              <w:jc w:val="center"/>
              <w:rPr>
                <w:rFonts w:asciiTheme="majorHAnsi" w:eastAsia="Arial" w:hAnsiTheme="majorHAnsi" w:cstheme="majorHAnsi"/>
                <w:b/>
                <w:bCs/>
                <w:sz w:val="28"/>
                <w:szCs w:val="28"/>
                <w:lang w:val="vi-VN"/>
              </w:rPr>
            </w:pPr>
            <w:r w:rsidRPr="00A53513">
              <w:rPr>
                <w:rFonts w:asciiTheme="majorHAnsi" w:eastAsia="Arial" w:hAnsiTheme="majorHAnsi" w:cstheme="majorHAnsi"/>
                <w:b/>
                <w:sz w:val="28"/>
                <w:szCs w:val="28"/>
                <w:lang w:val="nl-NL"/>
              </w:rPr>
              <w:t>Tiêu chuẩn, Quy chuẩn</w:t>
            </w:r>
          </w:p>
        </w:tc>
        <w:tc>
          <w:tcPr>
            <w:tcW w:w="1406" w:type="pct"/>
            <w:tcBorders>
              <w:top w:val="single" w:sz="4" w:space="0" w:color="auto"/>
              <w:left w:val="single" w:sz="4" w:space="0" w:color="auto"/>
              <w:bottom w:val="single" w:sz="4" w:space="0" w:color="auto"/>
              <w:right w:val="single" w:sz="4" w:space="0" w:color="auto"/>
            </w:tcBorders>
            <w:vAlign w:val="center"/>
            <w:hideMark/>
          </w:tcPr>
          <w:p w14:paraId="79C46C25" w14:textId="77777777" w:rsidR="00A53513" w:rsidRPr="00A53513" w:rsidRDefault="00A53513" w:rsidP="00FA281D">
            <w:pPr>
              <w:spacing w:before="40" w:after="40"/>
              <w:ind w:firstLine="108"/>
              <w:jc w:val="center"/>
              <w:rPr>
                <w:rFonts w:asciiTheme="majorHAnsi" w:eastAsia="Arial" w:hAnsiTheme="majorHAnsi" w:cstheme="majorHAnsi"/>
                <w:b/>
                <w:bCs/>
                <w:sz w:val="28"/>
                <w:szCs w:val="28"/>
                <w:lang w:val="vi-VN"/>
              </w:rPr>
            </w:pPr>
            <w:r w:rsidRPr="00A53513">
              <w:rPr>
                <w:rFonts w:asciiTheme="majorHAnsi" w:eastAsia="Arial" w:hAnsiTheme="majorHAnsi" w:cstheme="majorHAnsi"/>
                <w:b/>
                <w:bCs/>
                <w:sz w:val="28"/>
                <w:szCs w:val="28"/>
                <w:lang w:val="vi-VN"/>
              </w:rPr>
              <w:t>Mã hiệu</w:t>
            </w:r>
          </w:p>
        </w:tc>
      </w:tr>
      <w:tr w:rsidR="00A53513" w:rsidRPr="00A53513" w14:paraId="45A04C84" w14:textId="77777777" w:rsidTr="00FA281D">
        <w:trPr>
          <w:trHeight w:val="731"/>
          <w:jc w:val="center"/>
        </w:trPr>
        <w:tc>
          <w:tcPr>
            <w:tcW w:w="399" w:type="pct"/>
            <w:tcBorders>
              <w:top w:val="single" w:sz="4" w:space="0" w:color="auto"/>
              <w:left w:val="single" w:sz="4" w:space="0" w:color="auto"/>
              <w:bottom w:val="single" w:sz="4" w:space="0" w:color="auto"/>
              <w:right w:val="single" w:sz="4" w:space="0" w:color="auto"/>
            </w:tcBorders>
            <w:vAlign w:val="center"/>
            <w:hideMark/>
          </w:tcPr>
          <w:p w14:paraId="65FCE54D" w14:textId="77777777" w:rsidR="00A53513" w:rsidRPr="00A53513" w:rsidRDefault="00A53513" w:rsidP="00FA281D">
            <w:pPr>
              <w:spacing w:before="40" w:after="40"/>
              <w:ind w:left="-298" w:right="-471" w:hanging="128"/>
              <w:jc w:val="center"/>
              <w:rPr>
                <w:rFonts w:asciiTheme="majorHAnsi" w:eastAsia="Arial" w:hAnsiTheme="majorHAnsi" w:cstheme="majorHAnsi"/>
                <w:b/>
                <w:sz w:val="28"/>
                <w:szCs w:val="28"/>
                <w:lang w:val="nl-NL"/>
              </w:rPr>
            </w:pPr>
            <w:r w:rsidRPr="00A53513">
              <w:rPr>
                <w:rFonts w:asciiTheme="majorHAnsi" w:eastAsia="Arial" w:hAnsiTheme="majorHAnsi" w:cstheme="majorHAnsi"/>
                <w:b/>
                <w:sz w:val="28"/>
                <w:szCs w:val="28"/>
                <w:lang w:val="nl-NL"/>
              </w:rPr>
              <w:t>A</w:t>
            </w:r>
          </w:p>
        </w:tc>
        <w:tc>
          <w:tcPr>
            <w:tcW w:w="3195" w:type="pct"/>
            <w:tcBorders>
              <w:top w:val="single" w:sz="4" w:space="0" w:color="auto"/>
              <w:left w:val="single" w:sz="4" w:space="0" w:color="auto"/>
              <w:bottom w:val="single" w:sz="4" w:space="0" w:color="auto"/>
              <w:right w:val="single" w:sz="4" w:space="0" w:color="auto"/>
            </w:tcBorders>
            <w:vAlign w:val="center"/>
            <w:hideMark/>
          </w:tcPr>
          <w:p w14:paraId="31F5B57B"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eastAsia="Arial" w:hAnsiTheme="majorHAnsi" w:cstheme="majorHAnsi"/>
                <w:b/>
                <w:sz w:val="28"/>
                <w:szCs w:val="28"/>
                <w:lang w:val="vi-VN"/>
              </w:rPr>
              <w:t>Tiêu chuẩn áp dụng cho công tác khảo sát</w:t>
            </w:r>
          </w:p>
        </w:tc>
        <w:tc>
          <w:tcPr>
            <w:tcW w:w="1406" w:type="pct"/>
            <w:tcBorders>
              <w:top w:val="single" w:sz="4" w:space="0" w:color="auto"/>
              <w:left w:val="single" w:sz="4" w:space="0" w:color="auto"/>
              <w:bottom w:val="single" w:sz="4" w:space="0" w:color="auto"/>
              <w:right w:val="single" w:sz="4" w:space="0" w:color="auto"/>
            </w:tcBorders>
            <w:vAlign w:val="center"/>
          </w:tcPr>
          <w:p w14:paraId="3A4008D9" w14:textId="77777777" w:rsidR="00A53513" w:rsidRPr="00A53513" w:rsidRDefault="00A53513" w:rsidP="00FA281D">
            <w:pPr>
              <w:spacing w:before="40" w:after="40"/>
              <w:ind w:firstLine="108"/>
              <w:jc w:val="center"/>
              <w:rPr>
                <w:rFonts w:asciiTheme="majorHAnsi" w:eastAsia="Arial" w:hAnsiTheme="majorHAnsi" w:cstheme="majorHAnsi"/>
                <w:sz w:val="28"/>
                <w:szCs w:val="28"/>
                <w:lang w:val="nl-NL"/>
              </w:rPr>
            </w:pPr>
          </w:p>
        </w:tc>
      </w:tr>
      <w:tr w:rsidR="00A53513" w:rsidRPr="00A53513" w14:paraId="451ED3E7"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31A43C12"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hideMark/>
          </w:tcPr>
          <w:p w14:paraId="04A14965"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Khảo sát cho xây dựng - Nguyên tắc cơ bản</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A896CC7" w14:textId="77777777" w:rsidR="00A53513" w:rsidRPr="00A53513" w:rsidRDefault="00A53513" w:rsidP="00FA281D">
            <w:pPr>
              <w:spacing w:before="40" w:after="40"/>
              <w:ind w:hanging="63"/>
              <w:jc w:val="center"/>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TCVN 4419:1987</w:t>
            </w:r>
          </w:p>
        </w:tc>
      </w:tr>
      <w:tr w:rsidR="00A53513" w:rsidRPr="00A53513" w14:paraId="45925AFA"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4AB414F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hideMark/>
          </w:tcPr>
          <w:p w14:paraId="79943B16"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Công tác trắc địa trong xây dựng công trình - Yêu cầu chung</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6ABBD84" w14:textId="77777777" w:rsidR="00A53513" w:rsidRPr="00A53513" w:rsidRDefault="00A53513" w:rsidP="00FA281D">
            <w:pPr>
              <w:spacing w:before="40" w:after="40"/>
              <w:ind w:hanging="63"/>
              <w:jc w:val="center"/>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TCVN 9398:2012</w:t>
            </w:r>
          </w:p>
        </w:tc>
      </w:tr>
      <w:tr w:rsidR="00A53513" w:rsidRPr="00A53513" w14:paraId="2770C322"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1AB9037C"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hideMark/>
          </w:tcPr>
          <w:p w14:paraId="46C77DA5"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 xml:space="preserve">Kỹ thuật đo và xử lý số liệu GPS trong trắc địa công trình </w:t>
            </w:r>
          </w:p>
        </w:tc>
        <w:tc>
          <w:tcPr>
            <w:tcW w:w="1406" w:type="pct"/>
            <w:tcBorders>
              <w:top w:val="single" w:sz="4" w:space="0" w:color="auto"/>
              <w:left w:val="single" w:sz="4" w:space="0" w:color="auto"/>
              <w:bottom w:val="single" w:sz="4" w:space="0" w:color="auto"/>
              <w:right w:val="single" w:sz="4" w:space="0" w:color="auto"/>
            </w:tcBorders>
            <w:vAlign w:val="center"/>
            <w:hideMark/>
          </w:tcPr>
          <w:p w14:paraId="6E2BF55C" w14:textId="77777777" w:rsidR="00A53513" w:rsidRPr="00A53513" w:rsidRDefault="00A53513" w:rsidP="00FA281D">
            <w:pPr>
              <w:spacing w:before="40" w:after="40"/>
              <w:ind w:hanging="63"/>
              <w:jc w:val="center"/>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TCVN 9401:2012</w:t>
            </w:r>
          </w:p>
        </w:tc>
      </w:tr>
      <w:tr w:rsidR="00A53513" w:rsidRPr="00A53513" w14:paraId="45684AA0"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2BFABACE"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tcPr>
          <w:p w14:paraId="4CDD474D"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Quy chuẩn kỹ thuật quốc gia về xây dựng lưới độ cao</w:t>
            </w:r>
          </w:p>
        </w:tc>
        <w:tc>
          <w:tcPr>
            <w:tcW w:w="1406" w:type="pct"/>
            <w:tcBorders>
              <w:top w:val="single" w:sz="4" w:space="0" w:color="auto"/>
              <w:left w:val="single" w:sz="4" w:space="0" w:color="auto"/>
              <w:bottom w:val="single" w:sz="4" w:space="0" w:color="auto"/>
              <w:right w:val="single" w:sz="4" w:space="0" w:color="auto"/>
            </w:tcBorders>
            <w:vAlign w:val="center"/>
          </w:tcPr>
          <w:p w14:paraId="60054656"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QCVN 11:2008/BTNMT</w:t>
            </w:r>
          </w:p>
        </w:tc>
      </w:tr>
      <w:tr w:rsidR="00A53513" w:rsidRPr="00A53513" w14:paraId="7F571C30"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4D03BFDB"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hideMark/>
          </w:tcPr>
          <w:p w14:paraId="23E40555"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Đường ô tô -  Tiêu chuẩn khảo sát</w:t>
            </w:r>
          </w:p>
        </w:tc>
        <w:tc>
          <w:tcPr>
            <w:tcW w:w="1406" w:type="pct"/>
            <w:tcBorders>
              <w:top w:val="single" w:sz="4" w:space="0" w:color="auto"/>
              <w:left w:val="single" w:sz="4" w:space="0" w:color="auto"/>
              <w:bottom w:val="single" w:sz="4" w:space="0" w:color="auto"/>
              <w:right w:val="single" w:sz="4" w:space="0" w:color="auto"/>
            </w:tcBorders>
            <w:vAlign w:val="center"/>
            <w:hideMark/>
          </w:tcPr>
          <w:p w14:paraId="7DAD605F" w14:textId="77777777" w:rsidR="00A53513" w:rsidRPr="00A53513" w:rsidRDefault="00A53513" w:rsidP="00FA281D">
            <w:pPr>
              <w:spacing w:before="40" w:after="40"/>
              <w:ind w:hanging="63"/>
              <w:jc w:val="center"/>
              <w:rPr>
                <w:rFonts w:asciiTheme="majorHAnsi" w:eastAsia="Arial" w:hAnsiTheme="majorHAnsi" w:cstheme="majorHAnsi"/>
                <w:sz w:val="28"/>
                <w:szCs w:val="28"/>
                <w:lang w:val="nl-NL"/>
              </w:rPr>
            </w:pPr>
            <w:r w:rsidRPr="00A53513">
              <w:rPr>
                <w:rFonts w:asciiTheme="majorHAnsi" w:eastAsia="Arial" w:hAnsiTheme="majorHAnsi" w:cstheme="majorHAnsi"/>
                <w:sz w:val="28"/>
                <w:szCs w:val="28"/>
                <w:lang w:val="nl-NL"/>
              </w:rPr>
              <w:t>TCCS 31:2020/TCĐBVN</w:t>
            </w:r>
          </w:p>
        </w:tc>
      </w:tr>
      <w:tr w:rsidR="00A53513" w:rsidRPr="00A53513" w14:paraId="7D40E768"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4BE14B0F"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Borders>
              <w:top w:val="single" w:sz="4" w:space="0" w:color="auto"/>
              <w:left w:val="single" w:sz="4" w:space="0" w:color="auto"/>
              <w:bottom w:val="single" w:sz="4" w:space="0" w:color="auto"/>
              <w:right w:val="single" w:sz="4" w:space="0" w:color="auto"/>
            </w:tcBorders>
            <w:vAlign w:val="center"/>
          </w:tcPr>
          <w:p w14:paraId="1D094E66" w14:textId="77777777" w:rsidR="00A53513" w:rsidRPr="00A53513" w:rsidRDefault="00A53513" w:rsidP="00FA281D">
            <w:pPr>
              <w:pStyle w:val="Khc0"/>
              <w:shd w:val="clear" w:color="auto" w:fill="auto"/>
              <w:spacing w:before="40"/>
              <w:ind w:firstLine="0"/>
              <w:rPr>
                <w:rFonts w:asciiTheme="majorHAnsi" w:hAnsiTheme="majorHAnsi" w:cstheme="majorHAnsi"/>
                <w:lang w:val="nl-NL"/>
              </w:rPr>
            </w:pPr>
            <w:r w:rsidRPr="00A53513">
              <w:rPr>
                <w:rFonts w:asciiTheme="majorHAnsi" w:hAnsiTheme="majorHAnsi" w:cstheme="majorHAnsi"/>
                <w:lang w:eastAsia="vi-VN" w:bidi="vi-VN"/>
              </w:rPr>
              <w:t>Quy định kỹ thuật đo đạc trực tiếp địa hình phục vụ thành lập bản đồ địa hình và cơ sở dữ liệu nền địa lý tỷ lệ 1:500, 1:1000, 1:2000, 1:5000</w:t>
            </w:r>
          </w:p>
        </w:tc>
        <w:tc>
          <w:tcPr>
            <w:tcW w:w="1406" w:type="pct"/>
            <w:tcBorders>
              <w:top w:val="single" w:sz="4" w:space="0" w:color="auto"/>
              <w:left w:val="single" w:sz="4" w:space="0" w:color="auto"/>
              <w:bottom w:val="single" w:sz="4" w:space="0" w:color="auto"/>
              <w:right w:val="single" w:sz="4" w:space="0" w:color="auto"/>
            </w:tcBorders>
            <w:vAlign w:val="center"/>
          </w:tcPr>
          <w:p w14:paraId="091171A1" w14:textId="77777777" w:rsidR="00A53513" w:rsidRPr="00A53513" w:rsidRDefault="00A53513" w:rsidP="00FA281D">
            <w:pPr>
              <w:pStyle w:val="Khc0"/>
              <w:shd w:val="clear" w:color="auto" w:fill="auto"/>
              <w:spacing w:before="40"/>
              <w:ind w:firstLine="0"/>
              <w:jc w:val="center"/>
              <w:rPr>
                <w:rFonts w:asciiTheme="majorHAnsi" w:hAnsiTheme="majorHAnsi" w:cstheme="majorHAnsi"/>
                <w:lang w:val="nl-NL"/>
              </w:rPr>
            </w:pPr>
            <w:r w:rsidRPr="00A53513">
              <w:rPr>
                <w:rFonts w:asciiTheme="majorHAnsi" w:hAnsiTheme="majorHAnsi" w:cstheme="majorHAnsi"/>
                <w:lang w:eastAsia="vi-VN" w:bidi="vi-VN"/>
              </w:rPr>
              <w:t>Thông tư 68/2015/TT- BTNMT ngày 22/12/2015</w:t>
            </w:r>
          </w:p>
        </w:tc>
      </w:tr>
      <w:tr w:rsidR="00A53513" w:rsidRPr="00A53513" w14:paraId="7937B315"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3DFA6A48"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4ACC1C67"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Áo đường mềm - Xác định mô đun đàn hồi chung của kết cấu áo đường bằng cần đo võng Benkelman</w:t>
            </w:r>
          </w:p>
        </w:tc>
        <w:tc>
          <w:tcPr>
            <w:tcW w:w="1406" w:type="pct"/>
            <w:tcBorders>
              <w:top w:val="single" w:sz="4" w:space="0" w:color="auto"/>
              <w:left w:val="single" w:sz="4" w:space="0" w:color="auto"/>
              <w:bottom w:val="single" w:sz="4" w:space="0" w:color="auto"/>
              <w:right w:val="single" w:sz="4" w:space="0" w:color="auto"/>
            </w:tcBorders>
            <w:vAlign w:val="center"/>
          </w:tcPr>
          <w:p w14:paraId="136A89DE"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TCVN 8867-2025</w:t>
            </w:r>
          </w:p>
        </w:tc>
      </w:tr>
      <w:tr w:rsidR="00A53513" w:rsidRPr="00A53513" w14:paraId="6772F20D" w14:textId="77777777" w:rsidTr="00FA281D">
        <w:trPr>
          <w:trHeight w:val="685"/>
          <w:jc w:val="center"/>
        </w:trPr>
        <w:tc>
          <w:tcPr>
            <w:tcW w:w="399" w:type="pct"/>
            <w:tcBorders>
              <w:top w:val="single" w:sz="4" w:space="0" w:color="auto"/>
              <w:left w:val="single" w:sz="4" w:space="0" w:color="auto"/>
              <w:bottom w:val="single" w:sz="4" w:space="0" w:color="auto"/>
              <w:right w:val="single" w:sz="4" w:space="0" w:color="auto"/>
            </w:tcBorders>
            <w:vAlign w:val="center"/>
          </w:tcPr>
          <w:p w14:paraId="68DE17A0" w14:textId="77777777" w:rsidR="00A53513" w:rsidRPr="00A53513" w:rsidRDefault="00A53513" w:rsidP="00FA281D">
            <w:pPr>
              <w:spacing w:before="40" w:after="40"/>
              <w:ind w:left="-298" w:right="-471" w:hanging="128"/>
              <w:jc w:val="center"/>
              <w:rPr>
                <w:rFonts w:asciiTheme="majorHAnsi" w:eastAsia="Arial" w:hAnsiTheme="majorHAnsi" w:cstheme="majorHAnsi"/>
                <w:b/>
                <w:sz w:val="28"/>
                <w:szCs w:val="28"/>
              </w:rPr>
            </w:pPr>
            <w:r w:rsidRPr="00A53513">
              <w:rPr>
                <w:rFonts w:asciiTheme="majorHAnsi" w:eastAsia="Arial" w:hAnsiTheme="majorHAnsi" w:cstheme="majorHAnsi"/>
                <w:b/>
                <w:sz w:val="28"/>
                <w:szCs w:val="28"/>
              </w:rPr>
              <w:t>B</w:t>
            </w:r>
          </w:p>
        </w:tc>
        <w:tc>
          <w:tcPr>
            <w:tcW w:w="4601" w:type="pct"/>
            <w:gridSpan w:val="2"/>
            <w:tcBorders>
              <w:top w:val="single" w:sz="4" w:space="0" w:color="auto"/>
              <w:left w:val="single" w:sz="4" w:space="0" w:color="auto"/>
              <w:bottom w:val="single" w:sz="4" w:space="0" w:color="auto"/>
              <w:right w:val="single" w:sz="4" w:space="0" w:color="auto"/>
            </w:tcBorders>
            <w:vAlign w:val="center"/>
            <w:hideMark/>
          </w:tcPr>
          <w:p w14:paraId="2B3D3DA7" w14:textId="77777777" w:rsidR="00A53513" w:rsidRPr="00A53513" w:rsidRDefault="00A53513" w:rsidP="00FA281D">
            <w:pPr>
              <w:spacing w:before="40" w:after="40"/>
              <w:ind w:hanging="63"/>
              <w:rPr>
                <w:rFonts w:asciiTheme="majorHAnsi" w:eastAsia="Arial" w:hAnsiTheme="majorHAnsi" w:cstheme="majorHAnsi"/>
                <w:b/>
                <w:i/>
                <w:sz w:val="28"/>
                <w:szCs w:val="28"/>
                <w:lang w:val="vi-VN"/>
              </w:rPr>
            </w:pPr>
            <w:r w:rsidRPr="00A53513">
              <w:rPr>
                <w:rFonts w:asciiTheme="majorHAnsi" w:eastAsia="Arial" w:hAnsiTheme="majorHAnsi" w:cstheme="majorHAnsi"/>
                <w:b/>
                <w:sz w:val="28"/>
                <w:szCs w:val="28"/>
                <w:lang w:val="nl-NL"/>
              </w:rPr>
              <w:t>Tiêu chuẩn áp dụng cho công tác thiết kế</w:t>
            </w:r>
          </w:p>
        </w:tc>
      </w:tr>
      <w:tr w:rsidR="00A53513" w:rsidRPr="00A53513" w14:paraId="64AB0D55" w14:textId="77777777" w:rsidTr="00FA281D">
        <w:trPr>
          <w:trHeight w:val="482"/>
          <w:jc w:val="center"/>
        </w:trPr>
        <w:tc>
          <w:tcPr>
            <w:tcW w:w="399" w:type="pct"/>
            <w:vAlign w:val="center"/>
          </w:tcPr>
          <w:p w14:paraId="3FBCDA6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4B12862B"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Quy chuẩn kỹ thuật quốc gia về báo hiệu đường bộ</w:t>
            </w:r>
          </w:p>
        </w:tc>
        <w:tc>
          <w:tcPr>
            <w:tcW w:w="1406" w:type="pct"/>
            <w:vAlign w:val="center"/>
          </w:tcPr>
          <w:p w14:paraId="20B1EBAD"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QCVN 41:2024/BGTVT</w:t>
            </w:r>
          </w:p>
        </w:tc>
      </w:tr>
      <w:tr w:rsidR="00A53513" w:rsidRPr="00A53513" w14:paraId="50067876" w14:textId="77777777" w:rsidTr="00FA281D">
        <w:trPr>
          <w:trHeight w:val="482"/>
          <w:jc w:val="center"/>
        </w:trPr>
        <w:tc>
          <w:tcPr>
            <w:tcW w:w="399" w:type="pct"/>
            <w:vAlign w:val="center"/>
          </w:tcPr>
          <w:p w14:paraId="112B6CA5"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49F3A598"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Đường ô tô - Yêu cầu thiết kế</w:t>
            </w:r>
          </w:p>
        </w:tc>
        <w:tc>
          <w:tcPr>
            <w:tcW w:w="1406" w:type="pct"/>
            <w:vAlign w:val="center"/>
          </w:tcPr>
          <w:p w14:paraId="2324A624"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TCVN 4054:2005</w:t>
            </w:r>
          </w:p>
        </w:tc>
      </w:tr>
      <w:tr w:rsidR="00A53513" w:rsidRPr="00A53513" w14:paraId="21BA3BD2" w14:textId="77777777" w:rsidTr="00FA281D">
        <w:trPr>
          <w:trHeight w:val="482"/>
          <w:jc w:val="center"/>
        </w:trPr>
        <w:tc>
          <w:tcPr>
            <w:tcW w:w="399" w:type="pct"/>
            <w:vAlign w:val="center"/>
          </w:tcPr>
          <w:p w14:paraId="2348285A"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2240C43D"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Áo đường mềm - các yêu cầu và chỉ dẫn thiết kế</w:t>
            </w:r>
          </w:p>
        </w:tc>
        <w:tc>
          <w:tcPr>
            <w:tcW w:w="1406" w:type="pct"/>
            <w:vAlign w:val="center"/>
          </w:tcPr>
          <w:p w14:paraId="29B50CD6"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TCCS 38:2022/TCĐBVN</w:t>
            </w:r>
          </w:p>
        </w:tc>
      </w:tr>
      <w:tr w:rsidR="00A53513" w:rsidRPr="00A53513" w14:paraId="40B1A8E9" w14:textId="77777777" w:rsidTr="00FA281D">
        <w:trPr>
          <w:trHeight w:val="482"/>
          <w:jc w:val="center"/>
        </w:trPr>
        <w:tc>
          <w:tcPr>
            <w:tcW w:w="399" w:type="pct"/>
            <w:vAlign w:val="center"/>
          </w:tcPr>
          <w:p w14:paraId="0095A51C"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07EBD108"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Tiêu chuẩn thiết kế áo đường cứng đường ô tô</w:t>
            </w:r>
          </w:p>
        </w:tc>
        <w:tc>
          <w:tcPr>
            <w:tcW w:w="1406" w:type="pct"/>
            <w:vAlign w:val="center"/>
          </w:tcPr>
          <w:p w14:paraId="7CBED9AC"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TCCS 39-40:2022/ TCĐBVN</w:t>
            </w:r>
          </w:p>
        </w:tc>
      </w:tr>
      <w:tr w:rsidR="00A53513" w:rsidRPr="00A53513" w14:paraId="0882DE1E" w14:textId="77777777" w:rsidTr="00FA281D">
        <w:trPr>
          <w:trHeight w:val="482"/>
          <w:jc w:val="center"/>
        </w:trPr>
        <w:tc>
          <w:tcPr>
            <w:tcW w:w="399" w:type="pct"/>
            <w:vAlign w:val="center"/>
          </w:tcPr>
          <w:p w14:paraId="7AA9D9D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61162BB2"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Sửa chữa mặt đường bê tông xi măng thông thường có khe nối – Tiêu chuẩn thi công và nghiệm thu</w:t>
            </w:r>
          </w:p>
        </w:tc>
        <w:tc>
          <w:tcPr>
            <w:tcW w:w="1406" w:type="pct"/>
            <w:vAlign w:val="center"/>
          </w:tcPr>
          <w:p w14:paraId="2A9746C6" w14:textId="77777777" w:rsidR="00A53513" w:rsidRPr="00A53513" w:rsidRDefault="00A53513" w:rsidP="00FA281D">
            <w:pPr>
              <w:adjustRightInd w:val="0"/>
              <w:snapToGrid w:val="0"/>
              <w:spacing w:before="40" w:after="40"/>
              <w:ind w:left="-20" w:hanging="63"/>
              <w:jc w:val="center"/>
              <w:rPr>
                <w:rFonts w:asciiTheme="majorHAnsi" w:hAnsiTheme="majorHAnsi" w:cstheme="majorHAnsi"/>
                <w:sz w:val="28"/>
                <w:szCs w:val="28"/>
                <w:lang w:val="nl-NL"/>
              </w:rPr>
            </w:pPr>
            <w:r w:rsidRPr="00A53513">
              <w:rPr>
                <w:rFonts w:asciiTheme="majorHAnsi" w:hAnsiTheme="majorHAnsi" w:cstheme="majorHAnsi"/>
                <w:sz w:val="28"/>
                <w:szCs w:val="28"/>
              </w:rPr>
              <w:t>TCCS 12:2016/TCĐBVN</w:t>
            </w:r>
          </w:p>
        </w:tc>
      </w:tr>
      <w:tr w:rsidR="00A53513" w:rsidRPr="00A53513" w14:paraId="6313A64B" w14:textId="77777777" w:rsidTr="00FA281D">
        <w:trPr>
          <w:trHeight w:val="482"/>
          <w:jc w:val="center"/>
        </w:trPr>
        <w:tc>
          <w:tcPr>
            <w:tcW w:w="399" w:type="pct"/>
            <w:vAlign w:val="center"/>
          </w:tcPr>
          <w:p w14:paraId="1F8FE39E"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6E1BD925" w14:textId="77777777" w:rsidR="00A53513" w:rsidRPr="00A53513" w:rsidRDefault="00A53513" w:rsidP="00FA281D">
            <w:pPr>
              <w:pStyle w:val="Khc0"/>
              <w:shd w:val="clear" w:color="auto" w:fill="auto"/>
              <w:spacing w:before="40"/>
              <w:ind w:firstLine="0"/>
              <w:rPr>
                <w:rFonts w:asciiTheme="majorHAnsi" w:hAnsiTheme="majorHAnsi" w:cstheme="majorHAnsi"/>
                <w:lang w:val="nl-NL"/>
              </w:rPr>
            </w:pPr>
            <w:r w:rsidRPr="00A53513">
              <w:rPr>
                <w:rFonts w:asciiTheme="majorHAnsi" w:hAnsiTheme="majorHAnsi" w:cstheme="majorHAnsi"/>
                <w:lang w:eastAsia="vi-VN" w:bidi="vi-VN"/>
              </w:rPr>
              <w:t>Gờ giảm tốc, gồ giảm tốc trên đường bộ - Yêu cầu thiết kế</w:t>
            </w:r>
          </w:p>
        </w:tc>
        <w:tc>
          <w:tcPr>
            <w:tcW w:w="1406" w:type="pct"/>
            <w:vAlign w:val="center"/>
          </w:tcPr>
          <w:p w14:paraId="3D665BD9" w14:textId="77777777" w:rsidR="00A53513" w:rsidRPr="00A53513" w:rsidRDefault="00A53513" w:rsidP="00FA281D">
            <w:pPr>
              <w:pStyle w:val="Khc0"/>
              <w:shd w:val="clear" w:color="auto" w:fill="auto"/>
              <w:spacing w:before="40"/>
              <w:ind w:firstLine="0"/>
              <w:jc w:val="center"/>
              <w:rPr>
                <w:rFonts w:asciiTheme="majorHAnsi" w:hAnsiTheme="majorHAnsi" w:cstheme="majorHAnsi"/>
              </w:rPr>
            </w:pPr>
            <w:r w:rsidRPr="00A53513">
              <w:rPr>
                <w:rFonts w:asciiTheme="majorHAnsi" w:hAnsiTheme="majorHAnsi" w:cstheme="majorHAnsi"/>
                <w:lang w:eastAsia="vi-VN" w:bidi="vi-VN"/>
              </w:rPr>
              <w:t>TCCS</w:t>
            </w:r>
          </w:p>
          <w:p w14:paraId="1ADE73F8" w14:textId="77777777" w:rsidR="00A53513" w:rsidRPr="00A53513" w:rsidRDefault="00A53513" w:rsidP="00FA281D">
            <w:pPr>
              <w:pStyle w:val="Khc0"/>
              <w:shd w:val="clear" w:color="auto" w:fill="auto"/>
              <w:spacing w:before="40"/>
              <w:ind w:firstLine="0"/>
              <w:jc w:val="center"/>
              <w:rPr>
                <w:rFonts w:asciiTheme="majorHAnsi" w:hAnsiTheme="majorHAnsi" w:cstheme="majorHAnsi"/>
              </w:rPr>
            </w:pPr>
            <w:r w:rsidRPr="00A53513">
              <w:rPr>
                <w:rFonts w:asciiTheme="majorHAnsi" w:hAnsiTheme="majorHAnsi" w:cstheme="majorHAnsi"/>
                <w:lang w:eastAsia="vi-VN" w:bidi="vi-VN"/>
              </w:rPr>
              <w:t>34:2020/TCĐBVN</w:t>
            </w:r>
          </w:p>
        </w:tc>
      </w:tr>
      <w:tr w:rsidR="00A53513" w:rsidRPr="00A53513" w14:paraId="0E47C162" w14:textId="77777777" w:rsidTr="00FA281D">
        <w:trPr>
          <w:trHeight w:val="482"/>
          <w:jc w:val="center"/>
        </w:trPr>
        <w:tc>
          <w:tcPr>
            <w:tcW w:w="399" w:type="pct"/>
            <w:vAlign w:val="center"/>
          </w:tcPr>
          <w:p w14:paraId="03DF63BE"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2C0210FE" w14:textId="77777777" w:rsidR="00A53513" w:rsidRPr="00A53513" w:rsidRDefault="00A53513" w:rsidP="00FA281D">
            <w:pPr>
              <w:pStyle w:val="00-table"/>
              <w:jc w:val="left"/>
              <w:rPr>
                <w:rFonts w:asciiTheme="majorHAnsi" w:hAnsiTheme="majorHAnsi" w:cstheme="majorHAnsi"/>
                <w:sz w:val="28"/>
                <w:szCs w:val="28"/>
                <w:lang w:val="nl-NL"/>
              </w:rPr>
            </w:pPr>
            <w:r w:rsidRPr="00A53513">
              <w:rPr>
                <w:rFonts w:asciiTheme="majorHAnsi" w:hAnsiTheme="majorHAnsi" w:cstheme="majorHAnsi"/>
                <w:sz w:val="28"/>
                <w:szCs w:val="28"/>
                <w:lang w:val="nl-NL"/>
              </w:rPr>
              <w:t>Tiêu chuẩn kỹ thuật bảo dưỡng thường xuyên đường bộ</w:t>
            </w:r>
          </w:p>
        </w:tc>
        <w:tc>
          <w:tcPr>
            <w:tcW w:w="1406" w:type="pct"/>
            <w:vAlign w:val="center"/>
          </w:tcPr>
          <w:p w14:paraId="6652B71D" w14:textId="77777777" w:rsidR="00A53513" w:rsidRPr="00A53513" w:rsidRDefault="00A53513" w:rsidP="00FA281D">
            <w:pPr>
              <w:pStyle w:val="00-table"/>
              <w:rPr>
                <w:rFonts w:asciiTheme="majorHAnsi" w:hAnsiTheme="majorHAnsi" w:cstheme="majorHAnsi"/>
                <w:sz w:val="28"/>
                <w:szCs w:val="28"/>
              </w:rPr>
            </w:pPr>
            <w:r w:rsidRPr="00A53513">
              <w:rPr>
                <w:rFonts w:asciiTheme="majorHAnsi" w:hAnsiTheme="majorHAnsi" w:cstheme="majorHAnsi"/>
                <w:sz w:val="28"/>
                <w:szCs w:val="28"/>
              </w:rPr>
              <w:t>TCVN 14182:2024</w:t>
            </w:r>
          </w:p>
        </w:tc>
      </w:tr>
      <w:tr w:rsidR="00A53513" w:rsidRPr="00A53513" w14:paraId="655B1998" w14:textId="77777777" w:rsidTr="00FA281D">
        <w:trPr>
          <w:trHeight w:val="482"/>
          <w:jc w:val="center"/>
        </w:trPr>
        <w:tc>
          <w:tcPr>
            <w:tcW w:w="399" w:type="pct"/>
            <w:vAlign w:val="center"/>
          </w:tcPr>
          <w:p w14:paraId="71D28B04"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352BFE0F" w14:textId="77777777" w:rsidR="00A53513" w:rsidRPr="00A53513" w:rsidRDefault="00A53513" w:rsidP="00FA281D">
            <w:pPr>
              <w:pStyle w:val="00-table"/>
              <w:jc w:val="left"/>
              <w:rPr>
                <w:rFonts w:asciiTheme="majorHAnsi" w:hAnsiTheme="majorHAnsi" w:cstheme="majorHAnsi"/>
                <w:sz w:val="28"/>
                <w:szCs w:val="28"/>
                <w:lang w:val="nl-NL"/>
              </w:rPr>
            </w:pPr>
            <w:r w:rsidRPr="00A53513">
              <w:rPr>
                <w:rFonts w:asciiTheme="majorHAnsi" w:hAnsiTheme="majorHAnsi" w:cstheme="majorHAnsi"/>
                <w:sz w:val="28"/>
                <w:szCs w:val="28"/>
                <w:lang w:val="nl-NL"/>
              </w:rPr>
              <w:t>Trang thiết bị an toàn giao thông đường bộ - dải phân cách và lan can phòng hộ - kích thước và hình dạng</w:t>
            </w:r>
          </w:p>
        </w:tc>
        <w:tc>
          <w:tcPr>
            <w:tcW w:w="1406" w:type="pct"/>
            <w:vAlign w:val="center"/>
          </w:tcPr>
          <w:p w14:paraId="73BE449C" w14:textId="77777777" w:rsidR="00A53513" w:rsidRPr="00A53513" w:rsidRDefault="00A53513" w:rsidP="00FA281D">
            <w:pPr>
              <w:pStyle w:val="00-table"/>
              <w:rPr>
                <w:rFonts w:asciiTheme="majorHAnsi" w:hAnsiTheme="majorHAnsi" w:cstheme="majorHAnsi"/>
                <w:sz w:val="28"/>
                <w:szCs w:val="28"/>
              </w:rPr>
            </w:pPr>
            <w:r w:rsidRPr="00A53513">
              <w:rPr>
                <w:rFonts w:asciiTheme="majorHAnsi" w:hAnsiTheme="majorHAnsi" w:cstheme="majorHAnsi"/>
                <w:sz w:val="28"/>
                <w:szCs w:val="28"/>
              </w:rPr>
              <w:t>TCVN 12681:2019</w:t>
            </w:r>
          </w:p>
        </w:tc>
      </w:tr>
      <w:tr w:rsidR="00A53513" w:rsidRPr="00A53513" w14:paraId="3949D9F8" w14:textId="77777777" w:rsidTr="00FA281D">
        <w:trPr>
          <w:trHeight w:val="482"/>
          <w:jc w:val="center"/>
        </w:trPr>
        <w:tc>
          <w:tcPr>
            <w:tcW w:w="399" w:type="pct"/>
            <w:vAlign w:val="center"/>
          </w:tcPr>
          <w:p w14:paraId="72F1BF0C"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3F3B1F9A"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Nền đường ô tô - Thi công và nghiệm thu</w:t>
            </w:r>
          </w:p>
        </w:tc>
        <w:tc>
          <w:tcPr>
            <w:tcW w:w="1406" w:type="pct"/>
            <w:vAlign w:val="center"/>
          </w:tcPr>
          <w:p w14:paraId="5A3834AE"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TCVN 9436:2012</w:t>
            </w:r>
          </w:p>
        </w:tc>
      </w:tr>
      <w:tr w:rsidR="00A53513" w:rsidRPr="00A53513" w14:paraId="0D98523A" w14:textId="77777777" w:rsidTr="00FA281D">
        <w:trPr>
          <w:trHeight w:val="482"/>
          <w:jc w:val="center"/>
        </w:trPr>
        <w:tc>
          <w:tcPr>
            <w:tcW w:w="399" w:type="pct"/>
            <w:vAlign w:val="center"/>
          </w:tcPr>
          <w:p w14:paraId="613BC20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4C8E8212"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Kết cấu bê tông và bê tông cốt thép - Tiêu chuẩn thiết kế</w:t>
            </w:r>
          </w:p>
        </w:tc>
        <w:tc>
          <w:tcPr>
            <w:tcW w:w="1406" w:type="pct"/>
            <w:vAlign w:val="center"/>
          </w:tcPr>
          <w:p w14:paraId="1220C0FD"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TCVN 5574:2018</w:t>
            </w:r>
          </w:p>
        </w:tc>
      </w:tr>
      <w:tr w:rsidR="00A53513" w:rsidRPr="00A53513" w14:paraId="544AB852" w14:textId="77777777" w:rsidTr="00FA281D">
        <w:trPr>
          <w:trHeight w:val="482"/>
          <w:jc w:val="center"/>
        </w:trPr>
        <w:tc>
          <w:tcPr>
            <w:tcW w:w="399" w:type="pct"/>
            <w:tcBorders>
              <w:top w:val="single" w:sz="4" w:space="0" w:color="auto"/>
              <w:left w:val="single" w:sz="4" w:space="0" w:color="auto"/>
              <w:bottom w:val="single" w:sz="4" w:space="0" w:color="auto"/>
              <w:right w:val="single" w:sz="4" w:space="0" w:color="auto"/>
            </w:tcBorders>
            <w:vAlign w:val="center"/>
          </w:tcPr>
          <w:p w14:paraId="279723E8" w14:textId="77777777" w:rsidR="00A53513" w:rsidRPr="00A53513" w:rsidRDefault="00A53513" w:rsidP="00FA281D">
            <w:pPr>
              <w:spacing w:before="40" w:after="40"/>
              <w:ind w:left="-298" w:right="-471" w:hanging="128"/>
              <w:jc w:val="center"/>
              <w:rPr>
                <w:rFonts w:asciiTheme="majorHAnsi" w:eastAsia="Arial" w:hAnsiTheme="majorHAnsi" w:cstheme="majorHAnsi"/>
                <w:b/>
                <w:sz w:val="28"/>
                <w:szCs w:val="28"/>
              </w:rPr>
            </w:pPr>
            <w:r w:rsidRPr="00A53513">
              <w:rPr>
                <w:rFonts w:asciiTheme="majorHAnsi" w:eastAsia="Arial" w:hAnsiTheme="majorHAnsi" w:cstheme="majorHAnsi"/>
                <w:b/>
                <w:sz w:val="28"/>
                <w:szCs w:val="28"/>
              </w:rPr>
              <w:t>C</w:t>
            </w:r>
          </w:p>
        </w:tc>
        <w:tc>
          <w:tcPr>
            <w:tcW w:w="4601" w:type="pct"/>
            <w:gridSpan w:val="2"/>
            <w:tcBorders>
              <w:top w:val="single" w:sz="4" w:space="0" w:color="auto"/>
              <w:left w:val="single" w:sz="4" w:space="0" w:color="auto"/>
              <w:bottom w:val="single" w:sz="4" w:space="0" w:color="auto"/>
              <w:right w:val="single" w:sz="4" w:space="0" w:color="auto"/>
            </w:tcBorders>
            <w:vAlign w:val="center"/>
            <w:hideMark/>
          </w:tcPr>
          <w:p w14:paraId="6C4954E5" w14:textId="77777777" w:rsidR="00A53513" w:rsidRPr="00A53513" w:rsidRDefault="00A53513" w:rsidP="00FA281D">
            <w:pPr>
              <w:spacing w:before="40" w:after="40"/>
              <w:ind w:hanging="63"/>
              <w:rPr>
                <w:rFonts w:asciiTheme="majorHAnsi" w:eastAsia="Arial" w:hAnsiTheme="majorHAnsi" w:cstheme="majorHAnsi"/>
                <w:sz w:val="28"/>
                <w:szCs w:val="28"/>
                <w:lang w:val="vi-VN"/>
              </w:rPr>
            </w:pPr>
            <w:r w:rsidRPr="00A53513">
              <w:rPr>
                <w:rFonts w:asciiTheme="majorHAnsi" w:eastAsia="Arial" w:hAnsiTheme="majorHAnsi" w:cstheme="majorHAnsi"/>
                <w:b/>
                <w:sz w:val="28"/>
                <w:szCs w:val="28"/>
                <w:lang w:val="nl-NL"/>
              </w:rPr>
              <w:t>Tiêu chuẩn áp dụng cho công tác thi công, nghiệm thu</w:t>
            </w:r>
          </w:p>
        </w:tc>
      </w:tr>
      <w:tr w:rsidR="00A53513" w:rsidRPr="00A53513" w14:paraId="5BEE0E30" w14:textId="77777777" w:rsidTr="00FA281D">
        <w:trPr>
          <w:trHeight w:val="482"/>
          <w:jc w:val="center"/>
        </w:trPr>
        <w:tc>
          <w:tcPr>
            <w:tcW w:w="399" w:type="pct"/>
            <w:vAlign w:val="center"/>
          </w:tcPr>
          <w:p w14:paraId="518E079E"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50C70C78" w14:textId="77777777" w:rsidR="00A53513" w:rsidRPr="00A53513" w:rsidRDefault="00A53513" w:rsidP="00FA281D">
            <w:pPr>
              <w:spacing w:before="40" w:after="40"/>
              <w:rPr>
                <w:rFonts w:asciiTheme="majorHAnsi" w:eastAsia="Arial" w:hAnsiTheme="majorHAnsi" w:cstheme="majorHAnsi"/>
                <w:sz w:val="28"/>
                <w:szCs w:val="28"/>
                <w:lang w:val="nl-NL"/>
              </w:rPr>
            </w:pPr>
            <w:r w:rsidRPr="00A53513">
              <w:rPr>
                <w:rFonts w:asciiTheme="majorHAnsi" w:hAnsiTheme="majorHAnsi" w:cstheme="majorHAnsi"/>
                <w:sz w:val="28"/>
                <w:szCs w:val="28"/>
                <w:lang w:val="nl-NL"/>
              </w:rPr>
              <w:t>Quy trình thiết kế lập tổ chức xây dựng và thiết kế thi công</w:t>
            </w:r>
          </w:p>
        </w:tc>
        <w:tc>
          <w:tcPr>
            <w:tcW w:w="1406" w:type="pct"/>
            <w:vAlign w:val="center"/>
          </w:tcPr>
          <w:p w14:paraId="7F3629C9" w14:textId="77777777" w:rsidR="00A53513" w:rsidRPr="00A53513" w:rsidRDefault="00A53513" w:rsidP="00FA281D">
            <w:pPr>
              <w:adjustRightInd w:val="0"/>
              <w:snapToGrid w:val="0"/>
              <w:spacing w:before="40" w:after="40"/>
              <w:ind w:left="-20" w:hanging="63"/>
              <w:jc w:val="center"/>
              <w:rPr>
                <w:rFonts w:asciiTheme="majorHAnsi" w:eastAsia="Arial" w:hAnsiTheme="majorHAnsi" w:cstheme="majorHAnsi"/>
                <w:sz w:val="28"/>
                <w:szCs w:val="28"/>
                <w:lang w:val="nl-NL"/>
              </w:rPr>
            </w:pPr>
            <w:r w:rsidRPr="00A53513">
              <w:rPr>
                <w:rFonts w:asciiTheme="majorHAnsi" w:hAnsiTheme="majorHAnsi" w:cstheme="majorHAnsi"/>
                <w:sz w:val="28"/>
                <w:szCs w:val="28"/>
              </w:rPr>
              <w:t>TCVN 4252:2012</w:t>
            </w:r>
          </w:p>
        </w:tc>
      </w:tr>
      <w:tr w:rsidR="00A53513" w:rsidRPr="00A53513" w14:paraId="5E88944F" w14:textId="77777777" w:rsidTr="00FA281D">
        <w:trPr>
          <w:trHeight w:val="482"/>
          <w:jc w:val="center"/>
        </w:trPr>
        <w:tc>
          <w:tcPr>
            <w:tcW w:w="399" w:type="pct"/>
            <w:vAlign w:val="center"/>
          </w:tcPr>
          <w:p w14:paraId="56A31F2D"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4AEFF616"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Lớp mặt đường bằng hỗn hợp nhựa nóng - Thi công và nghiệm thu - Phần 1: Bê tông nhựa chặt sử dụng nhựa đường thông thường</w:t>
            </w:r>
          </w:p>
        </w:tc>
        <w:tc>
          <w:tcPr>
            <w:tcW w:w="1406" w:type="pct"/>
            <w:vAlign w:val="center"/>
          </w:tcPr>
          <w:p w14:paraId="72C083AE" w14:textId="77777777" w:rsidR="00A53513" w:rsidRPr="00A53513" w:rsidRDefault="00A53513" w:rsidP="00FA281D">
            <w:pPr>
              <w:spacing w:before="40" w:after="40"/>
              <w:ind w:hanging="63"/>
              <w:jc w:val="center"/>
              <w:rPr>
                <w:rFonts w:asciiTheme="majorHAnsi" w:hAnsiTheme="majorHAnsi" w:cstheme="majorHAnsi"/>
                <w:sz w:val="28"/>
                <w:szCs w:val="28"/>
              </w:rPr>
            </w:pPr>
            <w:r w:rsidRPr="00A53513">
              <w:rPr>
                <w:rFonts w:asciiTheme="majorHAnsi" w:hAnsiTheme="majorHAnsi" w:cstheme="majorHAnsi"/>
                <w:sz w:val="28"/>
                <w:szCs w:val="28"/>
                <w:lang w:val="nl-NL"/>
              </w:rPr>
              <w:t>TCVN 13567-1:2022</w:t>
            </w:r>
          </w:p>
        </w:tc>
      </w:tr>
      <w:tr w:rsidR="00A53513" w:rsidRPr="00A53513" w14:paraId="195FE763" w14:textId="77777777" w:rsidTr="00FA281D">
        <w:trPr>
          <w:trHeight w:val="482"/>
          <w:jc w:val="center"/>
        </w:trPr>
        <w:tc>
          <w:tcPr>
            <w:tcW w:w="399" w:type="pct"/>
            <w:vAlign w:val="center"/>
          </w:tcPr>
          <w:p w14:paraId="38AE7C55"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18E4965C"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Lớp mặt đường bằng hỗn hợp nhựa nóng - Thi công và nghiệm thu - Phần 2: Bê tông nhựa chặt sử dụng nhựa đường polyme</w:t>
            </w:r>
          </w:p>
        </w:tc>
        <w:tc>
          <w:tcPr>
            <w:tcW w:w="1406" w:type="pct"/>
            <w:vAlign w:val="center"/>
          </w:tcPr>
          <w:p w14:paraId="1468F3DB" w14:textId="77777777" w:rsidR="00A53513" w:rsidRPr="00A53513" w:rsidRDefault="00A53513" w:rsidP="00FA281D">
            <w:pPr>
              <w:spacing w:before="40" w:after="40"/>
              <w:ind w:hanging="63"/>
              <w:jc w:val="center"/>
              <w:rPr>
                <w:rFonts w:asciiTheme="majorHAnsi" w:hAnsiTheme="majorHAnsi" w:cstheme="majorHAnsi"/>
                <w:sz w:val="28"/>
                <w:szCs w:val="28"/>
              </w:rPr>
            </w:pPr>
            <w:r w:rsidRPr="00A53513">
              <w:rPr>
                <w:rFonts w:asciiTheme="majorHAnsi" w:hAnsiTheme="majorHAnsi" w:cstheme="majorHAnsi"/>
                <w:sz w:val="28"/>
                <w:szCs w:val="28"/>
                <w:lang w:val="nl-NL"/>
              </w:rPr>
              <w:t>TCVN 13567-2:2022</w:t>
            </w:r>
          </w:p>
        </w:tc>
      </w:tr>
      <w:tr w:rsidR="00A53513" w:rsidRPr="00A53513" w14:paraId="339492BB" w14:textId="77777777" w:rsidTr="00FA281D">
        <w:trPr>
          <w:trHeight w:val="482"/>
          <w:jc w:val="center"/>
        </w:trPr>
        <w:tc>
          <w:tcPr>
            <w:tcW w:w="399" w:type="pct"/>
            <w:vAlign w:val="center"/>
          </w:tcPr>
          <w:p w14:paraId="0F3C77BE"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1DCA5F09"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 xml:space="preserve">Nhũ tương nhựa đường axit - Yêu cầu kỹ thuật, phương pháp thử </w:t>
            </w:r>
            <w:r w:rsidRPr="00A53513">
              <w:rPr>
                <w:rFonts w:asciiTheme="majorHAnsi" w:hAnsiTheme="majorHAnsi" w:cstheme="majorHAnsi"/>
                <w:i/>
                <w:sz w:val="28"/>
                <w:szCs w:val="28"/>
                <w:lang w:val="nl-NL"/>
              </w:rPr>
              <w:t>(Phần 1-15)</w:t>
            </w:r>
          </w:p>
        </w:tc>
        <w:tc>
          <w:tcPr>
            <w:tcW w:w="1406" w:type="pct"/>
            <w:vAlign w:val="center"/>
            <w:hideMark/>
          </w:tcPr>
          <w:p w14:paraId="77AC99C8"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8817-1:2011 – TCVN 8817-15:2011</w:t>
            </w:r>
          </w:p>
        </w:tc>
      </w:tr>
      <w:tr w:rsidR="00A53513" w:rsidRPr="00A53513" w14:paraId="5F8FD698" w14:textId="77777777" w:rsidTr="00FA281D">
        <w:trPr>
          <w:trHeight w:val="482"/>
          <w:jc w:val="center"/>
        </w:trPr>
        <w:tc>
          <w:tcPr>
            <w:tcW w:w="399" w:type="pct"/>
            <w:vAlign w:val="center"/>
          </w:tcPr>
          <w:p w14:paraId="65CDDA30"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tcPr>
          <w:p w14:paraId="25383D81"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Lớp vật liệu tái chế nguội tại chỗ dùng cho kết cấu áo đường ô tô - thi công và  nghiệm thu - phần 2: Tái chế sâu sử dụng nhựa đường bọt và xi măng</w:t>
            </w:r>
          </w:p>
        </w:tc>
        <w:tc>
          <w:tcPr>
            <w:tcW w:w="1406" w:type="pct"/>
          </w:tcPr>
          <w:p w14:paraId="799C3E13" w14:textId="77777777" w:rsidR="00A53513" w:rsidRPr="00A53513" w:rsidRDefault="00A53513" w:rsidP="00FA281D">
            <w:pPr>
              <w:pStyle w:val="TableParagraph"/>
              <w:spacing w:before="40" w:after="40"/>
              <w:rPr>
                <w:rFonts w:asciiTheme="majorHAnsi" w:eastAsia="Times New Roman" w:hAnsiTheme="majorHAnsi" w:cstheme="majorHAnsi"/>
                <w:sz w:val="28"/>
                <w:szCs w:val="28"/>
                <w:lang w:val="nl-NL" w:bidi="ar-SA"/>
              </w:rPr>
            </w:pPr>
          </w:p>
          <w:p w14:paraId="7A06524A" w14:textId="77777777" w:rsidR="00A53513" w:rsidRPr="00A53513" w:rsidRDefault="00A53513" w:rsidP="00FA281D">
            <w:pPr>
              <w:spacing w:before="40" w:after="40"/>
              <w:jc w:val="center"/>
              <w:rPr>
                <w:rFonts w:asciiTheme="majorHAnsi" w:hAnsiTheme="majorHAnsi" w:cstheme="majorHAnsi"/>
                <w:sz w:val="28"/>
                <w:szCs w:val="28"/>
                <w:lang w:val="nl-NL"/>
              </w:rPr>
            </w:pPr>
            <w:r w:rsidRPr="00A53513">
              <w:rPr>
                <w:rFonts w:asciiTheme="majorHAnsi" w:hAnsiTheme="majorHAnsi" w:cstheme="majorHAnsi"/>
                <w:sz w:val="28"/>
                <w:szCs w:val="28"/>
                <w:lang w:val="nl-NL"/>
              </w:rPr>
              <w:t>TCVN 13150-2:2020</w:t>
            </w:r>
          </w:p>
        </w:tc>
      </w:tr>
      <w:tr w:rsidR="00A53513" w:rsidRPr="00A53513" w14:paraId="29717434" w14:textId="77777777" w:rsidTr="00FA281D">
        <w:trPr>
          <w:trHeight w:val="482"/>
          <w:jc w:val="center"/>
        </w:trPr>
        <w:tc>
          <w:tcPr>
            <w:tcW w:w="399" w:type="pct"/>
            <w:vAlign w:val="center"/>
          </w:tcPr>
          <w:p w14:paraId="2C286CD9"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25E47C54"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Sơn tín hiệu giao thông - Vật liệu kẻ đường phản quan nhiệt dẻo - Yêu cầu kỹ thuật, phương pháp thử, thi công và nghiệm thu</w:t>
            </w:r>
          </w:p>
        </w:tc>
        <w:tc>
          <w:tcPr>
            <w:tcW w:w="1406" w:type="pct"/>
            <w:vAlign w:val="center"/>
          </w:tcPr>
          <w:p w14:paraId="49825E88"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8791:2011</w:t>
            </w:r>
          </w:p>
        </w:tc>
      </w:tr>
      <w:tr w:rsidR="00A53513" w:rsidRPr="00A53513" w14:paraId="5059EFF3" w14:textId="77777777" w:rsidTr="00FA281D">
        <w:trPr>
          <w:trHeight w:val="482"/>
          <w:jc w:val="center"/>
        </w:trPr>
        <w:tc>
          <w:tcPr>
            <w:tcW w:w="399" w:type="pct"/>
            <w:vAlign w:val="center"/>
          </w:tcPr>
          <w:p w14:paraId="0083BED8"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593D10AD"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Màng phản quang dùng cho báo hiệu đường bộ</w:t>
            </w:r>
          </w:p>
        </w:tc>
        <w:tc>
          <w:tcPr>
            <w:tcW w:w="1406" w:type="pct"/>
            <w:vAlign w:val="center"/>
          </w:tcPr>
          <w:p w14:paraId="16B59D22"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7887:2018</w:t>
            </w:r>
          </w:p>
        </w:tc>
      </w:tr>
      <w:tr w:rsidR="00A53513" w:rsidRPr="00A53513" w14:paraId="223CE75B" w14:textId="77777777" w:rsidTr="00FA281D">
        <w:trPr>
          <w:trHeight w:val="482"/>
          <w:jc w:val="center"/>
        </w:trPr>
        <w:tc>
          <w:tcPr>
            <w:tcW w:w="399" w:type="pct"/>
            <w:vAlign w:val="center"/>
          </w:tcPr>
          <w:p w14:paraId="25572BE0"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1C3AE7C0"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Bi tum -Yêu cầu kỹ thuật</w:t>
            </w:r>
          </w:p>
        </w:tc>
        <w:tc>
          <w:tcPr>
            <w:tcW w:w="1406" w:type="pct"/>
            <w:vAlign w:val="center"/>
          </w:tcPr>
          <w:p w14:paraId="1AD96D25" w14:textId="77777777" w:rsidR="00A53513" w:rsidRPr="00A53513" w:rsidRDefault="00A53513" w:rsidP="00FA281D">
            <w:pPr>
              <w:spacing w:before="40" w:after="40"/>
              <w:ind w:hanging="63"/>
              <w:jc w:val="center"/>
              <w:rPr>
                <w:rFonts w:asciiTheme="majorHAnsi" w:hAnsiTheme="majorHAnsi" w:cstheme="majorHAnsi"/>
                <w:sz w:val="28"/>
                <w:szCs w:val="28"/>
              </w:rPr>
            </w:pPr>
            <w:r w:rsidRPr="00A53513">
              <w:rPr>
                <w:rFonts w:asciiTheme="majorHAnsi" w:hAnsiTheme="majorHAnsi" w:cstheme="majorHAnsi"/>
                <w:sz w:val="28"/>
                <w:szCs w:val="28"/>
              </w:rPr>
              <w:t>TCVN 7493:2005</w:t>
            </w:r>
          </w:p>
        </w:tc>
      </w:tr>
      <w:tr w:rsidR="00A53513" w:rsidRPr="00A53513" w14:paraId="5F2D7091" w14:textId="77777777" w:rsidTr="00FA281D">
        <w:trPr>
          <w:trHeight w:val="482"/>
          <w:jc w:val="center"/>
        </w:trPr>
        <w:tc>
          <w:tcPr>
            <w:tcW w:w="399" w:type="pct"/>
            <w:vAlign w:val="center"/>
          </w:tcPr>
          <w:p w14:paraId="15844968"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0F00C8DE"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Nhựa đường Polyme – Yêu cầu kỹ thuật</w:t>
            </w:r>
          </w:p>
        </w:tc>
        <w:tc>
          <w:tcPr>
            <w:tcW w:w="1406" w:type="pct"/>
            <w:vAlign w:val="center"/>
          </w:tcPr>
          <w:p w14:paraId="2C2694F6" w14:textId="77777777" w:rsidR="00A53513" w:rsidRPr="00A53513" w:rsidRDefault="00A53513" w:rsidP="00FA281D">
            <w:pPr>
              <w:spacing w:before="40" w:after="40"/>
              <w:ind w:hanging="63"/>
              <w:jc w:val="center"/>
              <w:rPr>
                <w:rFonts w:asciiTheme="majorHAnsi" w:hAnsiTheme="majorHAnsi" w:cstheme="majorHAnsi"/>
                <w:sz w:val="28"/>
                <w:szCs w:val="28"/>
              </w:rPr>
            </w:pPr>
            <w:r w:rsidRPr="00A53513">
              <w:rPr>
                <w:rFonts w:asciiTheme="majorHAnsi" w:hAnsiTheme="majorHAnsi" w:cstheme="majorHAnsi"/>
                <w:sz w:val="28"/>
                <w:szCs w:val="28"/>
              </w:rPr>
              <w:t>TCVN 11193:2021</w:t>
            </w:r>
          </w:p>
        </w:tc>
      </w:tr>
      <w:tr w:rsidR="00A53513" w:rsidRPr="00A53513" w14:paraId="6CF3A183" w14:textId="77777777" w:rsidTr="00FA281D">
        <w:trPr>
          <w:trHeight w:val="482"/>
          <w:jc w:val="center"/>
        </w:trPr>
        <w:tc>
          <w:tcPr>
            <w:tcW w:w="399" w:type="pct"/>
            <w:vAlign w:val="center"/>
          </w:tcPr>
          <w:p w14:paraId="6D44444A"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6EFCAE03"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Móng cấp phối đá dăm và cấp phối thiên nhiên gia cố xi măng  trong kết cấu áo đường ô tô - thi công và nghiệm thu</w:t>
            </w:r>
          </w:p>
        </w:tc>
        <w:tc>
          <w:tcPr>
            <w:tcW w:w="1406" w:type="pct"/>
            <w:vAlign w:val="center"/>
          </w:tcPr>
          <w:p w14:paraId="6EAC8EEA"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8858:2023</w:t>
            </w:r>
          </w:p>
        </w:tc>
      </w:tr>
      <w:tr w:rsidR="00A53513" w:rsidRPr="00A53513" w14:paraId="271955D6" w14:textId="77777777" w:rsidTr="00FA281D">
        <w:trPr>
          <w:trHeight w:val="633"/>
          <w:jc w:val="center"/>
        </w:trPr>
        <w:tc>
          <w:tcPr>
            <w:tcW w:w="399" w:type="pct"/>
            <w:vAlign w:val="center"/>
          </w:tcPr>
          <w:p w14:paraId="59881E3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55FB2487"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Lớp móng cấp phối đá dăm trong kết cấu áo đường ô tô - Vật liệu, thi công và nghiệm thu</w:t>
            </w:r>
          </w:p>
        </w:tc>
        <w:tc>
          <w:tcPr>
            <w:tcW w:w="1406" w:type="pct"/>
            <w:vAlign w:val="center"/>
          </w:tcPr>
          <w:p w14:paraId="1EB52A02"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8859:2023</w:t>
            </w:r>
          </w:p>
        </w:tc>
      </w:tr>
      <w:tr w:rsidR="00A53513" w:rsidRPr="00A53513" w14:paraId="3EB2B1FA" w14:textId="77777777" w:rsidTr="00FA281D">
        <w:trPr>
          <w:trHeight w:val="757"/>
          <w:jc w:val="center"/>
        </w:trPr>
        <w:tc>
          <w:tcPr>
            <w:tcW w:w="399" w:type="pct"/>
            <w:vAlign w:val="center"/>
          </w:tcPr>
          <w:p w14:paraId="11FEB4AF"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73664B0E"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Mặt đường ô tô - Xác định độ bằng phẳng bằng thước dài 3,0m</w:t>
            </w:r>
          </w:p>
        </w:tc>
        <w:tc>
          <w:tcPr>
            <w:tcW w:w="1406" w:type="pct"/>
            <w:vAlign w:val="center"/>
            <w:hideMark/>
          </w:tcPr>
          <w:p w14:paraId="365A3BBE"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8864:2011</w:t>
            </w:r>
          </w:p>
        </w:tc>
      </w:tr>
      <w:tr w:rsidR="00A53513" w:rsidRPr="00A53513" w14:paraId="213224E6" w14:textId="77777777" w:rsidTr="00FA281D">
        <w:trPr>
          <w:trHeight w:val="482"/>
          <w:jc w:val="center"/>
        </w:trPr>
        <w:tc>
          <w:tcPr>
            <w:tcW w:w="399" w:type="pct"/>
            <w:vAlign w:val="center"/>
          </w:tcPr>
          <w:p w14:paraId="6862A85F"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2BE23B93"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Mặt đường ô tô - Phương pháp đo và đánh giá xác định độ bằng phẳng theo chỉ số độ gồ ghề quốc tế IRI</w:t>
            </w:r>
          </w:p>
        </w:tc>
        <w:tc>
          <w:tcPr>
            <w:tcW w:w="1406" w:type="pct"/>
            <w:vAlign w:val="center"/>
            <w:hideMark/>
          </w:tcPr>
          <w:p w14:paraId="211441EF"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8865:2011</w:t>
            </w:r>
          </w:p>
        </w:tc>
      </w:tr>
      <w:tr w:rsidR="00A53513" w:rsidRPr="00A53513" w14:paraId="2BEFDB46" w14:textId="77777777" w:rsidTr="00FA281D">
        <w:trPr>
          <w:trHeight w:val="482"/>
          <w:jc w:val="center"/>
        </w:trPr>
        <w:tc>
          <w:tcPr>
            <w:tcW w:w="399" w:type="pct"/>
            <w:vAlign w:val="center"/>
          </w:tcPr>
          <w:p w14:paraId="1BBE5270"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tcPr>
          <w:p w14:paraId="6F6D6615"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Áo đường mềm - Xác định mô đun đàn hồi chung của kết cấu bằng cần đo võng Benkelman</w:t>
            </w:r>
          </w:p>
        </w:tc>
        <w:tc>
          <w:tcPr>
            <w:tcW w:w="1406" w:type="pct"/>
            <w:vAlign w:val="center"/>
          </w:tcPr>
          <w:p w14:paraId="52F213D6" w14:textId="77777777" w:rsidR="00A53513" w:rsidRPr="00A53513" w:rsidRDefault="00A53513" w:rsidP="00FA281D">
            <w:pPr>
              <w:spacing w:before="40" w:after="40"/>
              <w:ind w:hanging="63"/>
              <w:jc w:val="center"/>
              <w:rPr>
                <w:rFonts w:asciiTheme="majorHAnsi" w:hAnsiTheme="majorHAnsi" w:cstheme="majorHAnsi"/>
                <w:sz w:val="28"/>
                <w:szCs w:val="28"/>
                <w:lang w:val="nl-NL"/>
              </w:rPr>
            </w:pPr>
            <w:r w:rsidRPr="00A53513">
              <w:rPr>
                <w:rFonts w:asciiTheme="majorHAnsi" w:hAnsiTheme="majorHAnsi" w:cstheme="majorHAnsi"/>
                <w:sz w:val="28"/>
                <w:szCs w:val="28"/>
                <w:lang w:val="nl-NL"/>
              </w:rPr>
              <w:t>TCVN 8867:2025</w:t>
            </w:r>
          </w:p>
        </w:tc>
      </w:tr>
      <w:tr w:rsidR="00A53513" w:rsidRPr="00A53513" w14:paraId="12DAC426" w14:textId="77777777" w:rsidTr="00FA281D">
        <w:trPr>
          <w:trHeight w:val="482"/>
          <w:jc w:val="center"/>
        </w:trPr>
        <w:tc>
          <w:tcPr>
            <w:tcW w:w="399" w:type="pct"/>
            <w:vAlign w:val="center"/>
          </w:tcPr>
          <w:p w14:paraId="2BBBE0CD"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61ABE02D"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Áo đường mềm - Xác định mô đun đàn hồi chung của kết cấu bằng cần đo võng Benkelman</w:t>
            </w:r>
          </w:p>
        </w:tc>
        <w:tc>
          <w:tcPr>
            <w:tcW w:w="1406" w:type="pct"/>
            <w:vAlign w:val="center"/>
            <w:hideMark/>
          </w:tcPr>
          <w:p w14:paraId="19C41809"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8867:2011</w:t>
            </w:r>
          </w:p>
        </w:tc>
      </w:tr>
      <w:tr w:rsidR="00A53513" w:rsidRPr="00A53513" w14:paraId="3473EC8D" w14:textId="77777777" w:rsidTr="00FA281D">
        <w:trPr>
          <w:trHeight w:val="482"/>
          <w:jc w:val="center"/>
        </w:trPr>
        <w:tc>
          <w:tcPr>
            <w:tcW w:w="399" w:type="pct"/>
            <w:vAlign w:val="center"/>
          </w:tcPr>
          <w:p w14:paraId="6DA3A617"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3A27BAB7"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Xi măng - Phương pháp thử xác định độ bền</w:t>
            </w:r>
          </w:p>
        </w:tc>
        <w:tc>
          <w:tcPr>
            <w:tcW w:w="1406" w:type="pct"/>
            <w:vAlign w:val="center"/>
            <w:hideMark/>
          </w:tcPr>
          <w:p w14:paraId="2132C9C9"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6016:2011</w:t>
            </w:r>
          </w:p>
        </w:tc>
      </w:tr>
      <w:tr w:rsidR="00A53513" w:rsidRPr="00A53513" w14:paraId="6C87BD11" w14:textId="77777777" w:rsidTr="00FA281D">
        <w:trPr>
          <w:trHeight w:val="482"/>
          <w:jc w:val="center"/>
        </w:trPr>
        <w:tc>
          <w:tcPr>
            <w:tcW w:w="399" w:type="pct"/>
            <w:vAlign w:val="center"/>
          </w:tcPr>
          <w:p w14:paraId="5E46B077"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58ECBDDD"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 xml:space="preserve">Nhựa đường lỏng - Yêu cầu kỹ thuật, phương pháp thử </w:t>
            </w:r>
            <w:r w:rsidRPr="00A53513">
              <w:rPr>
                <w:rFonts w:asciiTheme="majorHAnsi" w:hAnsiTheme="majorHAnsi" w:cstheme="majorHAnsi"/>
                <w:i/>
                <w:sz w:val="28"/>
                <w:szCs w:val="28"/>
                <w:lang w:val="nl-NL"/>
              </w:rPr>
              <w:t>(Phần 1-5)</w:t>
            </w:r>
          </w:p>
        </w:tc>
        <w:tc>
          <w:tcPr>
            <w:tcW w:w="1406" w:type="pct"/>
            <w:vAlign w:val="center"/>
            <w:hideMark/>
          </w:tcPr>
          <w:p w14:paraId="0D3CB210"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8818-1:2011 - TCVN 8818-5:2011</w:t>
            </w:r>
          </w:p>
        </w:tc>
      </w:tr>
      <w:tr w:rsidR="00A53513" w:rsidRPr="00A53513" w14:paraId="211E1A61" w14:textId="77777777" w:rsidTr="00FA281D">
        <w:trPr>
          <w:trHeight w:val="482"/>
          <w:jc w:val="center"/>
        </w:trPr>
        <w:tc>
          <w:tcPr>
            <w:tcW w:w="399" w:type="pct"/>
            <w:vAlign w:val="center"/>
          </w:tcPr>
          <w:p w14:paraId="2E6D2A4A"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2CFC2F20"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Lớp phủ kẽm nhúng nóng trên bề mặt sản phẩm gang và thép – yêu cầu kỹ thuật và phương pháp thử</w:t>
            </w:r>
          </w:p>
        </w:tc>
        <w:tc>
          <w:tcPr>
            <w:tcW w:w="1406" w:type="pct"/>
            <w:vAlign w:val="center"/>
            <w:hideMark/>
          </w:tcPr>
          <w:p w14:paraId="61A8BB16" w14:textId="77777777" w:rsidR="00A53513" w:rsidRPr="00A53513" w:rsidRDefault="00A53513" w:rsidP="00FA281D">
            <w:pPr>
              <w:spacing w:before="40" w:after="40"/>
              <w:ind w:hanging="63"/>
              <w:jc w:val="center"/>
              <w:rPr>
                <w:rFonts w:asciiTheme="majorHAnsi" w:hAnsiTheme="majorHAnsi" w:cstheme="majorHAnsi"/>
                <w:sz w:val="28"/>
                <w:szCs w:val="28"/>
                <w:lang w:val="nl-NL"/>
              </w:rPr>
            </w:pPr>
            <w:r w:rsidRPr="00A53513">
              <w:rPr>
                <w:rFonts w:asciiTheme="majorHAnsi" w:hAnsiTheme="majorHAnsi" w:cstheme="majorHAnsi"/>
                <w:sz w:val="28"/>
                <w:szCs w:val="28"/>
                <w:lang w:val="nl-NL"/>
              </w:rPr>
              <w:t>TCVN 5408:2007</w:t>
            </w:r>
          </w:p>
        </w:tc>
      </w:tr>
      <w:tr w:rsidR="00A53513" w:rsidRPr="00A53513" w14:paraId="2BE344E6" w14:textId="77777777" w:rsidTr="00FA281D">
        <w:trPr>
          <w:trHeight w:val="482"/>
          <w:jc w:val="center"/>
        </w:trPr>
        <w:tc>
          <w:tcPr>
            <w:tcW w:w="399" w:type="pct"/>
            <w:vAlign w:val="center"/>
          </w:tcPr>
          <w:p w14:paraId="1AE6B77C"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2019C506"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Kết cấu bê tông và kết cấu bê tông cốt thép lắp ghép - Thi công và nghiệm thu</w:t>
            </w:r>
          </w:p>
        </w:tc>
        <w:tc>
          <w:tcPr>
            <w:tcW w:w="1406" w:type="pct"/>
            <w:vAlign w:val="center"/>
            <w:hideMark/>
          </w:tcPr>
          <w:p w14:paraId="17A83AC5"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9115:2019</w:t>
            </w:r>
          </w:p>
        </w:tc>
      </w:tr>
      <w:tr w:rsidR="00A53513" w:rsidRPr="00A53513" w14:paraId="37710392" w14:textId="77777777" w:rsidTr="00FA281D">
        <w:trPr>
          <w:trHeight w:val="73"/>
          <w:jc w:val="center"/>
        </w:trPr>
        <w:tc>
          <w:tcPr>
            <w:tcW w:w="399" w:type="pct"/>
            <w:vAlign w:val="center"/>
          </w:tcPr>
          <w:p w14:paraId="48D70146"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7B58AC79"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Kết cấu bê tông và bê tông cốt thép toàn khối - Quy phạm thi công và nghiệm thu</w:t>
            </w:r>
          </w:p>
        </w:tc>
        <w:tc>
          <w:tcPr>
            <w:tcW w:w="1406" w:type="pct"/>
            <w:vAlign w:val="center"/>
            <w:hideMark/>
          </w:tcPr>
          <w:p w14:paraId="13DD9A31"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4453:1995</w:t>
            </w:r>
          </w:p>
        </w:tc>
      </w:tr>
      <w:tr w:rsidR="00A53513" w:rsidRPr="00A53513" w14:paraId="7AA151A8" w14:textId="77777777" w:rsidTr="00FA281D">
        <w:trPr>
          <w:trHeight w:val="482"/>
          <w:jc w:val="center"/>
        </w:trPr>
        <w:tc>
          <w:tcPr>
            <w:tcW w:w="399" w:type="pct"/>
            <w:vAlign w:val="center"/>
          </w:tcPr>
          <w:p w14:paraId="05A2D39B"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529C936F"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Kết cấu bê tông và bê tông cốt thép, hướng dẫn công tác chống nứt</w:t>
            </w:r>
          </w:p>
        </w:tc>
        <w:tc>
          <w:tcPr>
            <w:tcW w:w="1406" w:type="pct"/>
            <w:vAlign w:val="center"/>
            <w:hideMark/>
          </w:tcPr>
          <w:p w14:paraId="5BD0F705"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9343:2012</w:t>
            </w:r>
          </w:p>
        </w:tc>
      </w:tr>
      <w:tr w:rsidR="00A53513" w:rsidRPr="00A53513" w14:paraId="23853107" w14:textId="77777777" w:rsidTr="00FA281D">
        <w:trPr>
          <w:trHeight w:val="73"/>
          <w:jc w:val="center"/>
        </w:trPr>
        <w:tc>
          <w:tcPr>
            <w:tcW w:w="399" w:type="pct"/>
            <w:vAlign w:val="center"/>
          </w:tcPr>
          <w:p w14:paraId="19C687E1" w14:textId="77777777" w:rsidR="00A53513" w:rsidRPr="00A53513" w:rsidRDefault="00A53513" w:rsidP="00A53513">
            <w:pPr>
              <w:widowControl w:val="0"/>
              <w:numPr>
                <w:ilvl w:val="0"/>
                <w:numId w:val="1"/>
              </w:numPr>
              <w:spacing w:before="40" w:after="40"/>
              <w:ind w:right="-81"/>
              <w:jc w:val="center"/>
              <w:rPr>
                <w:rFonts w:asciiTheme="majorHAnsi" w:eastAsia="Calibri" w:hAnsiTheme="majorHAnsi" w:cstheme="majorHAnsi"/>
                <w:sz w:val="28"/>
                <w:szCs w:val="28"/>
                <w:lang w:val="nl-NL"/>
              </w:rPr>
            </w:pPr>
          </w:p>
        </w:tc>
        <w:tc>
          <w:tcPr>
            <w:tcW w:w="3195" w:type="pct"/>
            <w:vAlign w:val="center"/>
            <w:hideMark/>
          </w:tcPr>
          <w:p w14:paraId="7057814D" w14:textId="77777777" w:rsidR="00A53513" w:rsidRPr="00A53513" w:rsidRDefault="00A53513" w:rsidP="00FA281D">
            <w:pPr>
              <w:spacing w:before="40" w:after="40"/>
              <w:rPr>
                <w:rFonts w:asciiTheme="majorHAnsi" w:eastAsia="Arial" w:hAnsiTheme="majorHAnsi" w:cstheme="majorHAnsi"/>
                <w:sz w:val="28"/>
                <w:szCs w:val="28"/>
                <w:lang w:val="vi-VN"/>
              </w:rPr>
            </w:pPr>
            <w:r w:rsidRPr="00A53513">
              <w:rPr>
                <w:rFonts w:asciiTheme="majorHAnsi" w:hAnsiTheme="majorHAnsi" w:cstheme="majorHAnsi"/>
                <w:sz w:val="28"/>
                <w:szCs w:val="28"/>
                <w:lang w:val="nl-NL"/>
              </w:rPr>
              <w:t>Kết cấu bê tông và bê tông cốt thép, hướng dẫn công tác bảo trì</w:t>
            </w:r>
          </w:p>
        </w:tc>
        <w:tc>
          <w:tcPr>
            <w:tcW w:w="1406" w:type="pct"/>
            <w:vAlign w:val="center"/>
            <w:hideMark/>
          </w:tcPr>
          <w:p w14:paraId="68085A83" w14:textId="77777777" w:rsidR="00A53513" w:rsidRPr="00A53513" w:rsidRDefault="00A53513" w:rsidP="00FA281D">
            <w:pPr>
              <w:spacing w:before="40" w:after="40"/>
              <w:ind w:hanging="63"/>
              <w:jc w:val="center"/>
              <w:rPr>
                <w:rFonts w:asciiTheme="majorHAnsi" w:eastAsia="Arial" w:hAnsiTheme="majorHAnsi" w:cstheme="majorHAnsi"/>
                <w:sz w:val="28"/>
                <w:szCs w:val="28"/>
                <w:lang w:val="vi-VN"/>
              </w:rPr>
            </w:pPr>
            <w:r w:rsidRPr="00A53513">
              <w:rPr>
                <w:rFonts w:asciiTheme="majorHAnsi" w:hAnsiTheme="majorHAnsi" w:cstheme="majorHAnsi"/>
                <w:sz w:val="28"/>
                <w:szCs w:val="28"/>
              </w:rPr>
              <w:t>TCVN 9343:2012</w:t>
            </w:r>
          </w:p>
        </w:tc>
      </w:tr>
      <w:tr w:rsidR="00A53513" w:rsidRPr="00A53513" w14:paraId="283E0937" w14:textId="77777777" w:rsidTr="00FA281D">
        <w:trPr>
          <w:trHeight w:val="73"/>
          <w:jc w:val="center"/>
        </w:trPr>
        <w:tc>
          <w:tcPr>
            <w:tcW w:w="399" w:type="pct"/>
            <w:vAlign w:val="center"/>
          </w:tcPr>
          <w:p w14:paraId="47B6A06D" w14:textId="77777777" w:rsidR="00A53513" w:rsidRPr="00A53513" w:rsidRDefault="00A53513" w:rsidP="00A53513">
            <w:pPr>
              <w:widowControl w:val="0"/>
              <w:numPr>
                <w:ilvl w:val="0"/>
                <w:numId w:val="1"/>
              </w:numPr>
              <w:spacing w:before="40" w:after="40"/>
              <w:ind w:right="-81"/>
              <w:jc w:val="center"/>
              <w:rPr>
                <w:rFonts w:asciiTheme="majorHAnsi" w:hAnsiTheme="majorHAnsi" w:cstheme="majorHAnsi"/>
                <w:sz w:val="28"/>
                <w:szCs w:val="28"/>
              </w:rPr>
            </w:pPr>
          </w:p>
        </w:tc>
        <w:tc>
          <w:tcPr>
            <w:tcW w:w="3195" w:type="pct"/>
            <w:vAlign w:val="center"/>
          </w:tcPr>
          <w:p w14:paraId="443548FE"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Công tác nền móng – Thi công và nghiệm thu</w:t>
            </w:r>
          </w:p>
        </w:tc>
        <w:tc>
          <w:tcPr>
            <w:tcW w:w="1406" w:type="pct"/>
            <w:vAlign w:val="center"/>
          </w:tcPr>
          <w:p w14:paraId="4B3E187B" w14:textId="77777777" w:rsidR="00A53513" w:rsidRPr="00A53513" w:rsidRDefault="00A53513" w:rsidP="00FA281D">
            <w:pPr>
              <w:spacing w:before="40" w:after="40"/>
              <w:jc w:val="center"/>
              <w:rPr>
                <w:rFonts w:asciiTheme="majorHAnsi" w:hAnsiTheme="majorHAnsi" w:cstheme="majorHAnsi"/>
                <w:sz w:val="28"/>
                <w:szCs w:val="28"/>
                <w:lang w:val="nl-NL"/>
              </w:rPr>
            </w:pPr>
            <w:r w:rsidRPr="00A53513">
              <w:rPr>
                <w:rFonts w:asciiTheme="majorHAnsi" w:hAnsiTheme="majorHAnsi" w:cstheme="majorHAnsi"/>
                <w:sz w:val="28"/>
                <w:szCs w:val="28"/>
                <w:lang w:val="nl-NL"/>
              </w:rPr>
              <w:t>TCVN 9361:2012</w:t>
            </w:r>
          </w:p>
        </w:tc>
      </w:tr>
      <w:tr w:rsidR="00A53513" w:rsidRPr="00A53513" w14:paraId="51CD1CC5" w14:textId="77777777" w:rsidTr="00FA281D">
        <w:trPr>
          <w:trHeight w:val="73"/>
          <w:jc w:val="center"/>
        </w:trPr>
        <w:tc>
          <w:tcPr>
            <w:tcW w:w="399" w:type="pct"/>
            <w:vAlign w:val="center"/>
          </w:tcPr>
          <w:p w14:paraId="6EF45759" w14:textId="77777777" w:rsidR="00A53513" w:rsidRPr="00A53513" w:rsidRDefault="00A53513" w:rsidP="00A53513">
            <w:pPr>
              <w:widowControl w:val="0"/>
              <w:numPr>
                <w:ilvl w:val="0"/>
                <w:numId w:val="1"/>
              </w:numPr>
              <w:spacing w:before="40" w:after="40"/>
              <w:ind w:right="-81"/>
              <w:jc w:val="center"/>
              <w:rPr>
                <w:rFonts w:asciiTheme="majorHAnsi" w:hAnsiTheme="majorHAnsi" w:cstheme="majorHAnsi"/>
                <w:sz w:val="28"/>
                <w:szCs w:val="28"/>
                <w:lang w:val="nl-NL"/>
              </w:rPr>
            </w:pPr>
          </w:p>
        </w:tc>
        <w:tc>
          <w:tcPr>
            <w:tcW w:w="3195" w:type="pct"/>
            <w:vAlign w:val="center"/>
          </w:tcPr>
          <w:p w14:paraId="2EC7DF67"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Cốt liệu cho bê tông và vữa – Yêu cầu kỹ thuật</w:t>
            </w:r>
          </w:p>
        </w:tc>
        <w:tc>
          <w:tcPr>
            <w:tcW w:w="1406" w:type="pct"/>
            <w:vAlign w:val="center"/>
          </w:tcPr>
          <w:p w14:paraId="44D245D0" w14:textId="77777777" w:rsidR="00A53513" w:rsidRPr="00A53513" w:rsidRDefault="00A53513" w:rsidP="00FA281D">
            <w:pPr>
              <w:spacing w:before="40" w:after="40"/>
              <w:jc w:val="center"/>
              <w:rPr>
                <w:rFonts w:asciiTheme="majorHAnsi" w:hAnsiTheme="majorHAnsi" w:cstheme="majorHAnsi"/>
                <w:sz w:val="28"/>
                <w:szCs w:val="28"/>
                <w:lang w:val="nl-NL"/>
              </w:rPr>
            </w:pPr>
            <w:r w:rsidRPr="00A53513">
              <w:rPr>
                <w:rFonts w:asciiTheme="majorHAnsi" w:hAnsiTheme="majorHAnsi" w:cstheme="majorHAnsi"/>
                <w:sz w:val="28"/>
                <w:szCs w:val="28"/>
                <w:lang w:val="nl-NL"/>
              </w:rPr>
              <w:t>TCVN 7570:2006</w:t>
            </w:r>
          </w:p>
        </w:tc>
      </w:tr>
      <w:tr w:rsidR="00A53513" w:rsidRPr="00A53513" w14:paraId="488E8C27" w14:textId="77777777" w:rsidTr="00FA281D">
        <w:trPr>
          <w:trHeight w:val="73"/>
          <w:jc w:val="center"/>
        </w:trPr>
        <w:tc>
          <w:tcPr>
            <w:tcW w:w="399" w:type="pct"/>
            <w:vAlign w:val="center"/>
          </w:tcPr>
          <w:p w14:paraId="44D59419" w14:textId="77777777" w:rsidR="00A53513" w:rsidRPr="00A53513" w:rsidRDefault="00A53513" w:rsidP="00FA281D">
            <w:pPr>
              <w:widowControl w:val="0"/>
              <w:spacing w:before="40" w:after="40"/>
              <w:ind w:left="180" w:right="-81"/>
              <w:rPr>
                <w:rFonts w:asciiTheme="majorHAnsi" w:hAnsiTheme="majorHAnsi" w:cstheme="majorHAnsi"/>
                <w:sz w:val="28"/>
                <w:szCs w:val="28"/>
              </w:rPr>
            </w:pPr>
            <w:r w:rsidRPr="00A53513">
              <w:rPr>
                <w:rFonts w:asciiTheme="majorHAnsi" w:hAnsiTheme="majorHAnsi" w:cstheme="majorHAnsi"/>
                <w:sz w:val="28"/>
                <w:szCs w:val="28"/>
              </w:rPr>
              <w:t>D</w:t>
            </w:r>
          </w:p>
        </w:tc>
        <w:tc>
          <w:tcPr>
            <w:tcW w:w="3195" w:type="pct"/>
            <w:vAlign w:val="center"/>
          </w:tcPr>
          <w:p w14:paraId="509F5773" w14:textId="77777777" w:rsidR="00A53513" w:rsidRPr="00A53513" w:rsidRDefault="00A53513" w:rsidP="00FA281D">
            <w:pPr>
              <w:spacing w:before="40" w:after="40"/>
              <w:rPr>
                <w:rFonts w:asciiTheme="majorHAnsi" w:hAnsiTheme="majorHAnsi" w:cstheme="majorHAnsi"/>
                <w:sz w:val="28"/>
                <w:szCs w:val="28"/>
                <w:lang w:val="nl-NL"/>
              </w:rPr>
            </w:pPr>
            <w:r w:rsidRPr="00A53513">
              <w:rPr>
                <w:rFonts w:asciiTheme="majorHAnsi" w:hAnsiTheme="majorHAnsi" w:cstheme="majorHAnsi"/>
                <w:sz w:val="28"/>
                <w:szCs w:val="28"/>
                <w:lang w:val="nl-NL"/>
              </w:rPr>
              <w:t>Và các quy chuẩn, tiêu chuẩn khác liên quan</w:t>
            </w:r>
          </w:p>
        </w:tc>
        <w:tc>
          <w:tcPr>
            <w:tcW w:w="1406" w:type="pct"/>
            <w:vAlign w:val="center"/>
          </w:tcPr>
          <w:p w14:paraId="0BEAC4DA" w14:textId="77777777" w:rsidR="00A53513" w:rsidRPr="00A53513" w:rsidRDefault="00A53513" w:rsidP="00FA281D">
            <w:pPr>
              <w:spacing w:before="40" w:after="40"/>
              <w:jc w:val="center"/>
              <w:rPr>
                <w:rFonts w:asciiTheme="majorHAnsi" w:hAnsiTheme="majorHAnsi" w:cstheme="majorHAnsi"/>
                <w:sz w:val="28"/>
                <w:szCs w:val="28"/>
                <w:lang w:val="nl-NL"/>
              </w:rPr>
            </w:pPr>
          </w:p>
        </w:tc>
      </w:tr>
    </w:tbl>
    <w:p w14:paraId="1FA38D69" w14:textId="77777777" w:rsidR="00A53513" w:rsidRPr="00A53513" w:rsidRDefault="00A53513" w:rsidP="00A53513">
      <w:pPr>
        <w:pStyle w:val="3"/>
        <w:spacing w:after="120" w:line="276" w:lineRule="auto"/>
        <w:rPr>
          <w:rFonts w:asciiTheme="majorHAnsi" w:eastAsia="Times New Roman" w:hAnsiTheme="majorHAnsi" w:cstheme="majorHAnsi"/>
          <w:bCs/>
          <w:sz w:val="28"/>
          <w:szCs w:val="28"/>
        </w:rPr>
      </w:pPr>
      <w:r w:rsidRPr="00A53513">
        <w:rPr>
          <w:rFonts w:asciiTheme="majorHAnsi" w:eastAsia="Times New Roman" w:hAnsiTheme="majorHAnsi" w:cstheme="majorHAnsi"/>
          <w:bCs/>
          <w:sz w:val="28"/>
          <w:szCs w:val="28"/>
        </w:rPr>
        <w:t>2. Yêu cầu về giải pháp kỹ thuật, biện pháp tổ chức thi công;</w:t>
      </w:r>
    </w:p>
    <w:p w14:paraId="6074B56E"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
          <w:sz w:val="28"/>
          <w:szCs w:val="28"/>
        </w:rPr>
        <w:t xml:space="preserve">2.1 </w:t>
      </w:r>
      <w:r w:rsidRPr="00A53513">
        <w:rPr>
          <w:rFonts w:asciiTheme="majorHAnsi" w:hAnsiTheme="majorHAnsi" w:cstheme="majorHAnsi"/>
          <w:b/>
          <w:sz w:val="28"/>
          <w:szCs w:val="28"/>
          <w:lang w:val="vi-VN"/>
        </w:rPr>
        <w:t>Giải pháp kỹ thuật và biện pháp tổ chức thi công trình bao gồm</w:t>
      </w:r>
      <w:r w:rsidRPr="00A53513">
        <w:rPr>
          <w:rFonts w:asciiTheme="majorHAnsi" w:hAnsiTheme="majorHAnsi" w:cstheme="majorHAnsi"/>
          <w:b/>
          <w:sz w:val="28"/>
          <w:szCs w:val="28"/>
        </w:rPr>
        <w:t>:</w:t>
      </w:r>
      <w:r w:rsidRPr="00A53513">
        <w:rPr>
          <w:rFonts w:asciiTheme="majorHAnsi" w:hAnsiTheme="majorHAnsi" w:cstheme="majorHAnsi"/>
          <w:b/>
          <w:sz w:val="28"/>
          <w:szCs w:val="28"/>
          <w:lang w:val="vi-VN"/>
        </w:rPr>
        <w:t xml:space="preserve"> </w:t>
      </w:r>
      <w:r w:rsidRPr="00A53513">
        <w:rPr>
          <w:rFonts w:asciiTheme="majorHAnsi" w:hAnsiTheme="majorHAnsi" w:cstheme="majorHAnsi"/>
          <w:bCs/>
          <w:sz w:val="28"/>
          <w:szCs w:val="28"/>
          <w:lang w:val="vi-VN"/>
        </w:rPr>
        <w:t>Kế</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hoạch và bố trí các mũi thi công tổng thể theo các hạng mục chính gói thầu và</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biện pháp tổ chức thi công các hạng mục.</w:t>
      </w:r>
    </w:p>
    <w:p w14:paraId="78613751"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w:t>
      </w:r>
    </w:p>
    <w:p w14:paraId="44941004"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Có nêu biện pháp tổ chức thi công phù hợp, khả thi và đầy đủ cho các hạng mục chính của công trình:</w:t>
      </w:r>
    </w:p>
    <w:p w14:paraId="7F375160"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lastRenderedPageBreak/>
        <w:t>+ Thuyết minh việc đánh giá thiết kế được duyệt và đối chiếu hiện trường để đảm bảo giải pháp kỹ thuật phù hợp cho công trình/gói thầu.</w:t>
      </w:r>
    </w:p>
    <w:p w14:paraId="0839CD9C"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Thuyết minh, bản vẽ về phương án thi công, tổ chức phân đoạn, các mũi thi công cho hạng mục công việc, …</w:t>
      </w:r>
    </w:p>
    <w:p w14:paraId="2C91855B"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Giải pháp thi công chi tiết cho từng hạng mục công việc chính, bao gồm cả bố trí nhân lực, thiết bị cho từng phân đoạn, mũi thi công …</w:t>
      </w:r>
    </w:p>
    <w:p w14:paraId="65B5C9ED"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Kế hoạch vận chuyển bê tông nhựa đảm bảo phù hợp với công suất của Trạm trộn, phương tiện vận chuyển hỗn hợp ra hiện trường, thiết bị rải và phương tiện lu lèn.</w:t>
      </w:r>
    </w:p>
    <w:p w14:paraId="0A106916"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 Thuyết minh kế hoạch thi công thảm bê tông nhựa phù hợp với nhiệt độ của hỗn hợp bê tông nhựa đến hiện trường vẫn ở trong phạm vi nhiệt độ quy định.</w:t>
      </w:r>
    </w:p>
    <w:p w14:paraId="329C1841" w14:textId="77777777" w:rsidR="00A53513" w:rsidRPr="00A53513" w:rsidRDefault="00A53513" w:rsidP="00A53513">
      <w:pPr>
        <w:tabs>
          <w:tab w:val="left" w:pos="851"/>
        </w:tabs>
        <w:spacing w:line="276" w:lineRule="auto"/>
        <w:ind w:firstLine="567"/>
        <w:rPr>
          <w:rFonts w:asciiTheme="majorHAnsi" w:hAnsiTheme="majorHAnsi" w:cstheme="majorHAnsi"/>
          <w:sz w:val="28"/>
          <w:szCs w:val="28"/>
        </w:rPr>
      </w:pPr>
      <w:r w:rsidRPr="00A53513">
        <w:rPr>
          <w:rFonts w:asciiTheme="majorHAnsi" w:hAnsiTheme="majorHAnsi" w:cstheme="majorHAnsi"/>
          <w:b/>
          <w:sz w:val="28"/>
          <w:szCs w:val="28"/>
        </w:rPr>
        <w:t>2</w:t>
      </w:r>
      <w:r w:rsidRPr="00A53513">
        <w:rPr>
          <w:rFonts w:asciiTheme="majorHAnsi" w:hAnsiTheme="majorHAnsi" w:cstheme="majorHAnsi"/>
          <w:b/>
          <w:sz w:val="28"/>
          <w:szCs w:val="28"/>
          <w:lang w:val="vi-VN"/>
        </w:rPr>
        <w:t>.</w:t>
      </w:r>
      <w:r w:rsidRPr="00A53513">
        <w:rPr>
          <w:rFonts w:asciiTheme="majorHAnsi" w:hAnsiTheme="majorHAnsi" w:cstheme="majorHAnsi"/>
          <w:b/>
          <w:sz w:val="28"/>
          <w:szCs w:val="28"/>
        </w:rPr>
        <w:t>2</w:t>
      </w:r>
      <w:r w:rsidRPr="00A53513">
        <w:rPr>
          <w:rFonts w:asciiTheme="majorHAnsi" w:hAnsiTheme="majorHAnsi" w:cstheme="majorHAnsi"/>
          <w:b/>
          <w:sz w:val="28"/>
          <w:szCs w:val="28"/>
          <w:lang w:val="vi-VN"/>
        </w:rPr>
        <w:t xml:space="preserve">. Yêu cầu </w:t>
      </w:r>
      <w:r w:rsidRPr="00A53513">
        <w:rPr>
          <w:rFonts w:asciiTheme="majorHAnsi" w:hAnsiTheme="majorHAnsi" w:cstheme="majorHAnsi"/>
          <w:b/>
          <w:sz w:val="28"/>
          <w:szCs w:val="28"/>
        </w:rPr>
        <w:t>b</w:t>
      </w:r>
      <w:r w:rsidRPr="00A53513">
        <w:rPr>
          <w:rFonts w:asciiTheme="majorHAnsi" w:hAnsiTheme="majorHAnsi" w:cstheme="majorHAnsi"/>
          <w:b/>
          <w:sz w:val="28"/>
          <w:szCs w:val="28"/>
          <w:lang w:val="vi-VN"/>
        </w:rPr>
        <w:t xml:space="preserve">iện pháp bảo đảm an toàn giao thông khi thi công trên đường đang khai thác: </w:t>
      </w:r>
      <w:r w:rsidRPr="00A53513">
        <w:rPr>
          <w:rFonts w:asciiTheme="majorHAnsi" w:hAnsiTheme="majorHAnsi" w:cstheme="majorHAnsi"/>
          <w:sz w:val="28"/>
          <w:szCs w:val="28"/>
        </w:rPr>
        <w:t>Có các bản vẽ và thuyết minh thể hiện phương án và biện pháp tổ chức đảm bảo giao thông, hệ thống phân luồng đối với công trình đang khai thác, khả thi và phù hợp với kế hoạch thi công tổng thể, tiến độ đề xuất:</w:t>
      </w:r>
    </w:p>
    <w:p w14:paraId="295B5659" w14:textId="77777777" w:rsidR="00A53513" w:rsidRPr="00A53513" w:rsidRDefault="00A53513" w:rsidP="00A53513">
      <w:pPr>
        <w:tabs>
          <w:tab w:val="left" w:pos="851"/>
        </w:tabs>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Biện pháp tổ chức phân luồng để đảm bảo giao thông tuân thủ theo quy định hiện hành</w:t>
      </w:r>
      <w:r w:rsidRPr="00A53513">
        <w:rPr>
          <w:rFonts w:asciiTheme="majorHAnsi" w:hAnsiTheme="majorHAnsi" w:cstheme="majorHAnsi"/>
          <w:i/>
          <w:iCs/>
          <w:sz w:val="28"/>
          <w:szCs w:val="28"/>
        </w:rPr>
        <w:t>.</w:t>
      </w:r>
    </w:p>
    <w:p w14:paraId="300C5AEA" w14:textId="77777777" w:rsidR="00A53513" w:rsidRPr="00A53513" w:rsidRDefault="00A53513" w:rsidP="00A53513">
      <w:pPr>
        <w:tabs>
          <w:tab w:val="left" w:pos="851"/>
        </w:tabs>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Lắp đặt hệ thống báo hiệu, phòng hộ ĐBGT tuân thủ đáp ứng quy định hiện hành.</w:t>
      </w:r>
    </w:p>
    <w:p w14:paraId="6508A0E4"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 Bố trí nhân sự trực gác ĐBGT tuân thủ theo quy định hiện hành.</w:t>
      </w:r>
    </w:p>
    <w:p w14:paraId="17113B86" w14:textId="77777777" w:rsidR="00A53513" w:rsidRPr="00A53513" w:rsidRDefault="00A53513" w:rsidP="00A53513">
      <w:pPr>
        <w:widowControl w:val="0"/>
        <w:numPr>
          <w:ilvl w:val="2"/>
          <w:numId w:val="2"/>
        </w:numPr>
        <w:tabs>
          <w:tab w:val="left" w:pos="851"/>
          <w:tab w:val="left" w:pos="998"/>
        </w:tabs>
        <w:autoSpaceDE w:val="0"/>
        <w:autoSpaceDN w:val="0"/>
        <w:spacing w:before="20" w:after="20"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Chịu hoàn toàn trách nhiệm nếu để xảy ra tai nạn giao thông, ách tắc giao thông do nguyên nhân tổ chức</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thi công và</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đảm</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 xml:space="preserve">bảo giao thông của </w:t>
      </w:r>
      <w:r w:rsidRPr="00A53513">
        <w:rPr>
          <w:rFonts w:asciiTheme="majorHAnsi" w:hAnsiTheme="majorHAnsi" w:cstheme="majorHAnsi"/>
          <w:sz w:val="28"/>
          <w:szCs w:val="28"/>
        </w:rPr>
        <w:t>nhà thầu</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không đúng quy định trong Giấy phép thi công hoặc trong Thỏa thuận biện pháp thi công và đảm bảo an toàn giao thông công trình do cấp có thẩm quyền cấp.</w:t>
      </w:r>
    </w:p>
    <w:p w14:paraId="0B253E5A" w14:textId="77777777" w:rsidR="00A53513" w:rsidRPr="00A53513" w:rsidRDefault="00A53513" w:rsidP="00A53513">
      <w:pPr>
        <w:widowControl w:val="0"/>
        <w:numPr>
          <w:ilvl w:val="2"/>
          <w:numId w:val="2"/>
        </w:numPr>
        <w:tabs>
          <w:tab w:val="left" w:pos="851"/>
          <w:tab w:val="left" w:pos="1002"/>
        </w:tabs>
        <w:autoSpaceDE w:val="0"/>
        <w:autoSpaceDN w:val="0"/>
        <w:spacing w:before="20" w:after="20"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 xml:space="preserve">Đối với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liên danh tham gia dự thầu thì phải phân định rõ trách nhiệm bảo đảm giao thông trong quá trình thi công trên đường đang khai thác nhằm đảm bảo giao thông thông suốt, an toàn trên đoạn tuyến; việc để xảy ra mất tình trạng ATGT</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do không</w:t>
      </w:r>
      <w:r w:rsidRPr="00A53513">
        <w:rPr>
          <w:rFonts w:asciiTheme="majorHAnsi" w:hAnsiTheme="majorHAnsi" w:cstheme="majorHAnsi"/>
          <w:spacing w:val="-4"/>
          <w:sz w:val="28"/>
          <w:szCs w:val="28"/>
          <w:lang w:val="vi-VN"/>
        </w:rPr>
        <w:t xml:space="preserve"> </w:t>
      </w:r>
      <w:r w:rsidRPr="00A53513">
        <w:rPr>
          <w:rFonts w:asciiTheme="majorHAnsi" w:hAnsiTheme="majorHAnsi" w:cstheme="majorHAnsi"/>
          <w:sz w:val="28"/>
          <w:szCs w:val="28"/>
          <w:lang w:val="vi-VN"/>
        </w:rPr>
        <w:t>thực</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hiện các</w:t>
      </w:r>
      <w:r w:rsidRPr="00A53513">
        <w:rPr>
          <w:rFonts w:asciiTheme="majorHAnsi" w:hAnsiTheme="majorHAnsi" w:cstheme="majorHAnsi"/>
          <w:spacing w:val="-4"/>
          <w:sz w:val="28"/>
          <w:szCs w:val="28"/>
          <w:lang w:val="vi-VN"/>
        </w:rPr>
        <w:t xml:space="preserve"> </w:t>
      </w:r>
      <w:r w:rsidRPr="00A53513">
        <w:rPr>
          <w:rFonts w:asciiTheme="majorHAnsi" w:hAnsiTheme="majorHAnsi" w:cstheme="majorHAnsi"/>
          <w:sz w:val="28"/>
          <w:szCs w:val="28"/>
          <w:lang w:val="vi-VN"/>
        </w:rPr>
        <w:t>biện</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pháp</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bảo đảm</w:t>
      </w:r>
      <w:r w:rsidRPr="00A53513">
        <w:rPr>
          <w:rFonts w:asciiTheme="majorHAnsi" w:hAnsiTheme="majorHAnsi" w:cstheme="majorHAnsi"/>
          <w:spacing w:val="-5"/>
          <w:sz w:val="28"/>
          <w:szCs w:val="28"/>
          <w:lang w:val="vi-VN"/>
        </w:rPr>
        <w:t xml:space="preserve"> </w:t>
      </w:r>
      <w:r w:rsidRPr="00A53513">
        <w:rPr>
          <w:rFonts w:asciiTheme="majorHAnsi" w:hAnsiTheme="majorHAnsi" w:cstheme="majorHAnsi"/>
          <w:sz w:val="28"/>
          <w:szCs w:val="28"/>
          <w:lang w:val="vi-VN"/>
        </w:rPr>
        <w:t>ATGT theo</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quy</w:t>
      </w:r>
      <w:r w:rsidRPr="00A53513">
        <w:rPr>
          <w:rFonts w:asciiTheme="majorHAnsi" w:hAnsiTheme="majorHAnsi" w:cstheme="majorHAnsi"/>
          <w:spacing w:val="-5"/>
          <w:sz w:val="28"/>
          <w:szCs w:val="28"/>
          <w:lang w:val="vi-VN"/>
        </w:rPr>
        <w:t xml:space="preserve"> </w:t>
      </w:r>
      <w:r w:rsidRPr="00A53513">
        <w:rPr>
          <w:rFonts w:asciiTheme="majorHAnsi" w:hAnsiTheme="majorHAnsi" w:cstheme="majorHAnsi"/>
          <w:sz w:val="28"/>
          <w:szCs w:val="28"/>
          <w:lang w:val="vi-VN"/>
        </w:rPr>
        <w:t>định,</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sẽ</w:t>
      </w:r>
      <w:r w:rsidRPr="00A53513">
        <w:rPr>
          <w:rFonts w:asciiTheme="majorHAnsi" w:hAnsiTheme="majorHAnsi" w:cstheme="majorHAnsi"/>
          <w:spacing w:val="-4"/>
          <w:sz w:val="28"/>
          <w:szCs w:val="28"/>
          <w:lang w:val="vi-VN"/>
        </w:rPr>
        <w:t xml:space="preserve"> </w:t>
      </w:r>
      <w:r w:rsidRPr="00A53513">
        <w:rPr>
          <w:rFonts w:asciiTheme="majorHAnsi" w:hAnsiTheme="majorHAnsi" w:cstheme="majorHAnsi"/>
          <w:sz w:val="28"/>
          <w:szCs w:val="28"/>
          <w:lang w:val="vi-VN"/>
        </w:rPr>
        <w:t>bị</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xử</w:t>
      </w:r>
      <w:r w:rsidRPr="00A53513">
        <w:rPr>
          <w:rFonts w:asciiTheme="majorHAnsi" w:hAnsiTheme="majorHAnsi" w:cstheme="majorHAnsi"/>
          <w:spacing w:val="-2"/>
          <w:sz w:val="28"/>
          <w:szCs w:val="28"/>
          <w:lang w:val="vi-VN"/>
        </w:rPr>
        <w:t xml:space="preserve"> </w:t>
      </w:r>
      <w:r w:rsidRPr="00A53513">
        <w:rPr>
          <w:rFonts w:asciiTheme="majorHAnsi" w:hAnsiTheme="majorHAnsi" w:cstheme="majorHAnsi"/>
          <w:sz w:val="28"/>
          <w:szCs w:val="28"/>
          <w:lang w:val="vi-VN"/>
        </w:rPr>
        <w:t>lý theo quy</w:t>
      </w:r>
      <w:r w:rsidRPr="00A53513">
        <w:rPr>
          <w:rFonts w:asciiTheme="majorHAnsi" w:hAnsiTheme="majorHAnsi" w:cstheme="majorHAnsi"/>
          <w:spacing w:val="-3"/>
          <w:sz w:val="28"/>
          <w:szCs w:val="28"/>
          <w:lang w:val="vi-VN"/>
        </w:rPr>
        <w:t xml:space="preserve"> </w:t>
      </w:r>
      <w:r w:rsidRPr="00A53513">
        <w:rPr>
          <w:rFonts w:asciiTheme="majorHAnsi" w:hAnsiTheme="majorHAnsi" w:cstheme="majorHAnsi"/>
          <w:sz w:val="28"/>
          <w:szCs w:val="28"/>
          <w:lang w:val="vi-VN"/>
        </w:rPr>
        <w:t>định của Hợp đồng; đồng thời chịu trách nhiệm</w:t>
      </w:r>
      <w:r w:rsidRPr="00A53513">
        <w:rPr>
          <w:rFonts w:asciiTheme="majorHAnsi" w:hAnsiTheme="majorHAnsi" w:cstheme="majorHAnsi"/>
          <w:spacing w:val="-4"/>
          <w:sz w:val="28"/>
          <w:szCs w:val="28"/>
          <w:lang w:val="vi-VN"/>
        </w:rPr>
        <w:t xml:space="preserve"> </w:t>
      </w:r>
      <w:r w:rsidRPr="00A53513">
        <w:rPr>
          <w:rFonts w:asciiTheme="majorHAnsi" w:hAnsiTheme="majorHAnsi" w:cstheme="majorHAnsi"/>
          <w:sz w:val="28"/>
          <w:szCs w:val="28"/>
          <w:lang w:val="vi-VN"/>
        </w:rPr>
        <w:t>trước Chủ đầu tư và Pháp luật.</w:t>
      </w:r>
    </w:p>
    <w:p w14:paraId="2ED5BECA"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3</w:t>
      </w:r>
      <w:r w:rsidRPr="00A53513">
        <w:rPr>
          <w:rFonts w:asciiTheme="majorHAnsi" w:hAnsiTheme="majorHAnsi" w:cstheme="majorHAnsi"/>
          <w:b/>
          <w:sz w:val="28"/>
          <w:szCs w:val="28"/>
          <w:lang w:val="vi-VN"/>
        </w:rPr>
        <w:t>. Yêu cầu Tiến độ thi công</w:t>
      </w:r>
      <w:r w:rsidRPr="00A53513">
        <w:rPr>
          <w:rFonts w:asciiTheme="majorHAnsi" w:hAnsiTheme="majorHAnsi" w:cstheme="majorHAnsi"/>
          <w:b/>
          <w:sz w:val="28"/>
          <w:szCs w:val="28"/>
        </w:rPr>
        <w:t>.</w:t>
      </w:r>
    </w:p>
    <w:p w14:paraId="590518C8"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xml:space="preserve">- </w:t>
      </w:r>
      <w:r w:rsidRPr="00A53513">
        <w:rPr>
          <w:rFonts w:asciiTheme="majorHAnsi" w:hAnsiTheme="majorHAnsi" w:cstheme="majorHAnsi"/>
          <w:sz w:val="28"/>
          <w:szCs w:val="28"/>
        </w:rPr>
        <w:t xml:space="preserve">Thời gian thi công đảm bảo thời gian thi công </w:t>
      </w:r>
      <w:r w:rsidRPr="00A53513">
        <w:rPr>
          <w:rFonts w:asciiTheme="majorHAnsi" w:hAnsiTheme="majorHAnsi" w:cstheme="majorHAnsi"/>
          <w:b/>
          <w:bCs/>
          <w:sz w:val="28"/>
          <w:szCs w:val="28"/>
        </w:rPr>
        <w:t>≤ 120 ngày</w:t>
      </w:r>
      <w:r w:rsidRPr="00A53513">
        <w:rPr>
          <w:rFonts w:asciiTheme="majorHAnsi" w:hAnsiTheme="majorHAnsi" w:cstheme="majorHAnsi"/>
          <w:sz w:val="28"/>
          <w:szCs w:val="28"/>
        </w:rPr>
        <w:t xml:space="preserve"> kể từ ngày bàn giao mặt bằng thi công đến khi công trình hoàn thành bàn giao đưa vào sử dụng</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 xml:space="preserve">Thời gian thi công: </w:t>
      </w:r>
      <w:r w:rsidRPr="00A53513">
        <w:rPr>
          <w:rFonts w:asciiTheme="majorHAnsi" w:hAnsiTheme="majorHAnsi" w:cstheme="majorHAnsi"/>
          <w:bCs/>
          <w:sz w:val="28"/>
          <w:szCs w:val="28"/>
        </w:rPr>
        <w:t>K</w:t>
      </w:r>
      <w:r w:rsidRPr="00A53513">
        <w:rPr>
          <w:rFonts w:asciiTheme="majorHAnsi" w:hAnsiTheme="majorHAnsi" w:cstheme="majorHAnsi"/>
          <w:bCs/>
          <w:sz w:val="28"/>
          <w:szCs w:val="28"/>
          <w:lang w:val="vi-VN"/>
        </w:rPr>
        <w:t>hông vượt quá thời gian, thời hạn thực hiện hợp</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đồng ghi trong E-HSMT (đã bao gồm thời gian thi công và nghiệm thu công</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trình) có tính đến điều kiện thời tiết (kể từ ngày chủ đầu tư có thông báo thực</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hiện hợp đồng).</w:t>
      </w:r>
    </w:p>
    <w:p w14:paraId="3394A2D9"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Có Biểu tiến độ thi công chi tiết theo các hạng mục chính của công trình, tương ứng với các mũi thi công độc lập. Biểu tiến độ thi công hợp lý, khả thi và phù hợp với</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kế hoạch, biện pháp thi công và đáp ứng yêu cầu.</w:t>
      </w:r>
    </w:p>
    <w:p w14:paraId="683831C7"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lastRenderedPageBreak/>
        <w:t>- Có biểu huy động nhân lực, thiết bị, đảm bảo phù hợp với biểu tiến độ thi công chi tiết.</w:t>
      </w:r>
    </w:p>
    <w:p w14:paraId="4EDA7C0E"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Có phân tích điều kiện thời tiết khu vực ảnh hưởng bất lợi tới tiến độ thi công</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(như: mùa mưa bão, ...), thuyết minh biện pháp bù, đẩy nhanh tiến độ khi có yêu cầu.</w:t>
      </w:r>
    </w:p>
    <w:p w14:paraId="2ED5F9FB" w14:textId="77777777" w:rsidR="00A53513" w:rsidRPr="00A53513" w:rsidRDefault="00A53513" w:rsidP="00A53513">
      <w:pPr>
        <w:pStyle w:val="3"/>
        <w:spacing w:before="0" w:line="276" w:lineRule="auto"/>
        <w:rPr>
          <w:rFonts w:asciiTheme="majorHAnsi" w:eastAsia="Times New Roman" w:hAnsiTheme="majorHAnsi" w:cstheme="majorHAnsi"/>
          <w:sz w:val="28"/>
          <w:szCs w:val="28"/>
        </w:rPr>
      </w:pPr>
      <w:r w:rsidRPr="00A53513">
        <w:rPr>
          <w:rFonts w:asciiTheme="majorHAnsi" w:eastAsia="Times New Roman" w:hAnsiTheme="majorHAnsi" w:cstheme="majorHAnsi"/>
          <w:sz w:val="28"/>
          <w:szCs w:val="28"/>
        </w:rPr>
        <w:t>4. Cách thức quản lý dự án bao gồm: tổ chức quản lý dự án, tổ chức quản lý hiện trường.</w:t>
      </w:r>
    </w:p>
    <w:p w14:paraId="61E3E44E" w14:textId="77777777" w:rsidR="00A53513" w:rsidRPr="00A53513" w:rsidRDefault="00A53513" w:rsidP="00A53513">
      <w:pPr>
        <w:pStyle w:val="3"/>
        <w:spacing w:before="0" w:line="276" w:lineRule="auto"/>
        <w:rPr>
          <w:rFonts w:asciiTheme="majorHAnsi" w:eastAsia="Times New Roman" w:hAnsiTheme="majorHAnsi" w:cstheme="majorHAnsi"/>
          <w:b w:val="0"/>
          <w:bCs/>
          <w:sz w:val="28"/>
          <w:szCs w:val="28"/>
        </w:rPr>
      </w:pPr>
      <w:r w:rsidRPr="00A53513">
        <w:rPr>
          <w:rFonts w:asciiTheme="majorHAnsi" w:eastAsia="Times New Roman" w:hAnsiTheme="majorHAnsi" w:cstheme="majorHAnsi"/>
          <w:b w:val="0"/>
          <w:bCs/>
          <w:sz w:val="28"/>
          <w:szCs w:val="28"/>
        </w:rPr>
        <w:t>- Hiểu biết và nhận thức của Nhà thầu đối với công trình; Am hiểu chung về phạm vi, địa điểm, quy mô đầu tư sửa chữa, vị trí, đặc điểm của dự án; Hiểu rõ về quy mô xây dựng chủ yếu và điều kiện thi công, các chỉ tiêu kỹ thuật của gói thầu.</w:t>
      </w:r>
    </w:p>
    <w:p w14:paraId="7EBA612B" w14:textId="77777777" w:rsidR="00A53513" w:rsidRPr="00A53513" w:rsidRDefault="00A53513" w:rsidP="00A53513">
      <w:pPr>
        <w:widowControl w:val="0"/>
        <w:tabs>
          <w:tab w:val="left" w:pos="851"/>
        </w:tabs>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Tổ chức, mặt bằng công trường: Sơ đồ tổ chức của Ban điều hành; Mặt bằng công trường (lán trại, phòng thí nghiệm, kho bãi vật liệu, chất thải, rào chắn, biển báo….); Công tác cấp nguồn điện, nước.</w:t>
      </w:r>
    </w:p>
    <w:p w14:paraId="4F2EB0D9"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Có nêu đầy đủ sơ đồ tổ chức của Ban điều hành, thể hiện trách nhiệm và mối quan hệ liên hệ giữa các chức danh, phân công trách nhiệm của từng bộ phận và các tổ đội thi công.</w:t>
      </w:r>
    </w:p>
    <w:p w14:paraId="4D4342FB"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286D8255" w14:textId="77777777" w:rsidR="00A53513" w:rsidRPr="00A53513" w:rsidRDefault="00A53513" w:rsidP="00A53513">
      <w:pPr>
        <w:widowControl w:val="0"/>
        <w:tabs>
          <w:tab w:val="left" w:pos="851"/>
        </w:tabs>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Có bản vẽ thể hiện mặt bằng bố trí công trường phù hợp với tổ chức thi công gói thầu (bao gồm: Nhà điều hành, lán trại, vị trí đặt trạm trộn, cơ sở thí nghiệm, bãi chứa các loại vật liệu, cấu kiện, ...) thông qua bản vẽ đính kèm của nhà thầu đề xuất cũng như phù hợp với hiện trạng công trình xây dựng.</w:t>
      </w:r>
    </w:p>
    <w:p w14:paraId="0C2DC6FB"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5</w:t>
      </w:r>
      <w:r w:rsidRPr="00A53513">
        <w:rPr>
          <w:rFonts w:asciiTheme="majorHAnsi" w:hAnsiTheme="majorHAnsi" w:cstheme="majorHAnsi"/>
          <w:b/>
          <w:sz w:val="28"/>
          <w:szCs w:val="28"/>
          <w:lang w:val="vi-VN"/>
        </w:rPr>
        <w:t>. Yêu cầu Biện pháp đảm bảo chất lượng</w:t>
      </w:r>
      <w:r w:rsidRPr="00A53513">
        <w:rPr>
          <w:rFonts w:asciiTheme="majorHAnsi" w:hAnsiTheme="majorHAnsi" w:cstheme="majorHAnsi"/>
          <w:b/>
          <w:sz w:val="28"/>
          <w:szCs w:val="28"/>
        </w:rPr>
        <w:t>.</w:t>
      </w:r>
    </w:p>
    <w:p w14:paraId="53374554"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lang w:val="vi-VN"/>
        </w:rPr>
      </w:pPr>
      <w:r w:rsidRPr="00A53513">
        <w:rPr>
          <w:rFonts w:asciiTheme="majorHAnsi" w:hAnsiTheme="majorHAnsi" w:cstheme="majorHAnsi"/>
          <w:b/>
          <w:sz w:val="28"/>
          <w:szCs w:val="28"/>
        </w:rPr>
        <w:t>5</w:t>
      </w:r>
      <w:r w:rsidRPr="00A53513">
        <w:rPr>
          <w:rFonts w:asciiTheme="majorHAnsi" w:hAnsiTheme="majorHAnsi" w:cstheme="majorHAnsi"/>
          <w:b/>
          <w:sz w:val="28"/>
          <w:szCs w:val="28"/>
          <w:lang w:val="vi-VN"/>
        </w:rPr>
        <w:t>.1. Biện pháp bảo đảm chất lượng vật liệu đầu vào để phục vụ thi công,</w:t>
      </w:r>
      <w:r w:rsidRPr="00A53513">
        <w:rPr>
          <w:rFonts w:asciiTheme="majorHAnsi" w:hAnsiTheme="majorHAnsi" w:cstheme="majorHAnsi"/>
          <w:b/>
          <w:sz w:val="28"/>
          <w:szCs w:val="28"/>
        </w:rPr>
        <w:t xml:space="preserve"> </w:t>
      </w:r>
      <w:r w:rsidRPr="00A53513">
        <w:rPr>
          <w:rFonts w:asciiTheme="majorHAnsi" w:hAnsiTheme="majorHAnsi" w:cstheme="majorHAnsi"/>
          <w:b/>
          <w:sz w:val="28"/>
          <w:szCs w:val="28"/>
          <w:lang w:val="vi-VN"/>
        </w:rPr>
        <w:t>đảm bảo hợp lý, khả thi và chất lượng công trình.</w:t>
      </w:r>
    </w:p>
    <w:p w14:paraId="0A6B7F8F"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xml:space="preserve">- 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 </w:t>
      </w:r>
    </w:p>
    <w:p w14:paraId="590954D5"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xml:space="preserve">- Có nêu về cách thức và biện pháp kiểm soát chất lượng vật liệu và hỗn hợp vật liệu đầu vào khi đưa đến công trình và trước khi sử dụng, trong đó bao gồm các vật liệu chính như: </w:t>
      </w:r>
      <w:r w:rsidRPr="00A53513">
        <w:rPr>
          <w:rFonts w:asciiTheme="majorHAnsi" w:hAnsiTheme="majorHAnsi" w:cstheme="majorHAnsi"/>
          <w:bCs/>
          <w:color w:val="EE0000"/>
          <w:sz w:val="28"/>
          <w:szCs w:val="28"/>
          <w:lang w:val="vi-VN"/>
        </w:rPr>
        <w:t>Đá xây dựng các loại, xi măng, cát xây dựng, thép xây dựng, nhựa đường, nhũ tương, bê tông nhựa, Bê tông nhựa Polyme, Bê tông xi măng, sơn kẻ đường…</w:t>
      </w:r>
      <w:r w:rsidRPr="00A53513">
        <w:rPr>
          <w:rFonts w:asciiTheme="majorHAnsi" w:hAnsiTheme="majorHAnsi" w:cstheme="majorHAnsi"/>
          <w:bCs/>
          <w:sz w:val="28"/>
          <w:szCs w:val="28"/>
          <w:lang w:val="vi-VN"/>
        </w:rPr>
        <w:t>; thể hiện tính hợp lý, khả thi để đảm bảo chất lượng, tiến độ công trình (nguồn gốc mỏ, trữ lượng, tập kết, thí nghiệm, giải pháp xử lý khi phát hiện vật liệu không phù hợp với yêu cầu ...).</w:t>
      </w:r>
    </w:p>
    <w:p w14:paraId="56085EF2"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lastRenderedPageBreak/>
        <w:t>5</w:t>
      </w:r>
      <w:r w:rsidRPr="00A53513">
        <w:rPr>
          <w:rFonts w:asciiTheme="majorHAnsi" w:hAnsiTheme="majorHAnsi" w:cstheme="majorHAnsi"/>
          <w:b/>
          <w:sz w:val="28"/>
          <w:szCs w:val="28"/>
          <w:lang w:val="vi-VN"/>
        </w:rPr>
        <w:t>.2. Biện pháp bảo đảm chất lượng trong quá trình thi công và nghiệm thu, đảm bảo hợp lý, khả thi và đảm bảo chất lượng công trình</w:t>
      </w:r>
      <w:r w:rsidRPr="00A53513">
        <w:rPr>
          <w:rFonts w:asciiTheme="majorHAnsi" w:hAnsiTheme="majorHAnsi" w:cstheme="majorHAnsi"/>
          <w:b/>
          <w:sz w:val="28"/>
          <w:szCs w:val="28"/>
        </w:rPr>
        <w:t>.</w:t>
      </w:r>
    </w:p>
    <w:p w14:paraId="1A2F5584"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Có nêu về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14:paraId="24F05623"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
          <w:sz w:val="28"/>
          <w:szCs w:val="28"/>
        </w:rPr>
        <w:t>5.3 Bố trí Phòng thí nghiệm hiện trường:</w:t>
      </w:r>
      <w:r w:rsidRPr="00A53513">
        <w:rPr>
          <w:rFonts w:asciiTheme="majorHAnsi" w:hAnsiTheme="majorHAnsi" w:cstheme="majorHAnsi"/>
          <w:bCs/>
          <w:sz w:val="28"/>
          <w:szCs w:val="28"/>
        </w:rPr>
        <w:t xml:space="preserve"> Có nêu về bố trí, tổ chức triển khai phòng thí nghiệm tại hiện trường, đảm bảo hợp lý, khả thi và phù hợp với đề xuất về biện pháp tổ chức thi công để đáp ứng tiến độ, chất lượng đối với các hạng mục công trình theo yêu cầu về kỹ thuật và bản vẽ thiết kế (có danh mục các phép thử, nhân sự, thiết bị đạt chuẩn cho gói thầu, bố trí tại Phòng thí nghiệm hiện trường và/hoặc tại Văn phòng chính...).</w:t>
      </w:r>
    </w:p>
    <w:p w14:paraId="3325447F"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 xml:space="preserve">6. </w:t>
      </w:r>
      <w:r w:rsidRPr="00A53513">
        <w:rPr>
          <w:rFonts w:asciiTheme="majorHAnsi" w:hAnsiTheme="majorHAnsi" w:cstheme="majorHAnsi"/>
          <w:b/>
          <w:sz w:val="28"/>
          <w:szCs w:val="28"/>
          <w:lang w:val="vi-VN"/>
        </w:rPr>
        <w:t>Yêu cầu An toàn lao động, phòng cháy chữa cháy, vệ sinh môi</w:t>
      </w:r>
      <w:r w:rsidRPr="00A53513">
        <w:rPr>
          <w:rFonts w:asciiTheme="majorHAnsi" w:hAnsiTheme="majorHAnsi" w:cstheme="majorHAnsi"/>
          <w:b/>
          <w:sz w:val="28"/>
          <w:szCs w:val="28"/>
        </w:rPr>
        <w:t xml:space="preserve"> trường.</w:t>
      </w:r>
    </w:p>
    <w:p w14:paraId="37C1966D"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14:paraId="18B4A8B8"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Biện pháp phòng cháy, chữa cháy hợp lý, khả thi, phù hợp với đề xuất</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về biện pháp tổ chức thi công: Có biện pháp phòng cháy, chữa cháy hợp lý, khả thi phù hợp với đề xuất về biện pháp tổ chức thi công</w:t>
      </w:r>
      <w:r w:rsidRPr="00A53513">
        <w:rPr>
          <w:rFonts w:asciiTheme="majorHAnsi" w:hAnsiTheme="majorHAnsi" w:cstheme="majorHAnsi"/>
          <w:bCs/>
          <w:sz w:val="28"/>
          <w:szCs w:val="28"/>
        </w:rPr>
        <w:t>; Biện pháp đảm bảo an ninh khu vực và các công trình cùng thi công trong phạm vi của dự án;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r w:rsidRPr="00A53513">
        <w:rPr>
          <w:rFonts w:asciiTheme="majorHAnsi" w:hAnsiTheme="majorHAnsi" w:cstheme="majorHAnsi"/>
          <w:bCs/>
          <w:sz w:val="28"/>
          <w:szCs w:val="28"/>
          <w:lang w:val="vi-VN"/>
        </w:rPr>
        <w:t>.</w:t>
      </w:r>
    </w:p>
    <w:p w14:paraId="65B95B81"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Biện pháp bảo đảm vệ sinh môi trường, tiếng ồn, bụi và khói, rung, kiểm</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soát nước thải, kiểm soát đổ thải, vệ sinh: Có kế hoạch và biện pháp bảo đảm vệ sinh môi trường hợp lý, khả thi phù hợp với đề xuất về biện pháp tổ chức thi công</w:t>
      </w:r>
      <w:r w:rsidRPr="00A53513">
        <w:rPr>
          <w:rFonts w:asciiTheme="majorHAnsi" w:hAnsiTheme="majorHAnsi" w:cstheme="majorHAnsi"/>
          <w:bCs/>
          <w:sz w:val="28"/>
          <w:szCs w:val="28"/>
        </w:rPr>
        <w:t>; Có kế hoạch đổ phế thải xây dựng hợp lý, khả thi phù hợp với đề xuất về biện pháp tổ chức và tiến độ thi công; Có biện pháp giảm thiểu, bảo vệ môi trường: bao gồm các nội dung tiếng ồn, bụi và khói, rung, kiểm soát nước thải, kiểm soát đổ thải, vệ sinh</w:t>
      </w:r>
      <w:r w:rsidRPr="00A53513">
        <w:rPr>
          <w:rFonts w:asciiTheme="majorHAnsi" w:hAnsiTheme="majorHAnsi" w:cstheme="majorHAnsi"/>
          <w:bCs/>
          <w:sz w:val="28"/>
          <w:szCs w:val="28"/>
          <w:lang w:val="vi-VN"/>
        </w:rPr>
        <w:t>.</w:t>
      </w:r>
    </w:p>
    <w:p w14:paraId="12F85AB4"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7</w:t>
      </w:r>
      <w:r w:rsidRPr="00A53513">
        <w:rPr>
          <w:rFonts w:asciiTheme="majorHAnsi" w:hAnsiTheme="majorHAnsi" w:cstheme="majorHAnsi"/>
          <w:b/>
          <w:sz w:val="28"/>
          <w:szCs w:val="28"/>
          <w:lang w:val="vi-VN"/>
        </w:rPr>
        <w:t>. Mức độ đáp ứng các yêu cầu về bảo hành, bảo trì</w:t>
      </w:r>
      <w:r w:rsidRPr="00A53513">
        <w:rPr>
          <w:rFonts w:asciiTheme="majorHAnsi" w:hAnsiTheme="majorHAnsi" w:cstheme="majorHAnsi"/>
          <w:b/>
          <w:sz w:val="28"/>
          <w:szCs w:val="28"/>
        </w:rPr>
        <w:t>.</w:t>
      </w:r>
    </w:p>
    <w:p w14:paraId="5CBC6203"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w:t>
      </w:r>
      <w:r w:rsidRPr="00A53513">
        <w:rPr>
          <w:rFonts w:asciiTheme="majorHAnsi" w:hAnsiTheme="majorHAnsi" w:cstheme="majorHAnsi"/>
          <w:bCs/>
          <w:sz w:val="28"/>
          <w:szCs w:val="28"/>
        </w:rPr>
        <w:t xml:space="preserve"> </w:t>
      </w:r>
      <w:r w:rsidRPr="00A53513">
        <w:rPr>
          <w:rFonts w:asciiTheme="majorHAnsi" w:hAnsiTheme="majorHAnsi" w:cstheme="majorHAnsi"/>
          <w:bCs/>
          <w:sz w:val="28"/>
          <w:szCs w:val="28"/>
          <w:lang w:val="vi-VN"/>
        </w:rPr>
        <w:t xml:space="preserve">Có đề xuất thời gian bảo hành ≥ </w:t>
      </w:r>
      <w:r w:rsidRPr="00A53513">
        <w:rPr>
          <w:rFonts w:asciiTheme="majorHAnsi" w:hAnsiTheme="majorHAnsi" w:cstheme="majorHAnsi"/>
          <w:bCs/>
          <w:sz w:val="28"/>
          <w:szCs w:val="28"/>
        </w:rPr>
        <w:t>24</w:t>
      </w:r>
      <w:r w:rsidRPr="00A53513">
        <w:rPr>
          <w:rFonts w:asciiTheme="majorHAnsi" w:hAnsiTheme="majorHAnsi" w:cstheme="majorHAnsi"/>
          <w:bCs/>
          <w:sz w:val="28"/>
          <w:szCs w:val="28"/>
          <w:lang w:val="vi-VN"/>
        </w:rPr>
        <w:t xml:space="preserve"> tháng và không có kèm theo điều kiện thêm cho chủ đầu tư.</w:t>
      </w:r>
    </w:p>
    <w:p w14:paraId="4208F6E4"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Có nêu trách nhiệm của nhà thầu và sự phối hợp trong giai đoạn bảo hành, khi công trình có hư hỏng, khiếm khuyết …</w:t>
      </w:r>
    </w:p>
    <w:p w14:paraId="6CF44E95"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Cs/>
          <w:sz w:val="28"/>
          <w:szCs w:val="28"/>
          <w:lang w:val="vi-VN"/>
        </w:rPr>
        <w:t>- Có đề xuất giải pháp, thời gian sửa chữa khắc phục đảm bảo khả thi (công trình có hư hỏng, khiếm khuyết do lỗi của nhà thầu gây ra trong quá trình thi công trong giai đoạn bảo hành).</w:t>
      </w:r>
    </w:p>
    <w:p w14:paraId="7377AE73" w14:textId="77777777" w:rsidR="00A53513" w:rsidRPr="00A53513" w:rsidRDefault="00A53513" w:rsidP="00A53513">
      <w:pPr>
        <w:widowControl w:val="0"/>
        <w:numPr>
          <w:ilvl w:val="0"/>
          <w:numId w:val="3"/>
        </w:numPr>
        <w:tabs>
          <w:tab w:val="left" w:pos="851"/>
          <w:tab w:val="left" w:pos="1024"/>
        </w:tabs>
        <w:autoSpaceDE w:val="0"/>
        <w:autoSpaceDN w:val="0"/>
        <w:spacing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rPr>
        <w:lastRenderedPageBreak/>
        <w:t>Nhà thầu</w:t>
      </w:r>
      <w:r w:rsidRPr="00A53513">
        <w:rPr>
          <w:rFonts w:asciiTheme="majorHAnsi" w:hAnsiTheme="majorHAnsi" w:cstheme="majorHAnsi"/>
          <w:sz w:val="28"/>
          <w:szCs w:val="28"/>
          <w:lang w:val="vi-VN"/>
        </w:rPr>
        <w:t xml:space="preserve"> có trách nhiệm thực hiện ngay việc bảo hành công trình, hạng mục công trình sau khi nhận được thông báo yêu cầu bảo hành của Chủ đầu tư</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 xml:space="preserve">hoặc của cơ quan quản lý đường bộ </w:t>
      </w:r>
      <w:r w:rsidRPr="00A53513">
        <w:rPr>
          <w:rFonts w:asciiTheme="majorHAnsi" w:hAnsiTheme="majorHAnsi" w:cstheme="majorHAnsi"/>
          <w:sz w:val="28"/>
          <w:szCs w:val="28"/>
        </w:rPr>
        <w:t>đ</w:t>
      </w:r>
      <w:r w:rsidRPr="00A53513">
        <w:rPr>
          <w:rFonts w:asciiTheme="majorHAnsi" w:hAnsiTheme="majorHAnsi" w:cstheme="majorHAnsi"/>
          <w:sz w:val="28"/>
          <w:szCs w:val="28"/>
          <w:lang w:val="vi-VN"/>
        </w:rPr>
        <w:t>ối với các hư hỏng phát</w:t>
      </w:r>
      <w:r w:rsidRPr="00A53513">
        <w:rPr>
          <w:rFonts w:asciiTheme="majorHAnsi" w:hAnsiTheme="majorHAnsi" w:cstheme="majorHAnsi"/>
          <w:spacing w:val="40"/>
          <w:sz w:val="28"/>
          <w:szCs w:val="28"/>
          <w:lang w:val="vi-VN"/>
        </w:rPr>
        <w:t xml:space="preserve"> </w:t>
      </w:r>
      <w:r w:rsidRPr="00A53513">
        <w:rPr>
          <w:rFonts w:asciiTheme="majorHAnsi" w:hAnsiTheme="majorHAnsi" w:cstheme="majorHAnsi"/>
          <w:sz w:val="28"/>
          <w:szCs w:val="28"/>
          <w:lang w:val="vi-VN"/>
        </w:rPr>
        <w:t>sinh trong thời gian bảo hành và phải chịu mọi chi phí liên quan</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đến việc thực hiện bảo hành.</w:t>
      </w:r>
    </w:p>
    <w:p w14:paraId="516C6996" w14:textId="77777777" w:rsidR="00A53513" w:rsidRPr="00A53513" w:rsidRDefault="00A53513" w:rsidP="00A53513">
      <w:pPr>
        <w:widowControl w:val="0"/>
        <w:numPr>
          <w:ilvl w:val="0"/>
          <w:numId w:val="3"/>
        </w:numPr>
        <w:tabs>
          <w:tab w:val="left" w:pos="851"/>
          <w:tab w:val="left" w:pos="1024"/>
        </w:tabs>
        <w:autoSpaceDE w:val="0"/>
        <w:autoSpaceDN w:val="0"/>
        <w:spacing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 xml:space="preserve">Trường hợp có tranh chấp giữa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với cơ quan quản lý, cấp có thẩm quyền chỉ đạo giám định, kiểm định, đánh giá chất lượng để xác định rõ trách nhiệm của các </w:t>
      </w:r>
      <w:r w:rsidRPr="00A53513">
        <w:rPr>
          <w:rFonts w:asciiTheme="majorHAnsi" w:hAnsiTheme="majorHAnsi" w:cstheme="majorHAnsi"/>
          <w:sz w:val="28"/>
          <w:szCs w:val="28"/>
        </w:rPr>
        <w:t xml:space="preserve">nhà thầu </w:t>
      </w:r>
      <w:r w:rsidRPr="00A53513">
        <w:rPr>
          <w:rFonts w:asciiTheme="majorHAnsi" w:hAnsiTheme="majorHAnsi" w:cstheme="majorHAnsi"/>
          <w:sz w:val="28"/>
          <w:szCs w:val="28"/>
          <w:lang w:val="vi-VN"/>
        </w:rPr>
        <w:t xml:space="preserve">có liên quan (gồm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khảo sát, thiết kế, thi công xây dựng, tư vấn giám sát, tư vấn quản lý dự án). Nếu lỗi do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thi công xây dựng gây ra thì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phải ch</w:t>
      </w:r>
      <w:proofErr w:type="spellStart"/>
      <w:r w:rsidRPr="00A53513">
        <w:rPr>
          <w:rFonts w:asciiTheme="majorHAnsi" w:hAnsiTheme="majorHAnsi" w:cstheme="majorHAnsi"/>
          <w:sz w:val="28"/>
          <w:szCs w:val="28"/>
        </w:rPr>
        <w:t>ịu</w:t>
      </w:r>
      <w:proofErr w:type="spellEnd"/>
      <w:r w:rsidRPr="00A53513">
        <w:rPr>
          <w:rFonts w:asciiTheme="majorHAnsi" w:hAnsiTheme="majorHAnsi" w:cstheme="majorHAnsi"/>
          <w:sz w:val="28"/>
          <w:szCs w:val="28"/>
          <w:lang w:val="vi-VN"/>
        </w:rPr>
        <w:t xml:space="preserve"> các chi phí giám định, kiểm định, đánh giá.</w:t>
      </w:r>
    </w:p>
    <w:p w14:paraId="471B8A6A" w14:textId="77777777" w:rsidR="00A53513" w:rsidRPr="00A53513" w:rsidRDefault="00A53513" w:rsidP="00A53513">
      <w:pPr>
        <w:widowControl w:val="0"/>
        <w:numPr>
          <w:ilvl w:val="0"/>
          <w:numId w:val="3"/>
        </w:numPr>
        <w:tabs>
          <w:tab w:val="left" w:pos="851"/>
          <w:tab w:val="left" w:pos="1012"/>
        </w:tabs>
        <w:autoSpaceDE w:val="0"/>
        <w:autoSpaceDN w:val="0"/>
        <w:spacing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Nội dung bảo hành công trình thực hiện theo quy định tại Điều 28, 29 – Nghị định số 06/2021/NĐ-CP ngày 26/01/2021 của Chính phủ.</w:t>
      </w:r>
    </w:p>
    <w:p w14:paraId="0699E611" w14:textId="77777777" w:rsidR="00A53513" w:rsidRPr="00A53513" w:rsidRDefault="00A53513" w:rsidP="00A53513">
      <w:pPr>
        <w:widowControl w:val="0"/>
        <w:numPr>
          <w:ilvl w:val="0"/>
          <w:numId w:val="3"/>
        </w:numPr>
        <w:tabs>
          <w:tab w:val="left" w:pos="851"/>
          <w:tab w:val="left" w:pos="998"/>
        </w:tabs>
        <w:autoSpaceDE w:val="0"/>
        <w:autoSpaceDN w:val="0"/>
        <w:spacing w:line="276" w:lineRule="auto"/>
        <w:ind w:left="0" w:firstLine="567"/>
        <w:rPr>
          <w:rFonts w:asciiTheme="majorHAnsi" w:hAnsiTheme="majorHAnsi" w:cstheme="majorHAnsi"/>
          <w:sz w:val="28"/>
          <w:szCs w:val="28"/>
          <w:lang w:val="vi-VN"/>
        </w:rPr>
      </w:pPr>
      <w:r w:rsidRPr="00A53513">
        <w:rPr>
          <w:rFonts w:asciiTheme="majorHAnsi" w:hAnsiTheme="majorHAnsi" w:cstheme="majorHAnsi"/>
          <w:sz w:val="28"/>
          <w:szCs w:val="28"/>
          <w:lang w:val="vi-VN"/>
        </w:rPr>
        <w:t xml:space="preserve">Đối với </w:t>
      </w:r>
      <w:r w:rsidRPr="00A53513">
        <w:rPr>
          <w:rFonts w:asciiTheme="majorHAnsi" w:hAnsiTheme="majorHAnsi" w:cstheme="majorHAnsi"/>
          <w:sz w:val="28"/>
          <w:szCs w:val="28"/>
        </w:rPr>
        <w:t xml:space="preserve">nhà thầu </w:t>
      </w:r>
      <w:r w:rsidRPr="00A53513">
        <w:rPr>
          <w:rFonts w:asciiTheme="majorHAnsi" w:hAnsiTheme="majorHAnsi" w:cstheme="majorHAnsi"/>
          <w:sz w:val="28"/>
          <w:szCs w:val="28"/>
          <w:lang w:val="vi-VN"/>
        </w:rPr>
        <w:t xml:space="preserve">liên danh tham gia dự thầu: Yêu cầu phải có văn bản cam kết hoặc Thoả thuận giữa các bên với nội dung: (1) Thể hiện rõ trách nhiệm thực hiện bảo hành đối với các hạng mục công việc của các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trong Liên danh đảm nhận thực hiện theo quy định; (2) Nếu các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trong Liên danh không xác định được trách nhiệm thực hiện bảo hành các bên theo quy định, thì thống nhất mời đơn vị kiểm định độc lập đánh giá chất lượng công trình làm cơ sở xác định nguyên nhân hư hỏng, thiệt hại và phương án sửa chữa, khắc phục; đồng thời xác định lỗi của các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trong Liên danh. Toàn bộ kinh phí kiểm định, đánh giá sẽ do </w:t>
      </w:r>
      <w:r w:rsidRPr="00A53513">
        <w:rPr>
          <w:rFonts w:asciiTheme="majorHAnsi" w:hAnsiTheme="majorHAnsi" w:cstheme="majorHAnsi"/>
          <w:sz w:val="28"/>
          <w:szCs w:val="28"/>
        </w:rPr>
        <w:t xml:space="preserve">nhà thầu </w:t>
      </w:r>
      <w:r w:rsidRPr="00A53513">
        <w:rPr>
          <w:rFonts w:asciiTheme="majorHAnsi" w:hAnsiTheme="majorHAnsi" w:cstheme="majorHAnsi"/>
          <w:sz w:val="28"/>
          <w:szCs w:val="28"/>
          <w:lang w:val="vi-VN"/>
        </w:rPr>
        <w:t xml:space="preserve">hoặc các </w:t>
      </w:r>
      <w:r w:rsidRPr="00A53513">
        <w:rPr>
          <w:rFonts w:asciiTheme="majorHAnsi" w:hAnsiTheme="majorHAnsi" w:cstheme="majorHAnsi"/>
          <w:sz w:val="28"/>
          <w:szCs w:val="28"/>
        </w:rPr>
        <w:t>nhà thầu</w:t>
      </w:r>
      <w:r w:rsidRPr="00A53513">
        <w:rPr>
          <w:rFonts w:asciiTheme="majorHAnsi" w:hAnsiTheme="majorHAnsi" w:cstheme="majorHAnsi"/>
          <w:sz w:val="28"/>
          <w:szCs w:val="28"/>
          <w:lang w:val="vi-VN"/>
        </w:rPr>
        <w:t xml:space="preserve"> trong Liên danh được xác định gây lỗi trong thời gian bảo hành chi trả, thanh toán theo quy</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định tại khoản 4 Điều 5 Nghị định 06/2021/NĐ-CP ngày</w:t>
      </w:r>
      <w:r w:rsidRPr="00A53513">
        <w:rPr>
          <w:rFonts w:asciiTheme="majorHAnsi" w:hAnsiTheme="majorHAnsi" w:cstheme="majorHAnsi"/>
          <w:spacing w:val="-1"/>
          <w:sz w:val="28"/>
          <w:szCs w:val="28"/>
          <w:lang w:val="vi-VN"/>
        </w:rPr>
        <w:t xml:space="preserve"> </w:t>
      </w:r>
      <w:r w:rsidRPr="00A53513">
        <w:rPr>
          <w:rFonts w:asciiTheme="majorHAnsi" w:hAnsiTheme="majorHAnsi" w:cstheme="majorHAnsi"/>
          <w:sz w:val="28"/>
          <w:szCs w:val="28"/>
          <w:lang w:val="vi-VN"/>
        </w:rPr>
        <w:t>26/01/2021 của Chính phủ và các quy định hiện hành khác có liên quan.</w:t>
      </w:r>
    </w:p>
    <w:p w14:paraId="591BE0AF"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 xml:space="preserve">8. </w:t>
      </w:r>
      <w:r w:rsidRPr="00A53513">
        <w:rPr>
          <w:rFonts w:asciiTheme="majorHAnsi" w:hAnsiTheme="majorHAnsi" w:cstheme="majorHAnsi"/>
          <w:b/>
          <w:sz w:val="28"/>
          <w:szCs w:val="28"/>
          <w:lang w:val="vi-VN"/>
        </w:rPr>
        <w:t>Thông tin về kết quả thực hiện hợp đồng gói thầu xây lắp, EPC, EC, PC của nhà thầu theo quy định tại Điều 19 và Điều 20 của Nghị định số 214/2025/NĐ-CP</w:t>
      </w:r>
      <w:r w:rsidRPr="00A53513">
        <w:rPr>
          <w:rFonts w:asciiTheme="majorHAnsi" w:hAnsiTheme="majorHAnsi" w:cstheme="majorHAnsi"/>
          <w:b/>
          <w:sz w:val="28"/>
          <w:szCs w:val="28"/>
        </w:rPr>
        <w:t>.</w:t>
      </w:r>
    </w:p>
    <w:p w14:paraId="1D87707E"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lang w:val="vi-VN"/>
        </w:rPr>
      </w:pPr>
      <w:r w:rsidRPr="00A53513">
        <w:rPr>
          <w:rFonts w:asciiTheme="majorHAnsi" w:hAnsiTheme="majorHAnsi" w:cstheme="majorHAnsi"/>
          <w:bCs/>
          <w:sz w:val="28"/>
          <w:szCs w:val="28"/>
          <w:lang w:val="vi-VN"/>
        </w:rPr>
        <w:t>- Nhà thầu không vi phạm các Thông tin về kết quả thực hiện hợp đồng theo quy định tại Điều 19 và Điều 20 của Nghị định số 214/2025/NĐ-CP.</w:t>
      </w:r>
    </w:p>
    <w:p w14:paraId="6FF36039"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9. Các yếu tố cần thiết khác.</w:t>
      </w:r>
    </w:p>
    <w:p w14:paraId="66BF4B5D"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9.1. Mức độ đáp ứng các yêu cầu về vật liệu: Đối với các vật tư, vật liệu chính: (</w:t>
      </w:r>
      <w:r w:rsidRPr="00A53513">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A53513">
        <w:rPr>
          <w:rFonts w:asciiTheme="majorHAnsi" w:hAnsiTheme="majorHAnsi" w:cstheme="majorHAnsi"/>
          <w:color w:val="EE0000"/>
          <w:sz w:val="28"/>
          <w:szCs w:val="28"/>
          <w:lang w:val="es-ES"/>
        </w:rPr>
        <w:t>Polyme</w:t>
      </w:r>
      <w:proofErr w:type="spellEnd"/>
      <w:r w:rsidRPr="00A53513">
        <w:rPr>
          <w:rFonts w:asciiTheme="majorHAnsi" w:hAnsiTheme="majorHAnsi" w:cstheme="majorHAnsi"/>
          <w:color w:val="EE0000"/>
          <w:sz w:val="28"/>
          <w:szCs w:val="28"/>
          <w:lang w:val="es-ES"/>
        </w:rPr>
        <w:t>, Bê tông xi măng, sơn kẻ đường…</w:t>
      </w:r>
      <w:r w:rsidRPr="00A53513">
        <w:rPr>
          <w:rFonts w:asciiTheme="majorHAnsi" w:hAnsiTheme="majorHAnsi" w:cstheme="majorHAnsi"/>
          <w:sz w:val="28"/>
          <w:szCs w:val="28"/>
        </w:rPr>
        <w:t>)</w:t>
      </w:r>
    </w:p>
    <w:p w14:paraId="53BB14E9"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Style w:val="fontstyle01"/>
          <w:rFonts w:asciiTheme="majorHAnsi" w:hAnsiTheme="majorHAnsi" w:cstheme="majorHAnsi"/>
          <w:b w:val="0"/>
          <w:bCs w:val="0"/>
          <w:sz w:val="28"/>
          <w:szCs w:val="28"/>
        </w:rPr>
        <w:t>-</w:t>
      </w:r>
      <w:r w:rsidRPr="00A53513">
        <w:rPr>
          <w:rFonts w:asciiTheme="majorHAnsi" w:hAnsiTheme="majorHAnsi" w:cstheme="majorHAnsi"/>
          <w:b/>
          <w:bCs/>
          <w:sz w:val="28"/>
          <w:szCs w:val="28"/>
        </w:rPr>
        <w:t xml:space="preserve"> </w:t>
      </w:r>
      <w:r w:rsidRPr="00A53513">
        <w:rPr>
          <w:rStyle w:val="fontstyle01"/>
          <w:rFonts w:asciiTheme="majorHAnsi" w:hAnsiTheme="majorHAnsi" w:cstheme="majorHAnsi"/>
          <w:b w:val="0"/>
          <w:bCs w:val="0"/>
          <w:sz w:val="28"/>
          <w:szCs w:val="28"/>
        </w:rPr>
        <w:t xml:space="preserve">Có bảng liệt kê danh sách vật tư, vật liệu chủ yếu sử dụng thi công gói thầu như: </w:t>
      </w:r>
      <w:r w:rsidRPr="00A53513">
        <w:rPr>
          <w:rStyle w:val="fontstyle01"/>
          <w:rFonts w:asciiTheme="majorHAnsi" w:hAnsiTheme="majorHAnsi" w:cstheme="majorHAnsi"/>
          <w:sz w:val="28"/>
          <w:szCs w:val="28"/>
        </w:rPr>
        <w:t>(</w:t>
      </w:r>
      <w:r w:rsidRPr="00A53513">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A53513">
        <w:rPr>
          <w:rFonts w:asciiTheme="majorHAnsi" w:hAnsiTheme="majorHAnsi" w:cstheme="majorHAnsi"/>
          <w:color w:val="EE0000"/>
          <w:sz w:val="28"/>
          <w:szCs w:val="28"/>
          <w:lang w:val="es-ES"/>
        </w:rPr>
        <w:t>Polyme</w:t>
      </w:r>
      <w:proofErr w:type="spellEnd"/>
      <w:r w:rsidRPr="00A53513">
        <w:rPr>
          <w:rFonts w:asciiTheme="majorHAnsi" w:hAnsiTheme="majorHAnsi" w:cstheme="majorHAnsi"/>
          <w:color w:val="EE0000"/>
          <w:sz w:val="28"/>
          <w:szCs w:val="28"/>
          <w:lang w:val="es-ES"/>
        </w:rPr>
        <w:t>, Bê tông xi măng, sơn kẻ đường</w:t>
      </w:r>
      <w:r w:rsidRPr="00A53513">
        <w:rPr>
          <w:rFonts w:asciiTheme="majorHAnsi" w:hAnsiTheme="majorHAnsi" w:cstheme="majorHAnsi"/>
          <w:sz w:val="28"/>
          <w:szCs w:val="28"/>
          <w:lang w:val="es-ES"/>
        </w:rPr>
        <w:t>…</w:t>
      </w:r>
      <w:r w:rsidRPr="00A53513">
        <w:rPr>
          <w:rStyle w:val="fontstyle01"/>
          <w:rFonts w:asciiTheme="majorHAnsi" w:hAnsiTheme="majorHAnsi" w:cstheme="majorHAnsi"/>
          <w:sz w:val="28"/>
          <w:szCs w:val="28"/>
        </w:rPr>
        <w:t>)</w:t>
      </w:r>
      <w:r w:rsidRPr="00A53513">
        <w:rPr>
          <w:rStyle w:val="fontstyle01"/>
          <w:rFonts w:asciiTheme="majorHAnsi" w:hAnsiTheme="majorHAnsi" w:cstheme="majorHAnsi"/>
          <w:b w:val="0"/>
          <w:bCs w:val="0"/>
          <w:sz w:val="28"/>
          <w:szCs w:val="28"/>
        </w:rPr>
        <w:t xml:space="preserve"> cho các hạng mục công trình</w:t>
      </w:r>
      <w:r w:rsidRPr="00A53513">
        <w:rPr>
          <w:rStyle w:val="fontstyle01"/>
          <w:rFonts w:asciiTheme="majorHAnsi" w:hAnsiTheme="majorHAnsi" w:cstheme="majorHAnsi"/>
          <w:sz w:val="28"/>
          <w:szCs w:val="28"/>
        </w:rPr>
        <w:t xml:space="preserve"> </w:t>
      </w:r>
      <w:r w:rsidRPr="00A53513">
        <w:rPr>
          <w:rFonts w:asciiTheme="majorHAnsi" w:hAnsiTheme="majorHAnsi" w:cstheme="majorHAnsi"/>
          <w:sz w:val="28"/>
          <w:szCs w:val="28"/>
        </w:rPr>
        <w:t>trong đó nêu rõ: Chủng loại, xuất xứ, nguồn cung cấp.</w:t>
      </w:r>
    </w:p>
    <w:p w14:paraId="4B1E1E96" w14:textId="77777777" w:rsidR="00A53513" w:rsidRPr="00A53513" w:rsidRDefault="00A53513" w:rsidP="00A53513">
      <w:pPr>
        <w:widowControl w:val="0"/>
        <w:autoSpaceDE w:val="0"/>
        <w:autoSpaceDN w:val="0"/>
        <w:spacing w:before="20" w:after="20" w:line="247"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t>- Toàn bộ vật liệu, vật tư, thiết bị sử dụng cho công trình phải đảm bảo mới 100% và đang còn thời hạn sử dụng. Các thiết bị chính phải đảm bảo hàng chính hãng, đồng bộ, chưa từng qua sử dụng, thuộc thế hệ mới nhất.</w:t>
      </w:r>
    </w:p>
    <w:p w14:paraId="5D884891" w14:textId="77777777" w:rsidR="00A53513" w:rsidRPr="00A53513" w:rsidRDefault="00A53513" w:rsidP="00A53513">
      <w:pPr>
        <w:spacing w:before="40" w:after="40" w:line="276" w:lineRule="auto"/>
        <w:ind w:firstLine="567"/>
        <w:rPr>
          <w:rFonts w:asciiTheme="majorHAnsi" w:hAnsiTheme="majorHAnsi" w:cstheme="majorHAnsi"/>
          <w:sz w:val="28"/>
          <w:szCs w:val="28"/>
        </w:rPr>
      </w:pPr>
      <w:r w:rsidRPr="00A53513">
        <w:rPr>
          <w:rFonts w:asciiTheme="majorHAnsi" w:hAnsiTheme="majorHAnsi" w:cstheme="majorHAnsi"/>
          <w:bCs/>
          <w:sz w:val="28"/>
          <w:szCs w:val="28"/>
        </w:rPr>
        <w:t xml:space="preserve">- Có văn bản cam kết hoặc hợp đồng nguyên tắc từ đơn vị cung cấp vật tư, vật liệu (các đơn vị cung cấp vật liệu phải có đăng ký kinh doanh đối với các loại vật </w:t>
      </w:r>
      <w:r w:rsidRPr="00A53513">
        <w:rPr>
          <w:rFonts w:asciiTheme="majorHAnsi" w:hAnsiTheme="majorHAnsi" w:cstheme="majorHAnsi"/>
          <w:bCs/>
          <w:sz w:val="28"/>
          <w:szCs w:val="28"/>
        </w:rPr>
        <w:lastRenderedPageBreak/>
        <w:t xml:space="preserve">liệu do mình cung cấp, </w:t>
      </w:r>
      <w:r w:rsidRPr="00A53513">
        <w:rPr>
          <w:rFonts w:asciiTheme="majorHAnsi" w:hAnsiTheme="majorHAnsi" w:cstheme="majorHAnsi"/>
          <w:bCs/>
          <w:color w:val="00B0F0"/>
          <w:sz w:val="28"/>
          <w:szCs w:val="28"/>
        </w:rPr>
        <w:t>trường hợp giấy ĐKKD không thể hiện loại vật liệu thì cung cấp hóa đơn hoặc các tài liệu khác tương đương</w:t>
      </w:r>
      <w:r w:rsidRPr="00A53513">
        <w:rPr>
          <w:rFonts w:asciiTheme="majorHAnsi" w:hAnsiTheme="majorHAnsi" w:cstheme="majorHAnsi"/>
          <w:bCs/>
          <w:sz w:val="28"/>
          <w:szCs w:val="28"/>
        </w:rPr>
        <w:t xml:space="preserve">). Các cam kết hoặc hợp đồng nguyên tắc phải ghi cụ thể tên công trình thuộc gói thầu này và được đóng dấu giáp lai của đơn vị cung cấp vật tư, vật liệu. Riêng BTN ngoài các yêu cầu nêu trên còn phải đáp ứng yêu cầu nêu tại mục 8.2 quy định về </w:t>
      </w:r>
      <w:r w:rsidRPr="00A53513">
        <w:rPr>
          <w:rFonts w:asciiTheme="majorHAnsi" w:hAnsiTheme="majorHAnsi" w:cstheme="majorHAnsi"/>
          <w:sz w:val="28"/>
          <w:szCs w:val="28"/>
        </w:rPr>
        <w:t>công tác sản xuất Bê tông nhựa nóng (BTN).</w:t>
      </w:r>
    </w:p>
    <w:p w14:paraId="5054C7FA" w14:textId="77777777" w:rsidR="00A53513" w:rsidRPr="00A53513" w:rsidRDefault="00A53513" w:rsidP="00A53513">
      <w:pPr>
        <w:spacing w:before="40" w:after="40" w:line="276" w:lineRule="auto"/>
        <w:ind w:firstLine="567"/>
        <w:rPr>
          <w:rFonts w:asciiTheme="majorHAnsi" w:hAnsiTheme="majorHAnsi" w:cstheme="majorHAnsi"/>
          <w:bCs/>
          <w:color w:val="00B0F0"/>
          <w:sz w:val="28"/>
          <w:szCs w:val="28"/>
        </w:rPr>
      </w:pPr>
      <w:r w:rsidRPr="00A53513">
        <w:rPr>
          <w:rFonts w:asciiTheme="majorHAnsi" w:hAnsiTheme="majorHAnsi" w:cstheme="majorHAnsi"/>
          <w:bCs/>
          <w:color w:val="00B0F0"/>
          <w:sz w:val="28"/>
          <w:szCs w:val="28"/>
        </w:rPr>
        <w:t xml:space="preserve">- Đối với cát, đá các loại phải có tài liệu chứng minh nguồn gốc khai thác hợp pháp (kèm theo giấy phép khai thác được cơ quan có chức năng cấp còn hiệu lực khai thác). </w:t>
      </w:r>
    </w:p>
    <w:p w14:paraId="5F88B1D6"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t xml:space="preserve">- Không có hoặc có bản cam kết/hợp đồng nguyên tắc từ đơn vị cung cấp vật liệu nhưng chưa đầy đủ nội dung và đã được nhà thầu bổ sung, làm rõ theo yêu cầu của Chủ đầu tư, các tài liệu do nhà thầu bổ sung đảm bảo yêu E-HSDT.  </w:t>
      </w:r>
    </w:p>
    <w:p w14:paraId="1A1B4DCA"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bCs/>
          <w:sz w:val="28"/>
          <w:szCs w:val="28"/>
        </w:rPr>
        <w:t xml:space="preserve">9.2. </w:t>
      </w:r>
      <w:r w:rsidRPr="00A53513">
        <w:rPr>
          <w:rFonts w:asciiTheme="majorHAnsi" w:hAnsiTheme="majorHAnsi" w:cstheme="majorHAnsi"/>
          <w:sz w:val="28"/>
          <w:szCs w:val="28"/>
        </w:rPr>
        <w:t>Đối với công tác sản xuất Bê tông nhựa nóng (BTN) tuân thủ quy định tại TCVN 13567-1:2022, TCVN 13567-2:2022 và các quy định hiện hành khác có liên quan đang áp dụng</w:t>
      </w:r>
    </w:p>
    <w:p w14:paraId="2483F934" w14:textId="77777777" w:rsidR="00A53513" w:rsidRPr="00A53513" w:rsidRDefault="00A53513" w:rsidP="00A53513">
      <w:pPr>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Trường hợp nhà thầu tự sản xuất BTN:</w:t>
      </w:r>
    </w:p>
    <w:p w14:paraId="75FC09EB" w14:textId="77777777" w:rsidR="00A53513" w:rsidRPr="00A53513" w:rsidRDefault="00A53513" w:rsidP="00A53513">
      <w:pPr>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Nhà thầu phải có trạm trộn BTN tuân thủ quy định tại TCVN 13567-1:2022; TCVN 13567-2:2022 và xác nhận trạm trộn BTN đang hoạt động bình thường.</w:t>
      </w:r>
    </w:p>
    <w:p w14:paraId="611567E4" w14:textId="77777777" w:rsidR="00A53513" w:rsidRPr="00A53513" w:rsidRDefault="00A53513" w:rsidP="00A53513">
      <w:pPr>
        <w:widowControl w:val="0"/>
        <w:tabs>
          <w:tab w:val="left" w:pos="851"/>
        </w:tabs>
        <w:spacing w:line="276" w:lineRule="auto"/>
        <w:ind w:firstLine="567"/>
        <w:rPr>
          <w:rFonts w:asciiTheme="majorHAnsi" w:hAnsiTheme="majorHAnsi" w:cstheme="majorHAnsi"/>
          <w:b/>
          <w:bCs/>
          <w:sz w:val="28"/>
          <w:szCs w:val="28"/>
        </w:rPr>
      </w:pPr>
      <w:r w:rsidRPr="00A53513">
        <w:rPr>
          <w:rStyle w:val="fontstyle01"/>
          <w:rFonts w:asciiTheme="majorHAnsi" w:hAnsiTheme="majorHAnsi" w:cstheme="majorHAnsi"/>
          <w:b w:val="0"/>
          <w:bCs w:val="0"/>
          <w:sz w:val="28"/>
          <w:szCs w:val="28"/>
        </w:rPr>
        <w:t xml:space="preserve">- Trường hợp nhà thầu mua BTN và BTN </w:t>
      </w:r>
      <w:proofErr w:type="spellStart"/>
      <w:r w:rsidRPr="00A53513">
        <w:rPr>
          <w:rStyle w:val="fontstyle01"/>
          <w:rFonts w:asciiTheme="majorHAnsi" w:hAnsiTheme="majorHAnsi" w:cstheme="majorHAnsi"/>
          <w:b w:val="0"/>
          <w:bCs w:val="0"/>
          <w:sz w:val="28"/>
          <w:szCs w:val="28"/>
        </w:rPr>
        <w:t>Polyme</w:t>
      </w:r>
      <w:proofErr w:type="spellEnd"/>
      <w:r w:rsidRPr="00A53513">
        <w:rPr>
          <w:rStyle w:val="fontstyle01"/>
          <w:rFonts w:asciiTheme="majorHAnsi" w:hAnsiTheme="majorHAnsi" w:cstheme="majorHAnsi"/>
          <w:b w:val="0"/>
          <w:bCs w:val="0"/>
          <w:sz w:val="28"/>
          <w:szCs w:val="28"/>
        </w:rPr>
        <w:t xml:space="preserve"> hoặc thuê trạm BTN thì phải kê khai trong hồ sơ dự thầu và cam kết trạm trộn sản xuất bê tông nhựa đáp ứng tiêu chuẩn theo quy định và đóng kèm tối thiểu 01 hợp đồng để chứng minh đã cung cấp BTN hoặc cho thuê trạm BTN trong vòng 05 năm tính đến ngày có thời điểm đóng thầu và kèm tài liệu chứng minh đã hoàn thành (như Biên bản thanh lý HĐ…).</w:t>
      </w:r>
    </w:p>
    <w:p w14:paraId="0D3F88D9" w14:textId="77777777" w:rsidR="00A53513" w:rsidRPr="00A53513" w:rsidRDefault="00A53513" w:rsidP="00A53513">
      <w:pPr>
        <w:widowControl w:val="0"/>
        <w:tabs>
          <w:tab w:val="left" w:pos="851"/>
        </w:tabs>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9.3</w:t>
      </w:r>
      <w:r w:rsidRPr="00A53513">
        <w:rPr>
          <w:rFonts w:asciiTheme="majorHAnsi" w:hAnsiTheme="majorHAnsi" w:cstheme="majorHAnsi"/>
          <w:b/>
          <w:bCs/>
          <w:sz w:val="28"/>
          <w:szCs w:val="28"/>
        </w:rPr>
        <w:t xml:space="preserve"> </w:t>
      </w:r>
      <w:r w:rsidRPr="00A53513">
        <w:rPr>
          <w:rFonts w:asciiTheme="majorHAnsi" w:hAnsiTheme="majorHAnsi" w:cstheme="majorHAnsi"/>
          <w:sz w:val="28"/>
          <w:szCs w:val="28"/>
        </w:rPr>
        <w:t>Cam kết về huy động đúng, đầy đủ nhân sự chủ chốt đã đề xuất trong E-HSDT cho gói thầu nếu trúng thầu.</w:t>
      </w:r>
    </w:p>
    <w:p w14:paraId="59719957"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E-HSDT có đính kèm cam kết được ký đóng dấu bởi nhà thầu;</w:t>
      </w:r>
    </w:p>
    <w:p w14:paraId="76147465"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 Nội dung cam kết về huy động đúng, đầy đủ nhân sự chủ chốt đã đề xuất trong E-HSDT cho gói thầu nếu trúng thầu.</w:t>
      </w:r>
    </w:p>
    <w:p w14:paraId="09C24613"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9.4 Cam kết về huy động đúng, đầy đủ thiết bị thi công đã đề xuất trong E-HSDT cho gói thầu nếu trúng thầu.</w:t>
      </w:r>
    </w:p>
    <w:p w14:paraId="7D06F248"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E-HSDT có đính kèm cam kết được ký đóng dấu bởi nhà thầu;</w:t>
      </w:r>
    </w:p>
    <w:p w14:paraId="0E89BAE1"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 Nội dung cam kết về huy động đúng, đầy đủ thiết bị thi công đã đề xuất trong E-HSDT cho gói thầu nếu trúng thầu.</w:t>
      </w:r>
    </w:p>
    <w:p w14:paraId="54D313FE"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9.5 Cam kết về thi công đảm bảo ATLĐ, thực hiện đầy đủ biện pháp đảm bảo ATGT, VSMT theo đúng quy định nếu trúng thầu.</w:t>
      </w:r>
    </w:p>
    <w:p w14:paraId="40B2D156"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E-HSDT có đính kèm cam kết được ký đóng dấu bởi nhà thầu;</w:t>
      </w:r>
    </w:p>
    <w:p w14:paraId="2715B6D2" w14:textId="77777777" w:rsidR="00A53513" w:rsidRPr="00A53513" w:rsidRDefault="00A53513" w:rsidP="00A53513">
      <w:pPr>
        <w:spacing w:line="276" w:lineRule="auto"/>
        <w:ind w:firstLine="567"/>
        <w:rPr>
          <w:rFonts w:asciiTheme="majorHAnsi" w:hAnsiTheme="majorHAnsi" w:cstheme="majorHAnsi"/>
          <w:sz w:val="28"/>
          <w:szCs w:val="28"/>
        </w:rPr>
      </w:pPr>
      <w:r w:rsidRPr="00A53513">
        <w:rPr>
          <w:rFonts w:asciiTheme="majorHAnsi" w:hAnsiTheme="majorHAnsi" w:cstheme="majorHAnsi"/>
          <w:sz w:val="28"/>
          <w:szCs w:val="28"/>
        </w:rPr>
        <w:t>- Nội dung cam kết về thi công đảm bảo ATLĐ, thực hiện đầy đủ biện pháp đảm bảo ATGT, VSMT theo đúng quy định nếu trúng thầu.</w:t>
      </w:r>
    </w:p>
    <w:p w14:paraId="07136352"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sz w:val="28"/>
          <w:szCs w:val="28"/>
        </w:rPr>
        <w:t>- Nội dung cam kết về thực hiện đầy đủ biện pháp bảo hộ lao động (giầy, mũ, dây an toàn….); công nhân và cán bộ thi công tại công trường phải mặc đồng phục có tên hoặc logo của nhà thầu.</w:t>
      </w:r>
    </w:p>
    <w:p w14:paraId="0DD5E9C7"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lastRenderedPageBreak/>
        <w:t xml:space="preserve">9.6. Cam kết “Nhà thầu có trách nhiệm bồi thường toàn bộ thiệt hại cho bên thứ ba bị ảnh hưởng do hoạt động thi công xây dựng của nhà thầu gây </w:t>
      </w:r>
      <w:proofErr w:type="spellStart"/>
      <w:r w:rsidRPr="00A53513">
        <w:rPr>
          <w:rFonts w:asciiTheme="majorHAnsi" w:hAnsiTheme="majorHAnsi" w:cstheme="majorHAnsi"/>
          <w:bCs/>
          <w:sz w:val="28"/>
          <w:szCs w:val="28"/>
        </w:rPr>
        <w:t>ra.</w:t>
      </w:r>
      <w:proofErr w:type="spellEnd"/>
      <w:r w:rsidRPr="00A53513">
        <w:rPr>
          <w:rFonts w:asciiTheme="majorHAnsi" w:hAnsiTheme="majorHAnsi" w:cstheme="majorHAnsi"/>
          <w:bCs/>
          <w:sz w:val="28"/>
          <w:szCs w:val="28"/>
        </w:rPr>
        <w:t xml:space="preserve"> Việc ảnh hưởng này không được làm ảnh hưởng đến tiến độ thực hiện gói thầu (trừ trường hợp bất khả kháng) nếu trúng thầu”</w:t>
      </w:r>
    </w:p>
    <w:p w14:paraId="6276387B" w14:textId="77777777" w:rsidR="00A53513" w:rsidRPr="00A53513" w:rsidRDefault="00A53513" w:rsidP="00A53513">
      <w:pPr>
        <w:spacing w:before="60" w:after="40" w:line="247"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t>- E-HSDT có đính kèm cam kết được ký đóng dấu bởi nhà thầu;</w:t>
      </w:r>
    </w:p>
    <w:p w14:paraId="6C61A192"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t xml:space="preserve">- Nội dung cam kết về “Nhà thầu có trách nhiệm bồi thường toàn bộ thiệt hại cho bên thứ ba bị ảnh hưởng do hoạt động thi công xây dựng của nhà thầu gây </w:t>
      </w:r>
      <w:proofErr w:type="spellStart"/>
      <w:r w:rsidRPr="00A53513">
        <w:rPr>
          <w:rFonts w:asciiTheme="majorHAnsi" w:hAnsiTheme="majorHAnsi" w:cstheme="majorHAnsi"/>
          <w:bCs/>
          <w:sz w:val="28"/>
          <w:szCs w:val="28"/>
        </w:rPr>
        <w:t>ra.</w:t>
      </w:r>
      <w:proofErr w:type="spellEnd"/>
      <w:r w:rsidRPr="00A53513">
        <w:rPr>
          <w:rFonts w:asciiTheme="majorHAnsi" w:hAnsiTheme="majorHAnsi" w:cstheme="majorHAnsi"/>
          <w:bCs/>
          <w:sz w:val="28"/>
          <w:szCs w:val="28"/>
        </w:rPr>
        <w:t xml:space="preserve"> Việc ảnh hưởng này không được làm ảnh hưởng đến tiến độ thực hiện gói thầu (trừ trường hợp bất khả kháng) nếu trúng thầu”.</w:t>
      </w:r>
    </w:p>
    <w:p w14:paraId="7880448A" w14:textId="77777777" w:rsidR="00A53513" w:rsidRPr="00A53513" w:rsidRDefault="00A53513" w:rsidP="00A53513">
      <w:pPr>
        <w:widowControl w:val="0"/>
        <w:tabs>
          <w:tab w:val="left" w:pos="851"/>
        </w:tabs>
        <w:spacing w:line="276" w:lineRule="auto"/>
        <w:ind w:firstLine="567"/>
        <w:rPr>
          <w:rFonts w:asciiTheme="majorHAnsi" w:hAnsiTheme="majorHAnsi" w:cstheme="majorHAnsi"/>
          <w:bCs/>
          <w:sz w:val="28"/>
          <w:szCs w:val="28"/>
        </w:rPr>
      </w:pPr>
      <w:r w:rsidRPr="00A53513">
        <w:rPr>
          <w:rFonts w:asciiTheme="majorHAnsi" w:hAnsiTheme="majorHAnsi" w:cstheme="majorHAnsi"/>
          <w:bCs/>
          <w:sz w:val="28"/>
          <w:szCs w:val="28"/>
        </w:rPr>
        <w:t>9.7. Cam kết đối với nội dung không có hợp đồng không hoàn thành hợp đồng</w:t>
      </w:r>
      <w:r w:rsidRPr="00A53513">
        <w:rPr>
          <w:rFonts w:asciiTheme="majorHAnsi" w:hAnsiTheme="majorHAnsi" w:cstheme="majorHAnsi"/>
          <w:sz w:val="28"/>
          <w:szCs w:val="28"/>
        </w:rPr>
        <w:t xml:space="preserve"> do lỗi của nhà thầu: Nhà thầu có cam kết bởi Người đại diện theo pháp luật của doanh nghiệp nội dung như sau: từ ngày 01 tháng 01 năm </w:t>
      </w:r>
      <w:r w:rsidRPr="00A53513">
        <w:rPr>
          <w:rFonts w:asciiTheme="majorHAnsi" w:hAnsiTheme="majorHAnsi" w:cstheme="majorHAnsi"/>
          <w:sz w:val="28"/>
          <w:szCs w:val="28"/>
          <w:lang w:val="vi-VN"/>
        </w:rPr>
        <w:t>2022</w:t>
      </w:r>
      <w:r w:rsidRPr="00A53513">
        <w:rPr>
          <w:rFonts w:asciiTheme="majorHAnsi" w:hAnsiTheme="majorHAnsi" w:cstheme="majorHAnsi"/>
          <w:sz w:val="28"/>
          <w:szCs w:val="28"/>
          <w:vertAlign w:val="superscript"/>
        </w:rPr>
        <w:t xml:space="preserve"> </w:t>
      </w:r>
      <w:r w:rsidRPr="00A53513">
        <w:rPr>
          <w:rFonts w:asciiTheme="majorHAnsi" w:hAnsiTheme="majorHAnsi" w:cstheme="majorHAnsi"/>
          <w:sz w:val="28"/>
          <w:szCs w:val="28"/>
        </w:rPr>
        <w:t>đến thời điểm đóng thầu, nhà thầu không có hợp đồng xây lắp, EPC, EC, PC, chìa khóa trao tay không hoàn thành do lỗi của nhà thầu cụ thể: Hợp đồng bị Chủ đầu tư chấm dứt (bao gồm cả trường hợp đơn phương chấm dứt) theo điều khoản của hợp đồng do lỗi nhà thầu không hoàn thành hoặc bị Chủ đầu tư cắt chuyển khối lượng hợp đồng cho Nhà thầu khác do lỗi Nhà thầu vi phạm hợp đồng.</w:t>
      </w:r>
    </w:p>
    <w:p w14:paraId="6BD24E8D"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10</w:t>
      </w:r>
      <w:r w:rsidRPr="00A53513">
        <w:rPr>
          <w:rFonts w:asciiTheme="majorHAnsi" w:hAnsiTheme="majorHAnsi" w:cstheme="majorHAnsi"/>
          <w:b/>
          <w:sz w:val="28"/>
          <w:szCs w:val="28"/>
          <w:lang w:val="vi-VN"/>
        </w:rPr>
        <w:t>. Yêu cầu về nhân sự</w:t>
      </w:r>
      <w:r w:rsidRPr="00A53513">
        <w:rPr>
          <w:rFonts w:asciiTheme="majorHAnsi" w:hAnsiTheme="majorHAnsi" w:cstheme="majorHAnsi"/>
          <w:b/>
          <w:sz w:val="28"/>
          <w:szCs w:val="28"/>
        </w:rPr>
        <w:t>.</w:t>
      </w:r>
    </w:p>
    <w:p w14:paraId="7E1C7121" w14:textId="77777777" w:rsidR="00A53513" w:rsidRPr="00A53513" w:rsidRDefault="00A53513" w:rsidP="00A53513">
      <w:pPr>
        <w:widowControl w:val="0"/>
        <w:tabs>
          <w:tab w:val="left" w:pos="284"/>
        </w:tabs>
        <w:autoSpaceDE w:val="0"/>
        <w:autoSpaceDN w:val="0"/>
        <w:spacing w:before="20" w:after="20" w:line="276" w:lineRule="auto"/>
        <w:ind w:firstLine="567"/>
        <w:outlineLvl w:val="0"/>
        <w:rPr>
          <w:rFonts w:asciiTheme="majorHAnsi" w:hAnsiTheme="majorHAnsi" w:cstheme="majorHAnsi"/>
          <w:spacing w:val="-2"/>
          <w:sz w:val="28"/>
          <w:szCs w:val="28"/>
          <w:lang w:val="vi-VN"/>
        </w:rPr>
      </w:pPr>
      <w:r w:rsidRPr="00A53513">
        <w:rPr>
          <w:rFonts w:asciiTheme="majorHAnsi" w:hAnsiTheme="majorHAnsi" w:cstheme="majorHAnsi"/>
          <w:spacing w:val="-2"/>
          <w:sz w:val="28"/>
          <w:szCs w:val="28"/>
        </w:rPr>
        <w:t xml:space="preserve">- </w:t>
      </w:r>
      <w:r w:rsidRPr="00A53513">
        <w:rPr>
          <w:rFonts w:asciiTheme="majorHAnsi" w:hAnsiTheme="majorHAnsi" w:cstheme="majorHAnsi"/>
          <w:spacing w:val="-2"/>
          <w:sz w:val="28"/>
          <w:szCs w:val="28"/>
          <w:lang w:val="vi-VN"/>
        </w:rPr>
        <w:t>Nhà thầu phải cung cấp thông tin chi tiết về các nhân sự chủ chốt được đề xuất và hồ sơ kinh nghiệm của nhân sự theo các Mẫu số 06A, 06B và 06C Chương IV của E-HSMT. Để chứng minh nhân sự cho vị trí chủ chốt đáp ứng tính sẵn sàng huy động, trong Mẫu số 06B, mục “Công việc hiện tại/Chức danh”: Nhà thầu phải kê khai cụ thể công việc tại thời điểm hiện tại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Nhân sự chủ chốt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242CED36" w14:textId="77777777" w:rsidR="00A53513" w:rsidRPr="00A53513" w:rsidRDefault="00A53513" w:rsidP="00A53513">
      <w:pPr>
        <w:pStyle w:val="TableParagraph"/>
        <w:tabs>
          <w:tab w:val="left" w:pos="284"/>
        </w:tabs>
        <w:spacing w:before="20" w:after="20" w:line="276" w:lineRule="auto"/>
        <w:ind w:left="0" w:right="78" w:firstLine="567"/>
        <w:jc w:val="both"/>
        <w:rPr>
          <w:rFonts w:asciiTheme="majorHAnsi" w:hAnsiTheme="majorHAnsi" w:cstheme="majorHAnsi"/>
          <w:sz w:val="28"/>
          <w:szCs w:val="28"/>
          <w:lang w:val="vi-VN"/>
        </w:rPr>
      </w:pPr>
      <w:r w:rsidRPr="00A53513">
        <w:rPr>
          <w:rFonts w:asciiTheme="majorHAnsi" w:hAnsiTheme="majorHAnsi" w:cstheme="majorHAnsi"/>
          <w:b/>
          <w:sz w:val="28"/>
          <w:szCs w:val="28"/>
        </w:rPr>
        <w:t>-</w:t>
      </w:r>
      <w:r w:rsidRPr="00A53513">
        <w:rPr>
          <w:rFonts w:asciiTheme="majorHAnsi" w:hAnsiTheme="majorHAnsi" w:cstheme="majorHAnsi"/>
          <w:b/>
          <w:sz w:val="28"/>
          <w:szCs w:val="28"/>
          <w:lang w:val="vi-VN"/>
        </w:rPr>
        <w:t xml:space="preserve"> </w:t>
      </w:r>
      <w:r w:rsidRPr="00A53513">
        <w:rPr>
          <w:rFonts w:asciiTheme="majorHAnsi" w:hAnsiTheme="majorHAnsi" w:cstheme="majorHAnsi"/>
          <w:sz w:val="28"/>
          <w:szCs w:val="28"/>
          <w:lang w:val="vi-VN"/>
        </w:rPr>
        <w:t xml:space="preserve">Trường hợp nhà thầu trúng thầu và ký kết hợp đồng, nhà thầu có nghĩa vụ huy động đúng và đầy đủ nhân sự chủ chốt như đã đề xuất và Cam kết của nhà thầu. Trường hợp không huy động được đúng và đầy đủ nhân sự chủ chốt mà không thuộc trường hợp bất khả kháng, không có lý do khách quan (kể cả trường hợp do bên thứ 3 cung cấp nhân sự), dẫn đến Nhà thầu không đạt yêu cầu về năng lực, kinh nghiệm nhà thầu bị đánh giá về vi phạm hợp đồng khi tham gia các gói thầu khác và công khai kết quả thực hiện hợp đồng trên hệ thống mạng đấu thầu quốc gia theo quy định </w:t>
      </w:r>
      <w:r w:rsidRPr="00A53513">
        <w:rPr>
          <w:rFonts w:asciiTheme="majorHAnsi" w:hAnsiTheme="majorHAnsi" w:cstheme="majorHAnsi"/>
          <w:sz w:val="28"/>
          <w:szCs w:val="28"/>
          <w:lang w:val="vi-VN"/>
        </w:rPr>
        <w:lastRenderedPageBreak/>
        <w:t xml:space="preserve">tại khoản 3, khoản 4, Điều 20 của Nghị định số 214/2025/NĐ-CP. </w:t>
      </w:r>
    </w:p>
    <w:p w14:paraId="6A94EB95" w14:textId="77777777" w:rsidR="00A53513" w:rsidRPr="00A53513" w:rsidRDefault="00A53513" w:rsidP="00A53513">
      <w:pPr>
        <w:pStyle w:val="TableParagraph"/>
        <w:tabs>
          <w:tab w:val="left" w:pos="284"/>
        </w:tabs>
        <w:spacing w:before="20" w:after="20" w:line="276" w:lineRule="auto"/>
        <w:ind w:left="0" w:right="78" w:firstLine="567"/>
        <w:jc w:val="both"/>
        <w:rPr>
          <w:rFonts w:asciiTheme="majorHAnsi" w:hAnsiTheme="majorHAnsi" w:cstheme="majorHAnsi"/>
          <w:sz w:val="28"/>
          <w:szCs w:val="28"/>
          <w:lang w:val="vi-VN"/>
        </w:rPr>
      </w:pPr>
      <w:r w:rsidRPr="00A53513">
        <w:rPr>
          <w:rFonts w:asciiTheme="majorHAnsi" w:hAnsiTheme="majorHAnsi" w:cstheme="majorHAnsi"/>
          <w:sz w:val="28"/>
          <w:szCs w:val="28"/>
        </w:rPr>
        <w:t>-</w:t>
      </w:r>
      <w:r w:rsidRPr="00A53513">
        <w:rPr>
          <w:rFonts w:asciiTheme="majorHAnsi" w:hAnsiTheme="majorHAnsi" w:cstheme="majorHAnsi"/>
          <w:sz w:val="28"/>
          <w:szCs w:val="28"/>
          <w:lang w:val="vi-VN"/>
        </w:rPr>
        <w:t xml:space="preserve"> Cấp hạng công trình theo quy định Thông tư số 06/2021/TT-BXD ngày 30/6/2021 và số 02/2025/TT-BXD ngày 31/</w:t>
      </w:r>
      <w:r w:rsidRPr="00A53513">
        <w:rPr>
          <w:rFonts w:asciiTheme="majorHAnsi" w:hAnsiTheme="majorHAnsi" w:cstheme="majorHAnsi"/>
          <w:sz w:val="28"/>
          <w:szCs w:val="28"/>
        </w:rPr>
        <w:t>0</w:t>
      </w:r>
      <w:r w:rsidRPr="00A53513">
        <w:rPr>
          <w:rFonts w:asciiTheme="majorHAnsi" w:hAnsiTheme="majorHAnsi" w:cstheme="majorHAnsi"/>
          <w:sz w:val="28"/>
          <w:szCs w:val="28"/>
          <w:lang w:val="vi-VN"/>
        </w:rPr>
        <w:t>3/2025</w:t>
      </w:r>
    </w:p>
    <w:p w14:paraId="6E1EB175" w14:textId="77777777" w:rsidR="00A53513" w:rsidRPr="00A53513" w:rsidRDefault="00A53513" w:rsidP="00A53513">
      <w:pPr>
        <w:pStyle w:val="TableParagraph"/>
        <w:numPr>
          <w:ilvl w:val="0"/>
          <w:numId w:val="4"/>
        </w:numPr>
        <w:tabs>
          <w:tab w:val="left" w:pos="284"/>
          <w:tab w:val="left" w:pos="851"/>
        </w:tabs>
        <w:spacing w:before="20" w:after="20" w:line="276" w:lineRule="auto"/>
        <w:ind w:left="0" w:right="78" w:firstLine="567"/>
        <w:jc w:val="both"/>
        <w:rPr>
          <w:rFonts w:asciiTheme="majorHAnsi" w:hAnsiTheme="majorHAnsi" w:cstheme="majorHAnsi"/>
          <w:sz w:val="28"/>
          <w:szCs w:val="28"/>
          <w:lang w:val="vi-VN"/>
        </w:rPr>
      </w:pPr>
      <w:r w:rsidRPr="00A53513">
        <w:rPr>
          <w:rFonts w:asciiTheme="majorHAnsi" w:hAnsiTheme="majorHAnsi" w:cstheme="majorHAnsi"/>
          <w:sz w:val="28"/>
          <w:szCs w:val="28"/>
          <w:lang w:val="vi-VN"/>
        </w:rPr>
        <w:t>Ghi chú: Đối với tài liệu chứng minh kinh nghiệm của</w:t>
      </w:r>
      <w:r w:rsidRPr="00A53513">
        <w:rPr>
          <w:rFonts w:asciiTheme="majorHAnsi" w:hAnsiTheme="majorHAnsi" w:cstheme="majorHAnsi"/>
          <w:sz w:val="28"/>
          <w:szCs w:val="28"/>
        </w:rPr>
        <w:t xml:space="preserve"> các </w:t>
      </w:r>
      <w:r w:rsidRPr="00A53513">
        <w:rPr>
          <w:rFonts w:asciiTheme="majorHAnsi" w:hAnsiTheme="majorHAnsi" w:cstheme="majorHAnsi"/>
          <w:sz w:val="28"/>
          <w:szCs w:val="28"/>
          <w:lang w:val="vi-VN"/>
        </w:rPr>
        <w:t xml:space="preserve"> chức danh tại Bảng 2, Mục 2.2, Chương III: Được dùng nhiều công trình mà nhân sự đã tham gia để chứng minh nhưng phải đảm bảo tổng hợp các công trình phải có đầy đủ các hạng mục trên (được xem là một hợp đồng tương tự). Nhà thầu phải có tài liệu chứng minh kèm theo.</w:t>
      </w:r>
    </w:p>
    <w:p w14:paraId="2A8AB8C9"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rPr>
      </w:pPr>
      <w:r w:rsidRPr="00A53513">
        <w:rPr>
          <w:rFonts w:asciiTheme="majorHAnsi" w:hAnsiTheme="majorHAnsi" w:cstheme="majorHAnsi"/>
          <w:b/>
          <w:sz w:val="28"/>
          <w:szCs w:val="28"/>
        </w:rPr>
        <w:t>11. Yêu cầu về thiết bị thi công.</w:t>
      </w:r>
    </w:p>
    <w:p w14:paraId="26DFC46C"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Đối với thiết bị xe máy chuyên dùng đề xuất sử dụng cho gói thầu hiện trong tình trạng hoạt động tốt và đáp ứng các điều kiện pháp lý sẵn sàng để huy động cho gói thầu.</w:t>
      </w:r>
    </w:p>
    <w:p w14:paraId="717F2F0F" w14:textId="77777777" w:rsidR="00A53513" w:rsidRPr="00A53513" w:rsidRDefault="00A53513" w:rsidP="00A53513">
      <w:pPr>
        <w:widowControl w:val="0"/>
        <w:tabs>
          <w:tab w:val="left" w:pos="851"/>
        </w:tabs>
        <w:spacing w:line="276" w:lineRule="auto"/>
        <w:ind w:firstLine="567"/>
        <w:rPr>
          <w:rStyle w:val="fontstyle21"/>
          <w:rFonts w:asciiTheme="majorHAnsi" w:hAnsiTheme="majorHAnsi" w:cstheme="majorHAnsi"/>
          <w:bCs/>
          <w:sz w:val="28"/>
          <w:szCs w:val="28"/>
        </w:rPr>
      </w:pPr>
      <w:r w:rsidRPr="00A53513">
        <w:rPr>
          <w:rStyle w:val="fontstyle01"/>
          <w:rFonts w:asciiTheme="majorHAnsi" w:hAnsiTheme="majorHAnsi" w:cstheme="majorHAnsi"/>
          <w:b w:val="0"/>
          <w:bCs w:val="0"/>
          <w:sz w:val="28"/>
          <w:szCs w:val="28"/>
        </w:rPr>
        <w:t>- Thiết bị chủ yếu phải kê khai đầy đủ thông tin theo Mẫu số 06D - Chương IV của E-HSMT. Để chứng minh thiết bị chủ yếu đáp ứng tính sẵn sàng huy động, trong Mẫu số 06D,</w:t>
      </w:r>
      <w:r w:rsidRPr="00A53513">
        <w:rPr>
          <w:rStyle w:val="fontstyle01"/>
          <w:rFonts w:asciiTheme="majorHAnsi" w:hAnsiTheme="majorHAnsi" w:cstheme="majorHAnsi"/>
          <w:sz w:val="28"/>
          <w:szCs w:val="28"/>
        </w:rPr>
        <w:t xml:space="preserve"> </w:t>
      </w:r>
      <w:r w:rsidRPr="00A53513">
        <w:rPr>
          <w:rStyle w:val="fontstyle21"/>
          <w:rFonts w:asciiTheme="majorHAnsi" w:hAnsiTheme="majorHAnsi" w:cstheme="majorHAnsi"/>
          <w:bCs/>
          <w:sz w:val="28"/>
          <w:szCs w:val="28"/>
        </w:rPr>
        <w:t>mục “Hiện trạng”: Nhà thầu phải kê khai cụ thể thiết bị hiện tại đang ở địa điểm nào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Thiết bị chủ yếu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373D4BC2" w14:textId="77777777" w:rsidR="00A53513" w:rsidRPr="00A53513" w:rsidRDefault="00A53513" w:rsidP="00A53513">
      <w:pPr>
        <w:pStyle w:val="TableParagraph"/>
        <w:spacing w:before="20" w:after="20" w:line="276" w:lineRule="auto"/>
        <w:ind w:left="0" w:right="78" w:firstLine="567"/>
        <w:jc w:val="both"/>
        <w:rPr>
          <w:rFonts w:asciiTheme="majorHAnsi" w:hAnsiTheme="majorHAnsi" w:cstheme="majorHAnsi"/>
          <w:sz w:val="28"/>
          <w:szCs w:val="28"/>
          <w:lang w:val="vi-VN"/>
        </w:rPr>
      </w:pPr>
      <w:r w:rsidRPr="00A53513">
        <w:rPr>
          <w:rStyle w:val="fontstyle21"/>
          <w:rFonts w:asciiTheme="majorHAnsi" w:hAnsiTheme="majorHAnsi" w:cstheme="majorHAnsi"/>
          <w:bCs/>
          <w:sz w:val="28"/>
          <w:szCs w:val="28"/>
        </w:rPr>
        <w:t xml:space="preserve">- </w:t>
      </w:r>
      <w:r w:rsidRPr="00A53513">
        <w:rPr>
          <w:rFonts w:asciiTheme="majorHAnsi" w:hAnsiTheme="majorHAnsi" w:cstheme="majorHAnsi"/>
          <w:sz w:val="28"/>
          <w:szCs w:val="28"/>
          <w:lang w:val="vi-VN"/>
        </w:rPr>
        <w:t xml:space="preserve">Trường hợp nhà thầu trúng thầu và ký kết hợp đồng, nhà thầu có nghĩa vụ huy động đúng và đầy đủ máy móc, thiết bị như đã đề xuất và Cam kết của nhà thầu tại khoản 8.4, mục 3, Chương III. Trường hợp không huy động được đúng và đầy đủ máy móc, thiết bị mà không thuộc trường hợp bất khả kháng, không có lý do khách quan (kể cả trường hợp do bên thứ 3 cung cấp thiết bị), dẫn đến Nhà thầu không đạt yêu cầu về năng lực, kinh nghiệm nhà thầu bị đánh giá về vi phạm hợp đồng khi tham gia các gói thầu khác và công khai kết quả thực hiện hợp đồng trên hệ thống mạng đấu thầu quốc gia theo quy định tại khoản 3, khoản 4, Điều 20 của Nghị định số 214/2025/NĐ-CP. </w:t>
      </w:r>
    </w:p>
    <w:p w14:paraId="45902E50" w14:textId="77777777" w:rsidR="00A53513" w:rsidRPr="00A53513" w:rsidRDefault="00A53513" w:rsidP="00A53513">
      <w:pPr>
        <w:widowControl w:val="0"/>
        <w:tabs>
          <w:tab w:val="left" w:pos="851"/>
        </w:tabs>
        <w:spacing w:line="276" w:lineRule="auto"/>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Ngoài danh mục các máy móc, thiết bị chủ yếu để thực hiện gói thầu; nhà thầu cần phải hiểu rằng cần phải huy động đầy đủ các loại máy móc thiết bị khác để đáp ứng yêu cầu về chất lượng và tiến độ của gói thầu.</w:t>
      </w:r>
    </w:p>
    <w:p w14:paraId="474D8EED" w14:textId="77777777" w:rsidR="00A53513" w:rsidRPr="00A53513" w:rsidRDefault="00A53513" w:rsidP="00A53513">
      <w:pPr>
        <w:widowControl w:val="0"/>
        <w:tabs>
          <w:tab w:val="left" w:pos="851"/>
        </w:tabs>
        <w:spacing w:line="276" w:lineRule="auto"/>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xml:space="preserve">- Trường hợp nhà thầu trúng thầu và ký kết hợp đồng, nhà thầu có nghĩa vụ huy động nhân sự chủ chốt, thiết bị thi công chủ yếu như đã đề xuất ban đầu hoặc đề xuất </w:t>
      </w:r>
      <w:r w:rsidRPr="00A53513">
        <w:rPr>
          <w:rStyle w:val="fontstyle21"/>
          <w:rFonts w:asciiTheme="majorHAnsi" w:hAnsiTheme="majorHAnsi" w:cstheme="majorHAnsi"/>
          <w:bCs/>
          <w:sz w:val="28"/>
          <w:szCs w:val="28"/>
        </w:rPr>
        <w:lastRenderedPageBreak/>
        <w:t>thay đổi theo quy định tại Mục này. Trường hợp không huy động được nhân sự chủ chốt, thiết bị thi công chủ yếu, nhà thầu bị phạt hợp đồng, bị đánh giá về uy tín khi tham gia các gói thầu khác.</w:t>
      </w:r>
    </w:p>
    <w:p w14:paraId="0570E81A" w14:textId="77777777" w:rsidR="00A53513" w:rsidRPr="00A53513" w:rsidRDefault="00A53513" w:rsidP="00A53513">
      <w:pPr>
        <w:widowControl w:val="0"/>
        <w:tabs>
          <w:tab w:val="left" w:pos="851"/>
        </w:tabs>
        <w:spacing w:line="276" w:lineRule="auto"/>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Trong mọi trường hợp, nếu nhà thầu kê khai nhân sự chủ chốt, thiết bị thi công chủ yếu không trung thực thì nhà thầu không được thay thế nhân sự, thiết bị khác; EHSDT của nhà thầu bị loại và nhà thầu sẽ bị coi là vi phạm hành vi gian lận quy định tại Khoản 4 Điều 16 Luật Đấu thầu và bị xử lý theo quy định.</w:t>
      </w:r>
    </w:p>
    <w:p w14:paraId="5784E44B" w14:textId="77777777" w:rsidR="00A53513" w:rsidRPr="00A53513" w:rsidRDefault="00A53513" w:rsidP="00A53513">
      <w:pPr>
        <w:pStyle w:val="TableParagraph"/>
        <w:spacing w:before="20" w:after="20" w:line="276" w:lineRule="auto"/>
        <w:ind w:left="11" w:right="78" w:firstLine="556"/>
        <w:jc w:val="both"/>
        <w:rPr>
          <w:rFonts w:asciiTheme="majorHAnsi" w:eastAsia="Calibri" w:hAnsiTheme="majorHAnsi" w:cstheme="majorHAnsi"/>
          <w:sz w:val="28"/>
          <w:szCs w:val="28"/>
          <w:lang w:val="vi-VN"/>
        </w:rPr>
      </w:pPr>
      <w:r w:rsidRPr="00A53513">
        <w:rPr>
          <w:rFonts w:asciiTheme="majorHAnsi" w:hAnsiTheme="majorHAnsi" w:cstheme="majorHAnsi"/>
          <w:b/>
          <w:sz w:val="28"/>
          <w:szCs w:val="28"/>
        </w:rPr>
        <w:t>-</w:t>
      </w:r>
      <w:r w:rsidRPr="00A53513">
        <w:rPr>
          <w:rFonts w:asciiTheme="majorHAnsi" w:hAnsiTheme="majorHAnsi" w:cstheme="majorHAnsi"/>
          <w:b/>
          <w:sz w:val="28"/>
          <w:szCs w:val="28"/>
          <w:lang w:val="vi-VN"/>
        </w:rPr>
        <w:t xml:space="preserve"> Đối với Trạm trộn BTN: </w:t>
      </w:r>
      <w:r w:rsidRPr="00A53513">
        <w:rPr>
          <w:rFonts w:asciiTheme="majorHAnsi" w:eastAsia="Calibri" w:hAnsiTheme="majorHAnsi" w:cstheme="majorHAnsi"/>
          <w:sz w:val="28"/>
          <w:szCs w:val="28"/>
          <w:lang w:val="vi-VN"/>
        </w:rPr>
        <w:t>Trong biện pháp tổ chức thi công nhà thầu phải có thuyết minh đảm bảo nhiệt độ của BTN trong quá trình vận chuyển từ trạm trộn đến chân công trình theo quy định hiện hành (đơn cử: TCVN 13567-1:2022, TCVN 13567-2:2022), thuyết minh phân tích phải có tính khả thi cao, đảm bảo đáp ứng kỹ thuật trong mọi điều kiện (thời tiết, điều kiện tuyến đường…) khi đang vận chuyển.</w:t>
      </w:r>
    </w:p>
    <w:p w14:paraId="2036E997" w14:textId="77777777" w:rsidR="00A53513" w:rsidRPr="00A53513" w:rsidRDefault="00A53513" w:rsidP="00A53513">
      <w:pPr>
        <w:widowControl w:val="0"/>
        <w:tabs>
          <w:tab w:val="left" w:pos="851"/>
        </w:tabs>
        <w:spacing w:line="276" w:lineRule="auto"/>
        <w:ind w:firstLine="567"/>
        <w:rPr>
          <w:rFonts w:asciiTheme="majorHAnsi" w:hAnsiTheme="majorHAnsi" w:cstheme="majorHAnsi"/>
          <w:b/>
          <w:sz w:val="28"/>
          <w:szCs w:val="28"/>
          <w:lang w:val="vi-VN"/>
        </w:rPr>
      </w:pPr>
      <w:r w:rsidRPr="00A53513">
        <w:rPr>
          <w:rFonts w:asciiTheme="majorHAnsi" w:hAnsiTheme="majorHAnsi" w:cstheme="majorHAnsi"/>
          <w:b/>
          <w:sz w:val="28"/>
          <w:szCs w:val="28"/>
          <w:lang w:val="vi-VN"/>
        </w:rPr>
        <w:t>1</w:t>
      </w:r>
      <w:r w:rsidRPr="00A53513">
        <w:rPr>
          <w:rFonts w:asciiTheme="majorHAnsi" w:hAnsiTheme="majorHAnsi" w:cstheme="majorHAnsi"/>
          <w:b/>
          <w:sz w:val="28"/>
          <w:szCs w:val="28"/>
        </w:rPr>
        <w:t>2</w:t>
      </w:r>
      <w:r w:rsidRPr="00A53513">
        <w:rPr>
          <w:rFonts w:asciiTheme="majorHAnsi" w:hAnsiTheme="majorHAnsi" w:cstheme="majorHAnsi"/>
          <w:b/>
          <w:sz w:val="28"/>
          <w:szCs w:val="28"/>
          <w:lang w:val="vi-VN"/>
        </w:rPr>
        <w:t xml:space="preserve">. Các </w:t>
      </w:r>
      <w:r w:rsidRPr="00A53513">
        <w:rPr>
          <w:rFonts w:asciiTheme="majorHAnsi" w:hAnsiTheme="majorHAnsi" w:cstheme="majorHAnsi"/>
          <w:b/>
          <w:sz w:val="28"/>
          <w:szCs w:val="28"/>
        </w:rPr>
        <w:t xml:space="preserve">lưu ý </w:t>
      </w:r>
      <w:r w:rsidRPr="00A53513">
        <w:rPr>
          <w:rFonts w:asciiTheme="majorHAnsi" w:hAnsiTheme="majorHAnsi" w:cstheme="majorHAnsi"/>
          <w:b/>
          <w:sz w:val="28"/>
          <w:szCs w:val="28"/>
          <w:lang w:val="vi-VN"/>
        </w:rPr>
        <w:t>khác:</w:t>
      </w:r>
    </w:p>
    <w:p w14:paraId="75ABFF3F" w14:textId="77777777" w:rsidR="00A53513" w:rsidRPr="00A53513" w:rsidRDefault="00A53513" w:rsidP="00A53513">
      <w:pPr>
        <w:spacing w:line="276" w:lineRule="auto"/>
        <w:ind w:right="-6" w:firstLine="567"/>
        <w:rPr>
          <w:rStyle w:val="fontstyle21"/>
          <w:rFonts w:asciiTheme="majorHAnsi" w:hAnsiTheme="majorHAnsi" w:cstheme="majorHAnsi"/>
          <w:bCs/>
          <w:sz w:val="28"/>
          <w:szCs w:val="28"/>
        </w:rPr>
      </w:pPr>
      <w:r w:rsidRPr="00A53513">
        <w:rPr>
          <w:rStyle w:val="fontstyle01"/>
          <w:rFonts w:asciiTheme="majorHAnsi" w:hAnsiTheme="majorHAnsi" w:cstheme="majorHAnsi"/>
          <w:b w:val="0"/>
          <w:bCs w:val="0"/>
          <w:sz w:val="28"/>
          <w:szCs w:val="28"/>
        </w:rPr>
        <w:t>* Trong quá trình thi công, bảo hành công trình</w:t>
      </w:r>
      <w:r w:rsidRPr="00A53513">
        <w:rPr>
          <w:rStyle w:val="fontstyle21"/>
          <w:rFonts w:asciiTheme="majorHAnsi" w:hAnsiTheme="majorHAnsi" w:cstheme="majorHAnsi"/>
          <w:b/>
          <w:bCs/>
          <w:sz w:val="28"/>
          <w:szCs w:val="28"/>
        </w:rPr>
        <w:t>:</w:t>
      </w:r>
      <w:r w:rsidRPr="00A53513">
        <w:rPr>
          <w:rStyle w:val="fontstyle21"/>
          <w:rFonts w:asciiTheme="majorHAnsi" w:hAnsiTheme="majorHAnsi" w:cstheme="majorHAnsi"/>
          <w:sz w:val="28"/>
          <w:szCs w:val="28"/>
        </w:rPr>
        <w:t xml:space="preserve"> Ngoài các yêu cầu đã được Trung tâm Quy hoạch, kiểm định xây dựng và bảo trì đường bộ quy định tại Quyết định duyệt dự án/thiết kế BVTC, Nhà thầu còn phải </w:t>
      </w:r>
      <w:r w:rsidRPr="00A53513">
        <w:rPr>
          <w:rStyle w:val="fontstyle01"/>
          <w:rFonts w:asciiTheme="majorHAnsi" w:hAnsiTheme="majorHAnsi" w:cstheme="majorHAnsi"/>
          <w:b w:val="0"/>
          <w:bCs w:val="0"/>
          <w:sz w:val="28"/>
          <w:szCs w:val="28"/>
        </w:rPr>
        <w:t>chấp nhận thực hiện</w:t>
      </w:r>
      <w:r w:rsidRPr="00A53513">
        <w:rPr>
          <w:rStyle w:val="fontstyle01"/>
          <w:rFonts w:asciiTheme="majorHAnsi" w:hAnsiTheme="majorHAnsi" w:cstheme="majorHAnsi"/>
          <w:sz w:val="28"/>
          <w:szCs w:val="28"/>
        </w:rPr>
        <w:t xml:space="preserve"> </w:t>
      </w:r>
      <w:r w:rsidRPr="00A53513">
        <w:rPr>
          <w:rStyle w:val="fontstyle21"/>
          <w:rFonts w:asciiTheme="majorHAnsi" w:hAnsiTheme="majorHAnsi" w:cstheme="majorHAnsi"/>
          <w:bCs/>
          <w:sz w:val="28"/>
          <w:szCs w:val="28"/>
        </w:rPr>
        <w:t>cho dù trong E-HSDT Nhà thầu có hoặc không đề xuất:</w:t>
      </w:r>
    </w:p>
    <w:p w14:paraId="626C1955" w14:textId="77777777" w:rsidR="00A53513" w:rsidRPr="00A53513" w:rsidRDefault="00A53513" w:rsidP="00A53513">
      <w:pPr>
        <w:spacing w:line="276" w:lineRule="auto"/>
        <w:ind w:right="-6" w:firstLine="567"/>
        <w:rPr>
          <w:rStyle w:val="fontstyle01"/>
          <w:rFonts w:asciiTheme="majorHAnsi" w:hAnsiTheme="majorHAnsi" w:cstheme="majorHAnsi"/>
          <w:b w:val="0"/>
          <w:sz w:val="28"/>
          <w:szCs w:val="28"/>
        </w:rPr>
      </w:pPr>
      <w:r w:rsidRPr="00A53513">
        <w:rPr>
          <w:rStyle w:val="fontstyle21"/>
          <w:rFonts w:asciiTheme="majorHAnsi" w:hAnsiTheme="majorHAnsi" w:cstheme="majorHAnsi"/>
          <w:bCs/>
          <w:sz w:val="28"/>
          <w:szCs w:val="28"/>
        </w:rPr>
        <w:t xml:space="preserve">- Kiểm tra, kiểm soát vật tư, vật liệu chính sử dụng cho gói thầu: Về nguồn cung cấp, nguồn gốc và chất lượng của vật tư, vật liệu đảm bảo đáp ứng các yêu cầu kỹ </w:t>
      </w:r>
      <w:r w:rsidRPr="00A53513">
        <w:rPr>
          <w:rStyle w:val="fontstyle01"/>
          <w:rFonts w:asciiTheme="majorHAnsi" w:hAnsiTheme="majorHAnsi" w:cstheme="majorHAnsi"/>
          <w:b w:val="0"/>
          <w:bCs w:val="0"/>
          <w:sz w:val="28"/>
          <w:szCs w:val="28"/>
        </w:rPr>
        <w:t>thuật của gói thầu được duyệt và theo đề xuất của Nhà thầu trong E-HSDT.</w:t>
      </w:r>
    </w:p>
    <w:p w14:paraId="6814BF0C"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7EF22225"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Trường hợp thi công các hạng mục, kết cấu chịu lực liên quan tới nhau nhưng do các thành viên liên danh cùng thực hiện (như nền, móng mặt đường...)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w:t>
      </w:r>
    </w:p>
    <w:p w14:paraId="2A14F023"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004D2A96"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Trường hợp nhà thầu trúng thầu và ký kết hợp đồng, nhà thầu phải huy động nhân sự chủ chốt, thiết bị thi công chủ yếu như đã đề xuất và cam kết sẵn</w:t>
      </w:r>
      <w:r w:rsidRPr="00A53513">
        <w:rPr>
          <w:rStyle w:val="fontstyle01"/>
          <w:rFonts w:asciiTheme="majorHAnsi" w:hAnsiTheme="majorHAnsi" w:cstheme="majorHAnsi"/>
          <w:sz w:val="28"/>
          <w:szCs w:val="28"/>
        </w:rPr>
        <w:t xml:space="preserve"> </w:t>
      </w:r>
      <w:r w:rsidRPr="00A53513">
        <w:rPr>
          <w:rStyle w:val="fontstyle01"/>
          <w:rFonts w:asciiTheme="majorHAnsi" w:hAnsiTheme="majorHAnsi" w:cstheme="majorHAnsi"/>
          <w:b w:val="0"/>
          <w:bCs w:val="0"/>
          <w:sz w:val="28"/>
          <w:szCs w:val="28"/>
        </w:rPr>
        <w:t xml:space="preserve">sàng huy </w:t>
      </w:r>
      <w:r w:rsidRPr="00A53513">
        <w:rPr>
          <w:rStyle w:val="fontstyle01"/>
          <w:rFonts w:asciiTheme="majorHAnsi" w:hAnsiTheme="majorHAnsi" w:cstheme="majorHAnsi"/>
          <w:b w:val="0"/>
          <w:bCs w:val="0"/>
          <w:sz w:val="28"/>
          <w:szCs w:val="28"/>
        </w:rPr>
        <w:lastRenderedPageBreak/>
        <w:t>động. Trường hợp không huy động được nhân sự chủ chốt, thiết bị thi công chủ yếu, nhà thầu bị phạt hợp đồng, bị đánh giá về uy tín khi tham gia các gói thầu khác.</w:t>
      </w:r>
    </w:p>
    <w:p w14:paraId="2B6774FD"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xml:space="preserve">- Nhà thầu bị đánh giá về uy tín khi tham gia các gói thầu khác của </w:t>
      </w:r>
      <w:r w:rsidRPr="00A53513">
        <w:rPr>
          <w:rStyle w:val="fontstyle01"/>
          <w:rFonts w:asciiTheme="majorHAnsi" w:hAnsiTheme="majorHAnsi" w:cstheme="majorHAnsi"/>
          <w:b w:val="0"/>
          <w:bCs w:val="0"/>
          <w:color w:val="EE0000"/>
          <w:sz w:val="28"/>
          <w:szCs w:val="28"/>
        </w:rPr>
        <w:t>Trung tâm Quy hoạch, kiểm định xây dựng và bảo trì đường bộ</w:t>
      </w:r>
      <w:r w:rsidRPr="00A53513">
        <w:rPr>
          <w:rStyle w:val="fontstyle01"/>
          <w:rFonts w:asciiTheme="majorHAnsi" w:hAnsiTheme="majorHAnsi" w:cstheme="majorHAnsi"/>
          <w:b w:val="0"/>
          <w:bCs w:val="0"/>
          <w:sz w:val="28"/>
          <w:szCs w:val="28"/>
        </w:rPr>
        <w:t xml:space="preserve"> khi:</w:t>
      </w:r>
    </w:p>
    <w:p w14:paraId="3AFFE61A"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Không huy động được nhân sự chủ chốt, thiết bị thi công chủ yếu như đã đề xuất.</w:t>
      </w:r>
    </w:p>
    <w:p w14:paraId="062B53A8" w14:textId="77777777" w:rsidR="00A53513" w:rsidRPr="00A53513" w:rsidRDefault="00A53513" w:rsidP="00A53513">
      <w:pPr>
        <w:spacing w:line="276" w:lineRule="auto"/>
        <w:ind w:right="-6"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47351033" w14:textId="77777777" w:rsidR="00A53513" w:rsidRPr="00A53513" w:rsidRDefault="00A53513" w:rsidP="00A53513">
      <w:pPr>
        <w:spacing w:line="276" w:lineRule="auto"/>
        <w:ind w:right="-6" w:firstLine="567"/>
        <w:rPr>
          <w:rFonts w:asciiTheme="majorHAnsi" w:hAnsiTheme="majorHAnsi" w:cstheme="majorHAnsi"/>
          <w:bCs/>
          <w:sz w:val="28"/>
          <w:szCs w:val="28"/>
        </w:rPr>
      </w:pPr>
      <w:r w:rsidRPr="00A53513">
        <w:rPr>
          <w:rFonts w:asciiTheme="majorHAnsi" w:hAnsiTheme="majorHAnsi" w:cstheme="majorHAnsi"/>
          <w:bCs/>
          <w:sz w:val="28"/>
          <w:szCs w:val="28"/>
        </w:rPr>
        <w:t>-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Tiêu chuẩn cơ sở TCCS 14:2016/TCĐBVN - TIÊU CHUẨN VỀ TỔ CHỨC GIAO THÔNG VÀ BỐ TRÍ PHÒNG HỘ KHI THI CÔNG TRÊN ĐƯỜNG ĐANG KHAI THÁC và các quy định hiện hành khác.</w:t>
      </w:r>
    </w:p>
    <w:p w14:paraId="59BB48E5"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00E86744"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Nhân sự chủ chốt (kể cả nhân sự đề xuất trong Ban điều hành), thiết bị chủ yếu nhà thầu đã kê khai trong E-HSDT phải đảm bảo sẵn sàng huy động sau khi hợp đồng được ký kết.</w:t>
      </w:r>
    </w:p>
    <w:p w14:paraId="6ECE48A8"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Bảo hiểm: Đây là công trình thuộc nguồn vốn bảo trì, Bên A không mua bất kỳ gói bảo hiểm nào. 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đóng cọc, khoan nhồi, ...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w:t>
      </w:r>
      <w:r w:rsidRPr="00A53513">
        <w:rPr>
          <w:rStyle w:val="fontstyle01"/>
          <w:rFonts w:asciiTheme="majorHAnsi" w:hAnsiTheme="majorHAnsi" w:cstheme="majorHAnsi"/>
          <w:sz w:val="28"/>
          <w:szCs w:val="28"/>
        </w:rPr>
        <w:t xml:space="preserve"> </w:t>
      </w:r>
      <w:r w:rsidRPr="00A53513">
        <w:rPr>
          <w:rStyle w:val="fontstyle01"/>
          <w:rFonts w:asciiTheme="majorHAnsi" w:hAnsiTheme="majorHAnsi" w:cstheme="majorHAnsi"/>
          <w:b w:val="0"/>
          <w:bCs w:val="0"/>
          <w:sz w:val="28"/>
          <w:szCs w:val="28"/>
        </w:rPr>
        <w:t xml:space="preserve">và nguyên nhân trên, Bên B phải có trách nhiệm bồi thường cho bên bị thiệt hại (nếu </w:t>
      </w:r>
      <w:r w:rsidRPr="00A53513">
        <w:rPr>
          <w:rStyle w:val="fontstyle01"/>
          <w:rFonts w:asciiTheme="majorHAnsi" w:hAnsiTheme="majorHAnsi" w:cstheme="majorHAnsi"/>
          <w:b w:val="0"/>
          <w:bCs w:val="0"/>
          <w:sz w:val="28"/>
          <w:szCs w:val="28"/>
        </w:rPr>
        <w:lastRenderedPageBreak/>
        <w:t>có) bằng nguồn kinh phí của mình để đảm bảo tiến độ thi công liên tục và không bị gián đoạn, hoặc Bên B có giải pháp khắc phục trong quá trình thực hiện thi công dự án.</w:t>
      </w:r>
    </w:p>
    <w:p w14:paraId="7AC654A2"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25A9BD1F" w14:textId="77777777" w:rsidR="00A53513" w:rsidRPr="00A53513" w:rsidRDefault="00A53513" w:rsidP="00A53513">
      <w:pPr>
        <w:spacing w:line="276" w:lineRule="auto"/>
        <w:ind w:firstLine="567"/>
        <w:rPr>
          <w:rStyle w:val="fontstyle01"/>
          <w:rFonts w:asciiTheme="majorHAnsi" w:hAnsiTheme="majorHAnsi" w:cstheme="majorHAnsi"/>
          <w:bCs w:val="0"/>
          <w:sz w:val="28"/>
          <w:szCs w:val="28"/>
        </w:rPr>
      </w:pPr>
      <w:r w:rsidRPr="00A53513">
        <w:rPr>
          <w:rStyle w:val="fontstyle01"/>
          <w:rFonts w:asciiTheme="majorHAnsi" w:hAnsiTheme="majorHAnsi" w:cstheme="majorHAnsi"/>
          <w:sz w:val="28"/>
          <w:szCs w:val="28"/>
        </w:rPr>
        <w:t>* Nội dung tham chiếu khác:</w:t>
      </w:r>
    </w:p>
    <w:p w14:paraId="7BC901E2" w14:textId="77777777" w:rsidR="00A53513" w:rsidRPr="00A53513" w:rsidRDefault="00A53513" w:rsidP="00A53513">
      <w:pPr>
        <w:spacing w:line="276" w:lineRule="auto"/>
        <w:ind w:firstLine="567"/>
        <w:rPr>
          <w:rStyle w:val="fontstyle21"/>
          <w:rFonts w:asciiTheme="majorHAnsi" w:hAnsiTheme="majorHAnsi" w:cstheme="majorHAnsi"/>
          <w:bCs/>
          <w:sz w:val="28"/>
          <w:szCs w:val="28"/>
        </w:rPr>
      </w:pPr>
      <w:r w:rsidRPr="00A53513">
        <w:rPr>
          <w:rStyle w:val="fontstyle01"/>
          <w:rFonts w:asciiTheme="majorHAnsi" w:hAnsiTheme="majorHAnsi" w:cstheme="majorHAnsi"/>
          <w:sz w:val="28"/>
          <w:szCs w:val="28"/>
        </w:rPr>
        <w:t xml:space="preserve">- Mục E-CDNT 10.8 Chương II </w:t>
      </w:r>
      <w:r w:rsidRPr="00A53513">
        <w:rPr>
          <w:rStyle w:val="fontstyle21"/>
          <w:rFonts w:asciiTheme="majorHAnsi" w:hAnsiTheme="majorHAnsi" w:cstheme="majorHAnsi"/>
          <w:bCs/>
          <w:sz w:val="28"/>
          <w:szCs w:val="28"/>
        </w:rPr>
        <w:t>của E-HSMT Nhà thầu phải nộp cùng E-HSDT các tài liệu sau đây:</w:t>
      </w:r>
    </w:p>
    <w:p w14:paraId="695A4112" w14:textId="77777777" w:rsidR="00A53513" w:rsidRPr="00A53513" w:rsidRDefault="00A53513" w:rsidP="00A53513">
      <w:pPr>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Giấy chứng nhận ĐKDN hoặc QĐ thành lập hoặc tài liệu có giá trị tương đương do cơ quan có thẩm quyền cấp;</w:t>
      </w:r>
    </w:p>
    <w:p w14:paraId="467F470D" w14:textId="77777777" w:rsidR="00A53513" w:rsidRPr="00A53513" w:rsidRDefault="00A53513" w:rsidP="00A53513">
      <w:pPr>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Bảo đảm dự thầu. Thời gian có hiệu lực của bảo đảm dự thầu theo quy định của E-HSMT. Để thuận lợi cho Nhà thầu (do gói thầu có thể được gia hạn thời điểm đóng thầu theo yêu cầu của chủ đầu tư), khuyến khích thời gian có hiệu lực của bảo đảm dự thầu vượt quá thời gian theo quy định tối thiểu 10 ngày làm việc;</w:t>
      </w:r>
    </w:p>
    <w:p w14:paraId="1BD58CB3" w14:textId="77777777" w:rsidR="00A53513" w:rsidRPr="00A53513" w:rsidRDefault="00A53513" w:rsidP="00A53513">
      <w:pPr>
        <w:ind w:firstLine="567"/>
        <w:rPr>
          <w:rStyle w:val="fontstyle21"/>
          <w:rFonts w:asciiTheme="majorHAnsi" w:hAnsiTheme="majorHAnsi" w:cstheme="majorHAnsi"/>
          <w:bCs/>
          <w:sz w:val="28"/>
          <w:szCs w:val="28"/>
        </w:rPr>
      </w:pPr>
      <w:r w:rsidRPr="00A53513">
        <w:rPr>
          <w:rStyle w:val="fontstyle21"/>
          <w:rFonts w:asciiTheme="majorHAnsi" w:hAnsiTheme="majorHAnsi" w:cstheme="majorHAnsi"/>
          <w:bCs/>
          <w:sz w:val="28"/>
          <w:szCs w:val="28"/>
        </w:rPr>
        <w:t>+ Thỏa thuận LD (nếu có), trong đó phải nêu rõ: Trách nhiệm của thành viên đứng đầu LD và khi thành viên trong LD không còn khả năng, năng lực để tiếp tục thi công, hoặc không bảo đảm tiến độ yêu cầu; trách nhiệm chung, riêng của từng thành viên về chất lượng, phạm vi, khối lượng công việc thực hiện… Trường hợp thỏa thuận LD không hoặc có nêu nhưng chưa rõ được hiểu thành viên đứng đầu chịu trách nhiệm toàn diện;</w:t>
      </w:r>
    </w:p>
    <w:p w14:paraId="6A8373BC" w14:textId="77777777" w:rsidR="00A53513" w:rsidRPr="00A53513" w:rsidRDefault="00A53513" w:rsidP="00A53513">
      <w:pPr>
        <w:spacing w:line="276" w:lineRule="auto"/>
        <w:ind w:firstLine="567"/>
        <w:rPr>
          <w:rStyle w:val="fontstyle01"/>
          <w:rFonts w:asciiTheme="majorHAnsi" w:hAnsiTheme="majorHAnsi" w:cstheme="majorHAnsi"/>
          <w:b w:val="0"/>
          <w:sz w:val="28"/>
          <w:szCs w:val="28"/>
        </w:rPr>
      </w:pPr>
      <w:r w:rsidRPr="00A53513">
        <w:rPr>
          <w:rStyle w:val="fontstyle21"/>
          <w:rFonts w:asciiTheme="majorHAnsi" w:hAnsiTheme="majorHAnsi" w:cstheme="majorHAnsi"/>
          <w:bCs/>
          <w:sz w:val="28"/>
          <w:szCs w:val="28"/>
        </w:rPr>
        <w:t xml:space="preserve">+ Tài liệu chứng minh kinh nghiệm của nhà thầu: Hợp đồng tương tự, kèm theo thanh lý HĐ, xác nhận hoàn thành HĐ và giá trị của HĐ mà nhà thầu đã thực hiện (như quyết toán, hồ sơ nghiệm thu thanh toán;…); chứng minh cấp công trình; Với các hợp đồng mà nhà thầu đã tham gia với tư cách là thành viên liên danh hoặc nhà thầu phụ thì chỉ tính giá trị phần việc do nhà thầu thực hiện. Đối với nhà thầu phụ phải đính kèm các tài liệu: (i) Hợp đồng ký giữa Nhà thầu chính và Chủ đầu tư, Hợp đồng ký giữa Nhà thầu phụ với nhà thầu chính, các phụ lục hợp đồng (nếu có); (ii) Văn bản chấp thuận của Người có thẩm quyền về sử dụng nhà thầu phụ hoặc các tài liệu liên quan khác để chứng minh việc tham gia thực hiện hợp đồng hợp pháp của nhà thầu </w:t>
      </w:r>
      <w:r w:rsidRPr="00A53513">
        <w:rPr>
          <w:rStyle w:val="fontstyle01"/>
          <w:rFonts w:asciiTheme="majorHAnsi" w:hAnsiTheme="majorHAnsi" w:cstheme="majorHAnsi"/>
          <w:b w:val="0"/>
          <w:sz w:val="28"/>
          <w:szCs w:val="28"/>
        </w:rPr>
        <w:t>phụ;</w:t>
      </w:r>
    </w:p>
    <w:p w14:paraId="4FFBE2CA" w14:textId="77777777" w:rsidR="00A53513" w:rsidRPr="00A53513" w:rsidRDefault="00A53513" w:rsidP="00A53513">
      <w:pPr>
        <w:spacing w:line="276" w:lineRule="auto"/>
        <w:ind w:firstLine="567"/>
        <w:rPr>
          <w:rStyle w:val="fontstyle01"/>
          <w:rFonts w:asciiTheme="majorHAnsi" w:hAnsiTheme="majorHAnsi" w:cstheme="majorHAnsi"/>
          <w:b w:val="0"/>
          <w:sz w:val="28"/>
          <w:szCs w:val="28"/>
        </w:rPr>
      </w:pPr>
      <w:r w:rsidRPr="00A53513">
        <w:rPr>
          <w:rStyle w:val="fontstyle01"/>
          <w:rFonts w:asciiTheme="majorHAnsi" w:hAnsiTheme="majorHAnsi" w:cstheme="majorHAnsi"/>
          <w:b w:val="0"/>
          <w:sz w:val="28"/>
          <w:szCs w:val="28"/>
        </w:rPr>
        <w:t>+ Đối với mỗi vị trí nhân sự, thiết bị chủ chốt, nhà thầu phải kê khai đầy đủ thông tin theo Mẫu. Nhà thầu gửi kèm E-HSDT tài liệu chứng minh kinh nghiệm nhân sự gồm: Hợp đồng của công trình mà nhân sự đã tham gia, biên bản nghiệm thu công trình đưa vào sử dụng có tên của nhân sự hoặc văn bản xác nhận của Chủ đầu tư/Ban QLDA về việc nhân sự tham gia thực hiện công trình hoặc các tài liệu có tính pháp lý tương đương khác; Tài liệu chứng minh cấp công trình và các hạng mục công việc mà nhân sự đã tham gia và các tài liệu chứng minh;</w:t>
      </w:r>
    </w:p>
    <w:p w14:paraId="0D384404" w14:textId="77777777" w:rsidR="00A53513" w:rsidRPr="00A53513" w:rsidRDefault="00A53513" w:rsidP="00A53513">
      <w:pPr>
        <w:spacing w:line="276" w:lineRule="auto"/>
        <w:ind w:firstLine="567"/>
        <w:rPr>
          <w:rStyle w:val="fontstyle01"/>
          <w:rFonts w:asciiTheme="majorHAnsi" w:hAnsiTheme="majorHAnsi" w:cstheme="majorHAnsi"/>
          <w:b w:val="0"/>
          <w:sz w:val="28"/>
          <w:szCs w:val="28"/>
        </w:rPr>
      </w:pPr>
      <w:r w:rsidRPr="00A53513">
        <w:rPr>
          <w:rStyle w:val="fontstyle01"/>
          <w:rFonts w:asciiTheme="majorHAnsi" w:hAnsiTheme="majorHAnsi" w:cstheme="majorHAnsi"/>
          <w:b w:val="0"/>
          <w:sz w:val="28"/>
          <w:szCs w:val="28"/>
        </w:rPr>
        <w:t>+ Các tài liệu khác liên quan.</w:t>
      </w:r>
    </w:p>
    <w:p w14:paraId="4295FEC2"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 xml:space="preserve">Đối với các tài liệu cần thiết mà Nhà thầu phải đính kèm trong E-HSDT để chứng minh năng lực và kinh nghiệm, để đảm bảo tính xác thực, thống nhất, liên tục </w:t>
      </w:r>
      <w:r w:rsidRPr="00A53513">
        <w:rPr>
          <w:rStyle w:val="fontstyle01"/>
          <w:rFonts w:asciiTheme="majorHAnsi" w:hAnsiTheme="majorHAnsi" w:cstheme="majorHAnsi"/>
          <w:b w:val="0"/>
          <w:bCs w:val="0"/>
          <w:sz w:val="28"/>
          <w:szCs w:val="28"/>
        </w:rPr>
        <w:lastRenderedPageBreak/>
        <w:t>của tài liệu đó, tránh hiện tượng làm giả/sai lệch, các tài liệu này phải có chữ ký hoặc đóng dấu giáp lai vào các trang của các bên liên quan (hoặc bằng hình thức khác tương đương), hoặc tài liệu phải được công chứng, chứng thực. Tài liệu không đảm bảo yêu cầu trên sẽ không được xem xét, đánh giá.</w:t>
      </w:r>
    </w:p>
    <w:p w14:paraId="0F5B1FE3" w14:textId="77777777" w:rsidR="00A53513" w:rsidRPr="00A53513" w:rsidRDefault="00A53513" w:rsidP="00A53513">
      <w:pPr>
        <w:spacing w:line="276" w:lineRule="auto"/>
        <w:ind w:firstLine="567"/>
        <w:rPr>
          <w:rStyle w:val="fontstyle01"/>
          <w:rFonts w:asciiTheme="majorHAnsi" w:hAnsiTheme="majorHAnsi" w:cstheme="majorHAnsi"/>
          <w:b w:val="0"/>
          <w:bCs w:val="0"/>
          <w:sz w:val="28"/>
          <w:szCs w:val="28"/>
        </w:rPr>
      </w:pPr>
      <w:r w:rsidRPr="00A53513">
        <w:rPr>
          <w:rStyle w:val="fontstyle01"/>
          <w:rFonts w:asciiTheme="majorHAnsi" w:hAnsiTheme="majorHAnsi" w:cstheme="majorHAnsi"/>
          <w:b w:val="0"/>
          <w:bCs w:val="0"/>
          <w:sz w:val="28"/>
          <w:szCs w:val="28"/>
        </w:rPr>
        <w:t>Nhà thầu phải gửi kèm tài liệu để chứng minh. Trường hợp tài liệu chưa đủ rõ để xác định khả năng đáp ứng thì BMT yêu cầu nhà thầu làm rõ hoặc trực tiếp liên hệ với cơ quan liên quan để xác minh. Nhà thầu phải chuẩn bị sẵn sàng các tài liệu gốc để xác minh khi có yêu cầu. Trường hợp kê khai không trung thực thì coi là hành vi gian lận và HSDT sẽ bị loại.</w:t>
      </w:r>
    </w:p>
    <w:p w14:paraId="35E2FEEA" w14:textId="77777777" w:rsidR="00A53513" w:rsidRPr="00A53513" w:rsidRDefault="00A53513" w:rsidP="00A53513">
      <w:pPr>
        <w:spacing w:line="276" w:lineRule="auto"/>
        <w:ind w:firstLine="567"/>
        <w:rPr>
          <w:rFonts w:asciiTheme="majorHAnsi" w:hAnsiTheme="majorHAnsi" w:cstheme="majorHAnsi"/>
          <w:bCs/>
          <w:color w:val="000000"/>
          <w:sz w:val="28"/>
          <w:szCs w:val="28"/>
        </w:rPr>
      </w:pPr>
      <w:r w:rsidRPr="00A53513">
        <w:rPr>
          <w:rFonts w:asciiTheme="majorHAnsi" w:hAnsiTheme="majorHAnsi" w:cstheme="majorHAnsi"/>
          <w:bCs/>
          <w:color w:val="000000"/>
          <w:sz w:val="28"/>
          <w:szCs w:val="28"/>
        </w:rPr>
        <w:t>Đối với các tài liệu cần thiết và các hợp đồng nguyên tắc mà nhà thầu đính kèm trong E-HSDT để chứng minh năng lực và kinh nghiệm, kỹ thuật để đảm bảo tính xác thực, thống nhất, liên tục của tài liệu đó, tránh hiện tượng làm giả/sai lệch, các tài liệu này phải có chữ ký hoặc đóng dấu giáp lai vào các trang của các bên liên quan (hoặc bằng hình thức khác tương đương), hoặc tài liệu phải được công chứng, chứng thực. Tài liệu không đảm bảo yêu cầu trên sẽ không được xem xét, đánh giá.</w:t>
      </w:r>
    </w:p>
    <w:p w14:paraId="605A1A5E" w14:textId="77777777" w:rsidR="00A53513" w:rsidRPr="00A53513" w:rsidRDefault="00A53513" w:rsidP="00A53513">
      <w:pPr>
        <w:widowControl w:val="0"/>
        <w:spacing w:line="264" w:lineRule="auto"/>
        <w:ind w:firstLine="567"/>
        <w:rPr>
          <w:rFonts w:asciiTheme="majorHAnsi" w:hAnsiTheme="majorHAnsi" w:cstheme="majorHAnsi"/>
          <w:b/>
          <w:sz w:val="28"/>
          <w:szCs w:val="28"/>
        </w:rPr>
      </w:pPr>
      <w:r w:rsidRPr="00A53513">
        <w:rPr>
          <w:rFonts w:asciiTheme="majorHAnsi" w:hAnsiTheme="majorHAnsi" w:cstheme="majorHAnsi"/>
          <w:b/>
          <w:sz w:val="28"/>
          <w:szCs w:val="28"/>
        </w:rPr>
        <w:t>IV. Các bản vẽ</w:t>
      </w:r>
    </w:p>
    <w:p w14:paraId="7BB26D4C" w14:textId="77777777" w:rsidR="00A53513" w:rsidRPr="00A53513" w:rsidRDefault="00A53513" w:rsidP="00A53513">
      <w:pPr>
        <w:widowControl w:val="0"/>
        <w:spacing w:line="264" w:lineRule="auto"/>
        <w:ind w:firstLine="567"/>
        <w:rPr>
          <w:rFonts w:asciiTheme="majorHAnsi" w:hAnsiTheme="majorHAnsi" w:cstheme="majorHAnsi"/>
          <w:bCs/>
          <w:sz w:val="28"/>
          <w:szCs w:val="28"/>
        </w:rPr>
      </w:pPr>
      <w:r w:rsidRPr="00A53513">
        <w:rPr>
          <w:rFonts w:asciiTheme="majorHAnsi" w:hAnsiTheme="majorHAnsi" w:cstheme="majorHAnsi"/>
          <w:bCs/>
          <w:spacing w:val="-4"/>
          <w:sz w:val="28"/>
          <w:szCs w:val="28"/>
        </w:rPr>
        <w:t>E-HSMT này gồm có các bản vẽ trong danh mục sau đây:</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261"/>
        <w:gridCol w:w="1559"/>
        <w:gridCol w:w="4678"/>
      </w:tblGrid>
      <w:tr w:rsidR="00A53513" w:rsidRPr="00A53513" w14:paraId="700A3F4D" w14:textId="77777777" w:rsidTr="00FA281D">
        <w:trPr>
          <w:trHeight w:val="70"/>
        </w:trPr>
        <w:tc>
          <w:tcPr>
            <w:tcW w:w="850" w:type="dxa"/>
          </w:tcPr>
          <w:p w14:paraId="0718050F"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STT</w:t>
            </w:r>
          </w:p>
        </w:tc>
        <w:tc>
          <w:tcPr>
            <w:tcW w:w="3261" w:type="dxa"/>
          </w:tcPr>
          <w:p w14:paraId="3F86BB15"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Ký hiệu</w:t>
            </w:r>
          </w:p>
        </w:tc>
        <w:tc>
          <w:tcPr>
            <w:tcW w:w="1559" w:type="dxa"/>
          </w:tcPr>
          <w:p w14:paraId="2EC3FC08"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Tên bản vẽ</w:t>
            </w:r>
          </w:p>
        </w:tc>
        <w:tc>
          <w:tcPr>
            <w:tcW w:w="4678" w:type="dxa"/>
          </w:tcPr>
          <w:p w14:paraId="2FA88BDC"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Phiên bản/ngày phát hành</w:t>
            </w:r>
          </w:p>
        </w:tc>
      </w:tr>
      <w:tr w:rsidR="00A53513" w:rsidRPr="00A53513" w14:paraId="58804EAB" w14:textId="77777777" w:rsidTr="00FA281D">
        <w:trPr>
          <w:trHeight w:val="70"/>
        </w:trPr>
        <w:tc>
          <w:tcPr>
            <w:tcW w:w="850" w:type="dxa"/>
            <w:vAlign w:val="center"/>
          </w:tcPr>
          <w:p w14:paraId="542B58A5"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1</w:t>
            </w:r>
          </w:p>
        </w:tc>
        <w:tc>
          <w:tcPr>
            <w:tcW w:w="3261" w:type="dxa"/>
          </w:tcPr>
          <w:p w14:paraId="1DF48C88" w14:textId="77777777" w:rsidR="00A53513" w:rsidRPr="00A53513" w:rsidRDefault="00A53513" w:rsidP="00FA281D">
            <w:pPr>
              <w:widowControl w:val="0"/>
              <w:spacing w:line="264" w:lineRule="auto"/>
              <w:rPr>
                <w:rFonts w:asciiTheme="majorHAnsi" w:hAnsiTheme="majorHAnsi" w:cstheme="majorHAnsi"/>
                <w:bCs/>
                <w:sz w:val="28"/>
                <w:szCs w:val="28"/>
                <w:lang w:val="en-GB"/>
              </w:rPr>
            </w:pPr>
            <w:r w:rsidRPr="00A53513">
              <w:rPr>
                <w:rFonts w:asciiTheme="majorHAnsi" w:hAnsiTheme="majorHAnsi" w:cstheme="majorHAnsi"/>
                <w:bCs/>
                <w:sz w:val="28"/>
                <w:szCs w:val="28"/>
                <w:lang w:val="en-GB"/>
              </w:rPr>
              <w:t>Dự án: Sửa chữa hư hỏng nền mặt đường, hoàn thiện hệ thống ATGT theo QCVN 41:2024 đoạn Km5+300 đến Km9+200, Quốc lộ 51.</w:t>
            </w:r>
          </w:p>
        </w:tc>
        <w:tc>
          <w:tcPr>
            <w:tcW w:w="1559" w:type="dxa"/>
            <w:vAlign w:val="center"/>
          </w:tcPr>
          <w:p w14:paraId="49C00809"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Hồ sơ báo cáo KTKT</w:t>
            </w:r>
          </w:p>
          <w:p w14:paraId="670117CF" w14:textId="77777777" w:rsidR="00A53513" w:rsidRPr="00A53513" w:rsidRDefault="00A53513" w:rsidP="00FA281D">
            <w:pPr>
              <w:widowControl w:val="0"/>
              <w:spacing w:line="264" w:lineRule="auto"/>
              <w:jc w:val="center"/>
              <w:rPr>
                <w:rFonts w:asciiTheme="majorHAnsi" w:hAnsiTheme="majorHAnsi" w:cstheme="majorHAnsi"/>
                <w:bCs/>
                <w:sz w:val="28"/>
                <w:szCs w:val="28"/>
                <w:lang w:val="en-GB"/>
              </w:rPr>
            </w:pPr>
            <w:r w:rsidRPr="00A53513">
              <w:rPr>
                <w:rFonts w:asciiTheme="majorHAnsi" w:hAnsiTheme="majorHAnsi" w:cstheme="majorHAnsi"/>
                <w:bCs/>
                <w:sz w:val="28"/>
                <w:szCs w:val="28"/>
                <w:lang w:val="en-GB"/>
              </w:rPr>
              <w:t>BẢN VẼ</w:t>
            </w:r>
          </w:p>
        </w:tc>
        <w:tc>
          <w:tcPr>
            <w:tcW w:w="4678" w:type="dxa"/>
          </w:tcPr>
          <w:p w14:paraId="2FFB5889" w14:textId="77777777" w:rsidR="00A53513" w:rsidRPr="00A53513" w:rsidRDefault="00A53513" w:rsidP="00FA281D">
            <w:pPr>
              <w:widowControl w:val="0"/>
              <w:spacing w:line="264" w:lineRule="auto"/>
              <w:rPr>
                <w:rFonts w:asciiTheme="majorHAnsi" w:hAnsiTheme="majorHAnsi" w:cstheme="majorHAnsi"/>
                <w:bCs/>
                <w:sz w:val="28"/>
                <w:szCs w:val="28"/>
                <w:lang w:val="en-GB"/>
              </w:rPr>
            </w:pPr>
            <w:r w:rsidRPr="00A53513">
              <w:rPr>
                <w:rFonts w:asciiTheme="majorHAnsi" w:hAnsiTheme="majorHAnsi" w:cstheme="majorHAnsi"/>
                <w:bCs/>
                <w:sz w:val="28"/>
                <w:szCs w:val="28"/>
                <w:lang w:val="en-GB"/>
              </w:rPr>
              <w:t>Quyết định số 2628/QĐ-UBND ngày 11/11/2025 của UBND tỉnh Đồng Nai về việc phê duyệt dự án Sửa chữa hư hỏng nền mặt đường, hoàn thiện hệ thống ATGT theo QCVN 41:2024 đoạn Km5+300 đến Km9+200, Quốc lộ 51.</w:t>
            </w:r>
          </w:p>
        </w:tc>
      </w:tr>
    </w:tbl>
    <w:p w14:paraId="65A99FAB" w14:textId="77777777" w:rsidR="009A5DD8" w:rsidRPr="00A53513" w:rsidRDefault="009A5DD8">
      <w:pPr>
        <w:rPr>
          <w:rFonts w:asciiTheme="majorHAnsi" w:hAnsiTheme="majorHAnsi" w:cstheme="majorHAnsi"/>
          <w:sz w:val="28"/>
          <w:szCs w:val="28"/>
        </w:rPr>
      </w:pPr>
    </w:p>
    <w:sectPr w:rsidR="009A5DD8" w:rsidRPr="00A53513" w:rsidSect="00A53513">
      <w:pgSz w:w="11906" w:h="16838"/>
      <w:pgMar w:top="1021" w:right="851" w:bottom="102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AAC"/>
    <w:multiLevelType w:val="multilevel"/>
    <w:tmpl w:val="D68A098A"/>
    <w:lvl w:ilvl="0">
      <w:start w:val="3"/>
      <w:numFmt w:val="decimal"/>
      <w:lvlText w:val="%1."/>
      <w:lvlJc w:val="left"/>
      <w:pPr>
        <w:ind w:left="3547" w:hanging="286"/>
      </w:pPr>
      <w:rPr>
        <w:spacing w:val="0"/>
        <w:w w:val="100"/>
        <w:lang w:eastAsia="en-US" w:bidi="ar-SA"/>
      </w:rPr>
    </w:lvl>
    <w:lvl w:ilvl="1">
      <w:start w:val="1"/>
      <w:numFmt w:val="decimal"/>
      <w:lvlText w:val="%1.%2."/>
      <w:lvlJc w:val="left"/>
      <w:pPr>
        <w:ind w:left="2440" w:hanging="454"/>
      </w:pPr>
      <w:rPr>
        <w:rFonts w:ascii="Times New Roman" w:eastAsia="Times New Roman" w:hAnsi="Times New Roman" w:cs="Times New Roman" w:hint="default"/>
        <w:b/>
        <w:bCs/>
        <w:i w:val="0"/>
        <w:iCs w:val="0"/>
        <w:spacing w:val="0"/>
        <w:w w:val="99"/>
        <w:sz w:val="28"/>
        <w:szCs w:val="28"/>
        <w:lang w:eastAsia="en-US" w:bidi="ar-SA"/>
      </w:rPr>
    </w:lvl>
    <w:lvl w:ilvl="2">
      <w:numFmt w:val="bullet"/>
      <w:lvlText w:val="-"/>
      <w:lvlJc w:val="left"/>
      <w:pPr>
        <w:ind w:left="102" w:hanging="185"/>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213" w:hanging="185"/>
      </w:pPr>
      <w:rPr>
        <w:lang w:eastAsia="en-US" w:bidi="ar-SA"/>
      </w:rPr>
    </w:lvl>
    <w:lvl w:ilvl="4">
      <w:numFmt w:val="bullet"/>
      <w:lvlText w:val="•"/>
      <w:lvlJc w:val="left"/>
      <w:pPr>
        <w:ind w:left="3306" w:hanging="185"/>
      </w:pPr>
      <w:rPr>
        <w:lang w:eastAsia="en-US" w:bidi="ar-SA"/>
      </w:rPr>
    </w:lvl>
    <w:lvl w:ilvl="5">
      <w:numFmt w:val="bullet"/>
      <w:lvlText w:val="•"/>
      <w:lvlJc w:val="left"/>
      <w:pPr>
        <w:ind w:left="4399" w:hanging="185"/>
      </w:pPr>
      <w:rPr>
        <w:lang w:eastAsia="en-US" w:bidi="ar-SA"/>
      </w:rPr>
    </w:lvl>
    <w:lvl w:ilvl="6">
      <w:numFmt w:val="bullet"/>
      <w:lvlText w:val="•"/>
      <w:lvlJc w:val="left"/>
      <w:pPr>
        <w:ind w:left="5493" w:hanging="185"/>
      </w:pPr>
      <w:rPr>
        <w:lang w:eastAsia="en-US" w:bidi="ar-SA"/>
      </w:rPr>
    </w:lvl>
    <w:lvl w:ilvl="7">
      <w:numFmt w:val="bullet"/>
      <w:lvlText w:val="•"/>
      <w:lvlJc w:val="left"/>
      <w:pPr>
        <w:ind w:left="6586" w:hanging="185"/>
      </w:pPr>
      <w:rPr>
        <w:lang w:eastAsia="en-US" w:bidi="ar-SA"/>
      </w:rPr>
    </w:lvl>
    <w:lvl w:ilvl="8">
      <w:numFmt w:val="bullet"/>
      <w:lvlText w:val="•"/>
      <w:lvlJc w:val="left"/>
      <w:pPr>
        <w:ind w:left="7679" w:hanging="185"/>
      </w:pPr>
      <w:rPr>
        <w:lang w:eastAsia="en-US" w:bidi="ar-SA"/>
      </w:rPr>
    </w:lvl>
  </w:abstractNum>
  <w:abstractNum w:abstractNumId="1" w15:restartNumberingAfterBreak="0">
    <w:nsid w:val="5EC2700F"/>
    <w:multiLevelType w:val="hybridMultilevel"/>
    <w:tmpl w:val="6CA8FCCE"/>
    <w:lvl w:ilvl="0" w:tplc="245C5E22">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B6E64762">
      <w:numFmt w:val="bullet"/>
      <w:lvlText w:val="•"/>
      <w:lvlJc w:val="left"/>
      <w:pPr>
        <w:ind w:left="1076" w:hanging="168"/>
      </w:pPr>
      <w:rPr>
        <w:lang w:eastAsia="en-US" w:bidi="ar-SA"/>
      </w:rPr>
    </w:lvl>
    <w:lvl w:ilvl="2" w:tplc="DFD46E7E">
      <w:numFmt w:val="bullet"/>
      <w:lvlText w:val="•"/>
      <w:lvlJc w:val="left"/>
      <w:pPr>
        <w:ind w:left="2053" w:hanging="168"/>
      </w:pPr>
      <w:rPr>
        <w:lang w:eastAsia="en-US" w:bidi="ar-SA"/>
      </w:rPr>
    </w:lvl>
    <w:lvl w:ilvl="3" w:tplc="5B10CA60">
      <w:numFmt w:val="bullet"/>
      <w:lvlText w:val="•"/>
      <w:lvlJc w:val="left"/>
      <w:pPr>
        <w:ind w:left="3029" w:hanging="168"/>
      </w:pPr>
      <w:rPr>
        <w:lang w:eastAsia="en-US" w:bidi="ar-SA"/>
      </w:rPr>
    </w:lvl>
    <w:lvl w:ilvl="4" w:tplc="39FCFA62">
      <w:numFmt w:val="bullet"/>
      <w:lvlText w:val="•"/>
      <w:lvlJc w:val="left"/>
      <w:pPr>
        <w:ind w:left="4006" w:hanging="168"/>
      </w:pPr>
      <w:rPr>
        <w:lang w:eastAsia="en-US" w:bidi="ar-SA"/>
      </w:rPr>
    </w:lvl>
    <w:lvl w:ilvl="5" w:tplc="1820F4CE">
      <w:numFmt w:val="bullet"/>
      <w:lvlText w:val="•"/>
      <w:lvlJc w:val="left"/>
      <w:pPr>
        <w:ind w:left="4983" w:hanging="168"/>
      </w:pPr>
      <w:rPr>
        <w:lang w:eastAsia="en-US" w:bidi="ar-SA"/>
      </w:rPr>
    </w:lvl>
    <w:lvl w:ilvl="6" w:tplc="1CAAE6D0">
      <w:numFmt w:val="bullet"/>
      <w:lvlText w:val="•"/>
      <w:lvlJc w:val="left"/>
      <w:pPr>
        <w:ind w:left="5959" w:hanging="168"/>
      </w:pPr>
      <w:rPr>
        <w:lang w:eastAsia="en-US" w:bidi="ar-SA"/>
      </w:rPr>
    </w:lvl>
    <w:lvl w:ilvl="7" w:tplc="5BECE2AA">
      <w:numFmt w:val="bullet"/>
      <w:lvlText w:val="•"/>
      <w:lvlJc w:val="left"/>
      <w:pPr>
        <w:ind w:left="6936" w:hanging="168"/>
      </w:pPr>
      <w:rPr>
        <w:lang w:eastAsia="en-US" w:bidi="ar-SA"/>
      </w:rPr>
    </w:lvl>
    <w:lvl w:ilvl="8" w:tplc="24C27E0C">
      <w:numFmt w:val="bullet"/>
      <w:lvlText w:val="•"/>
      <w:lvlJc w:val="left"/>
      <w:pPr>
        <w:ind w:left="7913" w:hanging="168"/>
      </w:pPr>
      <w:rPr>
        <w:lang w:eastAsia="en-US" w:bidi="ar-SA"/>
      </w:rPr>
    </w:lvl>
  </w:abstractNum>
  <w:abstractNum w:abstractNumId="2" w15:restartNumberingAfterBreak="0">
    <w:nsid w:val="661E55B3"/>
    <w:multiLevelType w:val="hybridMultilevel"/>
    <w:tmpl w:val="F7062476"/>
    <w:lvl w:ilvl="0" w:tplc="356A8B22">
      <w:start w:val="1"/>
      <w:numFmt w:val="decimal"/>
      <w:lvlText w:val="%1"/>
      <w:lvlJc w:val="left"/>
      <w:pPr>
        <w:ind w:left="540" w:hanging="360"/>
      </w:pPr>
      <w:rPr>
        <w:rFonts w:hint="default"/>
        <w:dstrike w:val="0"/>
      </w:rPr>
    </w:lvl>
    <w:lvl w:ilvl="1" w:tplc="04090019">
      <w:start w:val="1"/>
      <w:numFmt w:val="lowerLetter"/>
      <w:lvlText w:val="%2."/>
      <w:lvlJc w:val="left"/>
      <w:pPr>
        <w:ind w:left="81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97044FF"/>
    <w:multiLevelType w:val="hybridMultilevel"/>
    <w:tmpl w:val="01520998"/>
    <w:lvl w:ilvl="0" w:tplc="D6B44AD4">
      <w:start w:val="10"/>
      <w:numFmt w:val="bullet"/>
      <w:lvlText w:val=""/>
      <w:lvlJc w:val="left"/>
      <w:pPr>
        <w:ind w:left="927" w:hanging="360"/>
      </w:pPr>
      <w:rPr>
        <w:rFonts w:ascii="Symbol" w:eastAsia="Arial"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431820978">
    <w:abstractNumId w:val="2"/>
  </w:num>
  <w:num w:numId="2" w16cid:durableId="2098012135">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16cid:durableId="1543637822">
    <w:abstractNumId w:val="1"/>
  </w:num>
  <w:num w:numId="4" w16cid:durableId="708578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13"/>
    <w:rsid w:val="00002B56"/>
    <w:rsid w:val="000C6D07"/>
    <w:rsid w:val="00250F50"/>
    <w:rsid w:val="003B6613"/>
    <w:rsid w:val="00401E8D"/>
    <w:rsid w:val="004960BC"/>
    <w:rsid w:val="00497964"/>
    <w:rsid w:val="00866EBF"/>
    <w:rsid w:val="009965BE"/>
    <w:rsid w:val="009A5DD8"/>
    <w:rsid w:val="00A53513"/>
    <w:rsid w:val="00BD3D69"/>
    <w:rsid w:val="00C34F02"/>
    <w:rsid w:val="00C646F2"/>
    <w:rsid w:val="00C858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3A79"/>
  <w15:chartTrackingRefBased/>
  <w15:docId w15:val="{CED6CA5F-AE90-46DB-BD75-BC323561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1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A5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53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513"/>
    <w:rPr>
      <w:rFonts w:eastAsiaTheme="majorEastAsia" w:cstheme="majorBidi"/>
      <w:i/>
      <w:iCs/>
      <w:color w:val="595959" w:themeColor="text1" w:themeTint="A6"/>
    </w:rPr>
  </w:style>
  <w:style w:type="character" w:customStyle="1" w:styleId="Heading7Char">
    <w:name w:val="Heading 7 Char"/>
    <w:basedOn w:val="DefaultParagraphFont"/>
    <w:link w:val="Heading7"/>
    <w:rsid w:val="00A5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13"/>
    <w:rPr>
      <w:rFonts w:eastAsiaTheme="majorEastAsia" w:cstheme="majorBidi"/>
      <w:color w:val="272727" w:themeColor="text1" w:themeTint="D8"/>
    </w:rPr>
  </w:style>
  <w:style w:type="paragraph" w:styleId="Title">
    <w:name w:val="Title"/>
    <w:basedOn w:val="Normal"/>
    <w:next w:val="Normal"/>
    <w:link w:val="TitleChar"/>
    <w:uiPriority w:val="10"/>
    <w:qFormat/>
    <w:rsid w:val="00A53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13"/>
    <w:pPr>
      <w:spacing w:before="160"/>
      <w:jc w:val="center"/>
    </w:pPr>
    <w:rPr>
      <w:i/>
      <w:iCs/>
      <w:color w:val="404040" w:themeColor="text1" w:themeTint="BF"/>
    </w:rPr>
  </w:style>
  <w:style w:type="character" w:customStyle="1" w:styleId="QuoteChar">
    <w:name w:val="Quote Char"/>
    <w:basedOn w:val="DefaultParagraphFont"/>
    <w:link w:val="Quote"/>
    <w:uiPriority w:val="29"/>
    <w:rsid w:val="00A53513"/>
    <w:rPr>
      <w:i/>
      <w:iCs/>
      <w:color w:val="404040" w:themeColor="text1" w:themeTint="BF"/>
    </w:rPr>
  </w:style>
  <w:style w:type="paragraph" w:styleId="ListParagraph">
    <w:name w:val="List Paragraph"/>
    <w:basedOn w:val="Normal"/>
    <w:uiPriority w:val="34"/>
    <w:qFormat/>
    <w:rsid w:val="00A53513"/>
    <w:pPr>
      <w:ind w:left="720"/>
      <w:contextualSpacing/>
    </w:pPr>
  </w:style>
  <w:style w:type="character" w:styleId="IntenseEmphasis">
    <w:name w:val="Intense Emphasis"/>
    <w:basedOn w:val="DefaultParagraphFont"/>
    <w:uiPriority w:val="21"/>
    <w:qFormat/>
    <w:rsid w:val="00A53513"/>
    <w:rPr>
      <w:i/>
      <w:iCs/>
      <w:color w:val="2F5496" w:themeColor="accent1" w:themeShade="BF"/>
    </w:rPr>
  </w:style>
  <w:style w:type="paragraph" w:styleId="IntenseQuote">
    <w:name w:val="Intense Quote"/>
    <w:basedOn w:val="Normal"/>
    <w:next w:val="Normal"/>
    <w:link w:val="IntenseQuoteChar"/>
    <w:uiPriority w:val="30"/>
    <w:qFormat/>
    <w:rsid w:val="00A5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513"/>
    <w:rPr>
      <w:i/>
      <w:iCs/>
      <w:color w:val="2F5496" w:themeColor="accent1" w:themeShade="BF"/>
    </w:rPr>
  </w:style>
  <w:style w:type="character" w:styleId="IntenseReference">
    <w:name w:val="Intense Reference"/>
    <w:basedOn w:val="DefaultParagraphFont"/>
    <w:uiPriority w:val="32"/>
    <w:qFormat/>
    <w:rsid w:val="00A53513"/>
    <w:rPr>
      <w:b/>
      <w:bCs/>
      <w:smallCaps/>
      <w:color w:val="2F5496" w:themeColor="accent1" w:themeShade="BF"/>
      <w:spacing w:val="5"/>
    </w:rPr>
  </w:style>
  <w:style w:type="paragraph" w:customStyle="1" w:styleId="Style11">
    <w:name w:val="Style 11"/>
    <w:basedOn w:val="Normal"/>
    <w:rsid w:val="00A53513"/>
    <w:pPr>
      <w:widowControl w:val="0"/>
      <w:autoSpaceDE w:val="0"/>
      <w:autoSpaceDN w:val="0"/>
      <w:spacing w:line="384" w:lineRule="atLeast"/>
      <w:jc w:val="left"/>
    </w:pPr>
    <w:rPr>
      <w:szCs w:val="24"/>
    </w:rPr>
  </w:style>
  <w:style w:type="paragraph" w:customStyle="1" w:styleId="3">
    <w:name w:val="3"/>
    <w:basedOn w:val="Heading3"/>
    <w:rsid w:val="00A53513"/>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rPr>
  </w:style>
  <w:style w:type="character" w:customStyle="1" w:styleId="fontstyle01">
    <w:name w:val="fontstyle01"/>
    <w:basedOn w:val="DefaultParagraphFont"/>
    <w:rsid w:val="00A53513"/>
    <w:rPr>
      <w:rFonts w:ascii="Verdana" w:hAnsi="Verdana" w:hint="default"/>
      <w:b/>
      <w:bCs/>
      <w:i w:val="0"/>
      <w:iCs w:val="0"/>
      <w:color w:val="000000"/>
      <w:sz w:val="52"/>
      <w:szCs w:val="52"/>
    </w:rPr>
  </w:style>
  <w:style w:type="character" w:customStyle="1" w:styleId="fontstyle21">
    <w:name w:val="fontstyle21"/>
    <w:basedOn w:val="DefaultParagraphFont"/>
    <w:rsid w:val="00A53513"/>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A53513"/>
    <w:pPr>
      <w:widowControl w:val="0"/>
      <w:autoSpaceDE w:val="0"/>
      <w:autoSpaceDN w:val="0"/>
      <w:spacing w:before="52"/>
      <w:ind w:left="106"/>
      <w:jc w:val="left"/>
    </w:pPr>
    <w:rPr>
      <w:rFonts w:ascii="Arial" w:eastAsia="Arial" w:hAnsi="Arial" w:cs="Arial"/>
      <w:sz w:val="22"/>
      <w:szCs w:val="22"/>
      <w:lang w:bidi="en-US"/>
    </w:rPr>
  </w:style>
  <w:style w:type="character" w:customStyle="1" w:styleId="Khc">
    <w:name w:val="Khác_"/>
    <w:link w:val="Khc0"/>
    <w:rsid w:val="00A53513"/>
    <w:rPr>
      <w:sz w:val="28"/>
      <w:szCs w:val="28"/>
      <w:shd w:val="clear" w:color="auto" w:fill="FFFFFF"/>
    </w:rPr>
  </w:style>
  <w:style w:type="paragraph" w:customStyle="1" w:styleId="Khc0">
    <w:name w:val="Khác"/>
    <w:basedOn w:val="Normal"/>
    <w:link w:val="Khc"/>
    <w:rsid w:val="00A53513"/>
    <w:pPr>
      <w:widowControl w:val="0"/>
      <w:shd w:val="clear" w:color="auto" w:fill="FFFFFF"/>
      <w:spacing w:after="40"/>
      <w:ind w:firstLine="400"/>
      <w:jc w:val="left"/>
    </w:pPr>
    <w:rPr>
      <w:rFonts w:asciiTheme="minorHAnsi" w:eastAsiaTheme="minorHAnsi" w:hAnsiTheme="minorHAnsi" w:cstheme="minorBidi"/>
      <w:kern w:val="2"/>
      <w:sz w:val="28"/>
      <w:szCs w:val="28"/>
      <w:lang w:val="vi-VN"/>
      <w14:ligatures w14:val="standardContextual"/>
    </w:rPr>
  </w:style>
  <w:style w:type="paragraph" w:customStyle="1" w:styleId="00-table">
    <w:name w:val="0 0-table"/>
    <w:basedOn w:val="Normal"/>
    <w:qFormat/>
    <w:rsid w:val="00A53513"/>
    <w:pPr>
      <w:widowControl w:val="0"/>
      <w:spacing w:before="60" w:after="20" w:line="264" w:lineRule="auto"/>
      <w:ind w:left="57" w:right="57"/>
      <w:contextualSpacing/>
      <w:jc w:val="center"/>
    </w:pPr>
    <w:rPr>
      <w:sz w:val="27"/>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6853</Words>
  <Characters>39067</Characters>
  <Application>Microsoft Office Word</Application>
  <DocSecurity>0</DocSecurity>
  <Lines>325</Lines>
  <Paragraphs>91</Paragraphs>
  <ScaleCrop>false</ScaleCrop>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Bắc Cty</dc:creator>
  <cp:keywords/>
  <dc:description/>
  <cp:lastModifiedBy>Phương Bắc Cty</cp:lastModifiedBy>
  <cp:revision>1</cp:revision>
  <dcterms:created xsi:type="dcterms:W3CDTF">2025-11-17T05:38:00Z</dcterms:created>
  <dcterms:modified xsi:type="dcterms:W3CDTF">2025-11-17T05:40:00Z</dcterms:modified>
</cp:coreProperties>
</file>