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3F2D" w14:textId="77777777" w:rsidR="00EF5A86" w:rsidRPr="006F777C" w:rsidRDefault="00EF5A86" w:rsidP="00EF5A86">
      <w:pPr>
        <w:widowControl w:val="0"/>
        <w:spacing w:before="120" w:after="120" w:line="264" w:lineRule="auto"/>
        <w:ind w:firstLine="567"/>
        <w:jc w:val="center"/>
        <w:outlineLvl w:val="0"/>
        <w:rPr>
          <w:b/>
          <w:sz w:val="28"/>
          <w:szCs w:val="28"/>
          <w:lang w:val="nl-NL"/>
        </w:rPr>
      </w:pPr>
      <w:r w:rsidRPr="006F777C">
        <w:rPr>
          <w:b/>
          <w:sz w:val="28"/>
          <w:szCs w:val="28"/>
          <w:lang w:val="nl-NL"/>
        </w:rPr>
        <w:t>Phần 2. YÊU CẦU VỀ KỸ THUẬT</w:t>
      </w:r>
    </w:p>
    <w:p w14:paraId="2A7F8694" w14:textId="77777777" w:rsidR="00EF5A86" w:rsidRPr="006F777C" w:rsidRDefault="00EF5A86" w:rsidP="00EF5A86">
      <w:pPr>
        <w:spacing w:line="264" w:lineRule="auto"/>
        <w:ind w:firstLine="567"/>
        <w:jc w:val="center"/>
        <w:outlineLvl w:val="0"/>
        <w:rPr>
          <w:b/>
          <w:sz w:val="28"/>
          <w:szCs w:val="28"/>
          <w:lang w:val="nl-NL"/>
        </w:rPr>
      </w:pPr>
      <w:r w:rsidRPr="006F777C">
        <w:rPr>
          <w:b/>
          <w:sz w:val="28"/>
          <w:szCs w:val="28"/>
          <w:lang w:val="nl-NL"/>
        </w:rPr>
        <w:t>Chương V. YÊU CẦU VỀ KỸ THUẬT</w:t>
      </w:r>
    </w:p>
    <w:p w14:paraId="795A9E73" w14:textId="77777777" w:rsidR="00EF5A86" w:rsidRPr="006F777C" w:rsidRDefault="00EF5A86" w:rsidP="00EF5A86">
      <w:pPr>
        <w:spacing w:before="120" w:after="120" w:line="264" w:lineRule="auto"/>
        <w:ind w:firstLine="567"/>
        <w:rPr>
          <w:b/>
          <w:spacing w:val="-6"/>
          <w:sz w:val="6"/>
          <w:szCs w:val="28"/>
          <w:lang w:val="nl-NL"/>
        </w:rPr>
      </w:pPr>
    </w:p>
    <w:p w14:paraId="0CD72E9A" w14:textId="77777777" w:rsidR="00F40E2F" w:rsidRPr="006F777C" w:rsidRDefault="00F40E2F" w:rsidP="00F40E2F">
      <w:pPr>
        <w:spacing w:before="120" w:after="120" w:line="264" w:lineRule="auto"/>
        <w:ind w:firstLine="709"/>
        <w:rPr>
          <w:b/>
          <w:sz w:val="28"/>
          <w:szCs w:val="28"/>
          <w:lang w:val="nl-NL"/>
        </w:rPr>
      </w:pPr>
      <w:r w:rsidRPr="006F777C">
        <w:rPr>
          <w:b/>
          <w:sz w:val="28"/>
          <w:szCs w:val="28"/>
          <w:lang w:val="nl-NL"/>
        </w:rPr>
        <w:t>1. Giới thiệu chung về gói thầu:</w:t>
      </w:r>
    </w:p>
    <w:p w14:paraId="2A6BBAB5" w14:textId="75FA7668" w:rsidR="00BE4781" w:rsidRPr="003C167A" w:rsidRDefault="00F40E2F" w:rsidP="003C167A">
      <w:pPr>
        <w:spacing w:line="360" w:lineRule="exact"/>
        <w:ind w:firstLine="630"/>
        <w:rPr>
          <w:sz w:val="28"/>
          <w:szCs w:val="28"/>
          <w:lang w:val="x-none" w:eastAsia="x-none"/>
        </w:rPr>
      </w:pPr>
      <w:r w:rsidRPr="006F777C">
        <w:rPr>
          <w:sz w:val="28"/>
          <w:szCs w:val="28"/>
          <w:lang w:val="x-none" w:eastAsia="x-none"/>
        </w:rPr>
        <w:t>- Tên gói thầu:</w:t>
      </w:r>
      <w:r w:rsidR="003C167A">
        <w:rPr>
          <w:sz w:val="28"/>
          <w:szCs w:val="28"/>
          <w:lang w:val="x-none" w:eastAsia="x-none"/>
        </w:rPr>
        <w:t xml:space="preserve"> </w:t>
      </w:r>
      <w:r w:rsidR="00BE4781" w:rsidRPr="008D0EF2">
        <w:rPr>
          <w:bCs/>
          <w:sz w:val="28"/>
          <w:szCs w:val="28"/>
          <w:lang w:val="nb-NO"/>
        </w:rPr>
        <w:t xml:space="preserve">Dịch vụ </w:t>
      </w:r>
      <w:r w:rsidR="00BE4781">
        <w:rPr>
          <w:bCs/>
          <w:sz w:val="28"/>
          <w:szCs w:val="28"/>
          <w:lang w:val="nb-NO"/>
        </w:rPr>
        <w:t>bốc xếp than nhập khẩu tại khu vực Làng Khánh năm 202</w:t>
      </w:r>
      <w:r w:rsidR="000E3D1A">
        <w:rPr>
          <w:bCs/>
          <w:sz w:val="28"/>
          <w:szCs w:val="28"/>
          <w:lang w:val="nb-NO"/>
        </w:rPr>
        <w:t>6</w:t>
      </w:r>
    </w:p>
    <w:p w14:paraId="09D49DD1" w14:textId="6F916714"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w:t>
      </w:r>
      <w:r w:rsidR="009967C1">
        <w:rPr>
          <w:sz w:val="28"/>
          <w:szCs w:val="28"/>
          <w:lang w:val="nb-NO" w:eastAsia="x-none"/>
        </w:rPr>
        <w:t>Chủ đầu tư</w:t>
      </w:r>
      <w:r w:rsidRPr="00F61056">
        <w:rPr>
          <w:sz w:val="28"/>
          <w:szCs w:val="28"/>
          <w:lang w:val="nb-NO" w:eastAsia="x-none"/>
        </w:rPr>
        <w:t>:</w:t>
      </w:r>
      <w:r w:rsidRPr="006F777C">
        <w:rPr>
          <w:sz w:val="28"/>
          <w:szCs w:val="28"/>
          <w:lang w:val="x-none" w:eastAsia="x-none"/>
        </w:rPr>
        <w:t xml:space="preserve"> </w:t>
      </w:r>
      <w:r w:rsidRPr="00F61056">
        <w:rPr>
          <w:sz w:val="28"/>
          <w:szCs w:val="28"/>
          <w:lang w:val="nb-NO" w:eastAsia="x-none"/>
        </w:rPr>
        <w:t xml:space="preserve">Chi nhánh Tập đoàn Công nghiệp Than </w:t>
      </w:r>
      <w:r w:rsidR="00AA7F19">
        <w:rPr>
          <w:sz w:val="28"/>
          <w:szCs w:val="28"/>
          <w:lang w:val="nb-NO" w:eastAsia="x-none"/>
        </w:rPr>
        <w:t>-</w:t>
      </w:r>
      <w:r w:rsidRPr="00F61056">
        <w:rPr>
          <w:sz w:val="28"/>
          <w:szCs w:val="28"/>
          <w:lang w:val="nb-NO" w:eastAsia="x-none"/>
        </w:rPr>
        <w:t xml:space="preserve"> Khoáng sản Việt Nam - </w:t>
      </w:r>
      <w:r w:rsidRPr="00F61056">
        <w:rPr>
          <w:sz w:val="28"/>
          <w:szCs w:val="28"/>
          <w:lang w:val="nb-NO"/>
        </w:rPr>
        <w:t>Công ty Tuyển than Hòn Gai -Vinacomin</w:t>
      </w:r>
    </w:p>
    <w:p w14:paraId="3CB71BF7" w14:textId="2ED21AB0"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Nguồn vốn: Chi phí sản xuất </w:t>
      </w:r>
      <w:r w:rsidRPr="006F777C">
        <w:rPr>
          <w:sz w:val="28"/>
          <w:szCs w:val="28"/>
          <w:lang w:eastAsia="x-none"/>
        </w:rPr>
        <w:t>năm 202</w:t>
      </w:r>
      <w:r w:rsidR="00EB0450">
        <w:rPr>
          <w:sz w:val="28"/>
          <w:szCs w:val="28"/>
          <w:lang w:eastAsia="x-none"/>
        </w:rPr>
        <w:t>6</w:t>
      </w:r>
      <w:r w:rsidRPr="006F777C">
        <w:rPr>
          <w:sz w:val="28"/>
          <w:szCs w:val="28"/>
          <w:lang w:eastAsia="x-none"/>
        </w:rPr>
        <w:t>.</w:t>
      </w:r>
      <w:r w:rsidRPr="006F777C">
        <w:rPr>
          <w:b/>
          <w:sz w:val="28"/>
          <w:szCs w:val="28"/>
          <w:lang w:val="x-none" w:eastAsia="x-none"/>
        </w:rPr>
        <w:tab/>
      </w:r>
    </w:p>
    <w:p w14:paraId="57B89FAE" w14:textId="77777777" w:rsidR="00F40E2F" w:rsidRPr="006F777C" w:rsidRDefault="00F40E2F" w:rsidP="00F40E2F">
      <w:pPr>
        <w:spacing w:line="360" w:lineRule="exact"/>
        <w:ind w:firstLine="630"/>
        <w:rPr>
          <w:sz w:val="28"/>
          <w:szCs w:val="28"/>
          <w:lang w:val="x-none" w:eastAsia="x-none"/>
        </w:rPr>
      </w:pPr>
      <w:r w:rsidRPr="006F777C">
        <w:rPr>
          <w:sz w:val="28"/>
          <w:szCs w:val="28"/>
          <w:lang w:val="x-none" w:eastAsia="x-none"/>
        </w:rPr>
        <w:t xml:space="preserve">- Loại </w:t>
      </w:r>
      <w:r w:rsidRPr="006F777C">
        <w:rPr>
          <w:sz w:val="28"/>
          <w:szCs w:val="28"/>
          <w:lang w:eastAsia="x-none"/>
        </w:rPr>
        <w:t>dịch vụ</w:t>
      </w:r>
      <w:r w:rsidRPr="006F777C">
        <w:rPr>
          <w:sz w:val="28"/>
          <w:szCs w:val="28"/>
          <w:lang w:val="x-none" w:eastAsia="x-none"/>
        </w:rPr>
        <w:t xml:space="preserve"> : </w:t>
      </w:r>
      <w:r w:rsidRPr="006F777C">
        <w:rPr>
          <w:sz w:val="28"/>
          <w:szCs w:val="28"/>
          <w:lang w:eastAsia="x-none"/>
        </w:rPr>
        <w:t>Phi tư vấn</w:t>
      </w:r>
      <w:r w:rsidRPr="006F777C">
        <w:rPr>
          <w:sz w:val="28"/>
          <w:szCs w:val="28"/>
          <w:lang w:val="x-none" w:eastAsia="x-none"/>
        </w:rPr>
        <w:t xml:space="preserve">. </w:t>
      </w:r>
    </w:p>
    <w:p w14:paraId="60D2C4F4" w14:textId="77777777" w:rsidR="00F40E2F" w:rsidRPr="00BE4781" w:rsidRDefault="00F40E2F" w:rsidP="00F40E2F">
      <w:pPr>
        <w:spacing w:before="100" w:line="228" w:lineRule="auto"/>
        <w:ind w:firstLine="630"/>
        <w:rPr>
          <w:sz w:val="28"/>
          <w:szCs w:val="28"/>
          <w:lang w:val="en-GB" w:eastAsia="x-none"/>
        </w:rPr>
      </w:pPr>
      <w:r w:rsidRPr="006F777C">
        <w:rPr>
          <w:sz w:val="28"/>
          <w:szCs w:val="28"/>
          <w:lang w:eastAsia="x-none"/>
        </w:rPr>
        <w:t xml:space="preserve">- Nội dung </w:t>
      </w:r>
      <w:r w:rsidRPr="00BE4781">
        <w:rPr>
          <w:sz w:val="28"/>
          <w:szCs w:val="28"/>
          <w:lang w:val="en-GB" w:eastAsia="x-none"/>
        </w:rPr>
        <w:t xml:space="preserve">công việc: </w:t>
      </w:r>
    </w:p>
    <w:p w14:paraId="1F8B5FB5" w14:textId="1A0E5F5B" w:rsidR="00BE4781" w:rsidRPr="00BE4781" w:rsidRDefault="00BE4781" w:rsidP="00BE4781">
      <w:pPr>
        <w:spacing w:before="40" w:after="40"/>
        <w:ind w:firstLine="720"/>
        <w:rPr>
          <w:sz w:val="28"/>
          <w:szCs w:val="28"/>
          <w:lang w:val="en-GB" w:eastAsia="x-none"/>
        </w:rPr>
      </w:pPr>
      <w:r w:rsidRPr="00BE4781">
        <w:rPr>
          <w:sz w:val="28"/>
          <w:szCs w:val="28"/>
          <w:lang w:val="en-GB" w:eastAsia="x-none"/>
        </w:rPr>
        <w:t>Bố trí máy xúc ở trên bờ cảng</w:t>
      </w:r>
      <w:r w:rsidR="002F677E">
        <w:rPr>
          <w:sz w:val="28"/>
          <w:szCs w:val="28"/>
          <w:lang w:val="en-GB" w:eastAsia="x-none"/>
        </w:rPr>
        <w:t xml:space="preserve"> (PX Kho cảng Làng Khánh 1; PX Kho cảng Làng Khánh 2)</w:t>
      </w:r>
      <w:r w:rsidRPr="00BE4781">
        <w:rPr>
          <w:sz w:val="28"/>
          <w:szCs w:val="28"/>
          <w:lang w:val="en-GB" w:eastAsia="x-none"/>
        </w:rPr>
        <w:t xml:space="preserve">, xúc trực tiếp than từ phương tiện thủy lên ô tô hoặc tập kết thành đống lưu chứa tạm dọc mặt bằng bờ cảng; đồng thời xúc dọn, vun gom than rơi vãi trong quá trình bốc xúc (cả dưới phương tiện thủy và trên </w:t>
      </w:r>
      <w:r w:rsidR="002F677E">
        <w:rPr>
          <w:sz w:val="28"/>
          <w:szCs w:val="28"/>
          <w:lang w:val="en-GB" w:eastAsia="x-none"/>
        </w:rPr>
        <w:t xml:space="preserve">mặt bằng bờ </w:t>
      </w:r>
      <w:r w:rsidRPr="00BE4781">
        <w:rPr>
          <w:sz w:val="28"/>
          <w:szCs w:val="28"/>
          <w:lang w:val="en-GB" w:eastAsia="x-none"/>
        </w:rPr>
        <w:t>cảng).</w:t>
      </w:r>
    </w:p>
    <w:p w14:paraId="22B73C6E" w14:textId="2368754F" w:rsidR="00F40E2F" w:rsidRPr="006F777C" w:rsidRDefault="00F40E2F" w:rsidP="00F40E2F">
      <w:pPr>
        <w:spacing w:before="120" w:after="120" w:line="264" w:lineRule="auto"/>
        <w:ind w:firstLine="630"/>
        <w:rPr>
          <w:sz w:val="28"/>
          <w:szCs w:val="28"/>
          <w:lang w:val="nl-NL"/>
        </w:rPr>
      </w:pPr>
      <w:r w:rsidRPr="006F777C">
        <w:rPr>
          <w:sz w:val="28"/>
          <w:szCs w:val="28"/>
          <w:lang w:val="nl-NL"/>
        </w:rPr>
        <w:t>- Thời gian thực hiện: 12 tháng (365 ngày) kể từ ngày 01/01/202</w:t>
      </w:r>
      <w:r w:rsidR="00F61056">
        <w:rPr>
          <w:sz w:val="28"/>
          <w:szCs w:val="28"/>
          <w:lang w:val="nl-NL"/>
        </w:rPr>
        <w:t>6</w:t>
      </w:r>
      <w:r w:rsidRPr="006F777C">
        <w:rPr>
          <w:sz w:val="28"/>
          <w:szCs w:val="28"/>
          <w:lang w:val="nl-NL"/>
        </w:rPr>
        <w:t xml:space="preserve"> đến </w:t>
      </w:r>
      <w:r w:rsidR="005D268E">
        <w:rPr>
          <w:sz w:val="28"/>
          <w:szCs w:val="28"/>
          <w:lang w:val="nl-NL"/>
        </w:rPr>
        <w:t xml:space="preserve">hết </w:t>
      </w:r>
      <w:r w:rsidRPr="006F777C">
        <w:rPr>
          <w:sz w:val="28"/>
          <w:szCs w:val="28"/>
          <w:lang w:val="nl-NL"/>
        </w:rPr>
        <w:t>ngày 31/12/202</w:t>
      </w:r>
      <w:r w:rsidR="00F61056">
        <w:rPr>
          <w:sz w:val="28"/>
          <w:szCs w:val="28"/>
          <w:lang w:val="nl-NL"/>
        </w:rPr>
        <w:t>6</w:t>
      </w:r>
      <w:r w:rsidRPr="006F777C">
        <w:rPr>
          <w:sz w:val="28"/>
          <w:szCs w:val="28"/>
          <w:lang w:val="nl-NL"/>
        </w:rPr>
        <w:t>.</w:t>
      </w:r>
    </w:p>
    <w:p w14:paraId="6A95FC42" w14:textId="77777777" w:rsidR="00F40E2F" w:rsidRPr="006F777C" w:rsidRDefault="00F40E2F" w:rsidP="00F40E2F">
      <w:pPr>
        <w:spacing w:before="120" w:after="120" w:line="264" w:lineRule="auto"/>
        <w:ind w:firstLine="709"/>
        <w:rPr>
          <w:b/>
          <w:sz w:val="28"/>
          <w:szCs w:val="28"/>
          <w:lang w:val="nl-NL"/>
        </w:rPr>
      </w:pPr>
      <w:r w:rsidRPr="006F777C">
        <w:rPr>
          <w:b/>
          <w:sz w:val="28"/>
          <w:szCs w:val="28"/>
          <w:lang w:val="nl-NL"/>
        </w:rPr>
        <w:t>2. Mục tiêu công việc:</w:t>
      </w:r>
    </w:p>
    <w:p w14:paraId="6DDCF6AE" w14:textId="790AFF3D" w:rsidR="00BE4781" w:rsidRPr="00326AE4" w:rsidRDefault="00BE4781" w:rsidP="00BE4781">
      <w:pPr>
        <w:widowControl w:val="0"/>
        <w:ind w:firstLine="454"/>
        <w:rPr>
          <w:sz w:val="28"/>
          <w:szCs w:val="28"/>
          <w:lang w:val="vi-VN"/>
        </w:rPr>
      </w:pPr>
      <w:r w:rsidRPr="00326AE4">
        <w:rPr>
          <w:sz w:val="28"/>
          <w:szCs w:val="28"/>
          <w:lang w:val="vi-VN"/>
        </w:rPr>
        <w:t xml:space="preserve">Bốc </w:t>
      </w:r>
      <w:r w:rsidR="00B163F3" w:rsidRPr="00F61056">
        <w:rPr>
          <w:sz w:val="28"/>
          <w:szCs w:val="28"/>
          <w:lang w:val="nl-NL"/>
        </w:rPr>
        <w:t>xúc</w:t>
      </w:r>
      <w:r w:rsidRPr="00326AE4">
        <w:rPr>
          <w:sz w:val="28"/>
          <w:szCs w:val="28"/>
          <w:lang w:val="vi-VN"/>
        </w:rPr>
        <w:t xml:space="preserve"> than từ phương tiện thủy lên bờ </w:t>
      </w:r>
      <w:r w:rsidR="00B163F3" w:rsidRPr="00F61056">
        <w:rPr>
          <w:sz w:val="28"/>
          <w:szCs w:val="28"/>
          <w:lang w:val="nl-NL"/>
        </w:rPr>
        <w:t xml:space="preserve">sau đó vận chuyển về kho trung tâm chế biến </w:t>
      </w:r>
      <w:r w:rsidRPr="00326AE4">
        <w:rPr>
          <w:sz w:val="28"/>
          <w:szCs w:val="28"/>
          <w:lang w:val="vi-VN"/>
        </w:rPr>
        <w:t>phục vụ hoạt động sản xuất kinh doanh của Công ty Tuyển than Hòn Gai năm 202</w:t>
      </w:r>
      <w:r w:rsidR="007F2C5A">
        <w:rPr>
          <w:sz w:val="28"/>
          <w:szCs w:val="28"/>
          <w:lang w:val="nl-NL"/>
        </w:rPr>
        <w:t>6</w:t>
      </w:r>
      <w:r w:rsidRPr="00326AE4">
        <w:rPr>
          <w:sz w:val="28"/>
          <w:szCs w:val="28"/>
          <w:lang w:val="vi-VN"/>
        </w:rPr>
        <w:t>.</w:t>
      </w:r>
    </w:p>
    <w:p w14:paraId="0E040B03" w14:textId="77777777" w:rsidR="00BE4781" w:rsidRPr="007F3555" w:rsidRDefault="00BE4781" w:rsidP="00BE4781">
      <w:pPr>
        <w:spacing w:before="120" w:after="120" w:line="264" w:lineRule="auto"/>
        <w:ind w:firstLine="709"/>
        <w:rPr>
          <w:b/>
          <w:sz w:val="28"/>
          <w:szCs w:val="28"/>
          <w:lang w:val="vi-VN"/>
        </w:rPr>
      </w:pPr>
      <w:r w:rsidRPr="007F3555">
        <w:rPr>
          <w:b/>
          <w:sz w:val="28"/>
          <w:szCs w:val="28"/>
          <w:lang w:val="vi-VN"/>
        </w:rPr>
        <w:t>3.1. Yêu cầu về thiết bị.</w:t>
      </w:r>
    </w:p>
    <w:p w14:paraId="18541542" w14:textId="5C500B8F" w:rsidR="00BE4781" w:rsidRPr="00F61056" w:rsidRDefault="00BE4781" w:rsidP="00BE4781">
      <w:pPr>
        <w:suppressLineNumbers/>
        <w:spacing w:before="40" w:after="40"/>
        <w:ind w:firstLine="709"/>
        <w:rPr>
          <w:bCs/>
          <w:sz w:val="28"/>
          <w:szCs w:val="28"/>
          <w:lang w:val="vi-VN"/>
        </w:rPr>
      </w:pPr>
      <w:r w:rsidRPr="007F3555">
        <w:rPr>
          <w:bCs/>
          <w:sz w:val="28"/>
          <w:szCs w:val="28"/>
          <w:lang w:val="vi-VN"/>
        </w:rPr>
        <w:t xml:space="preserve">- Loại máy:  Máy đào bánh xích, lắp gầu nghịch/gầu </w:t>
      </w:r>
      <w:r w:rsidR="00A010D7" w:rsidRPr="00F61056">
        <w:rPr>
          <w:bCs/>
          <w:sz w:val="28"/>
          <w:szCs w:val="28"/>
          <w:lang w:val="vi-VN"/>
        </w:rPr>
        <w:t>ghíp</w:t>
      </w:r>
      <w:r w:rsidRPr="007F3555">
        <w:rPr>
          <w:bCs/>
          <w:sz w:val="28"/>
          <w:szCs w:val="28"/>
          <w:lang w:val="vi-VN"/>
        </w:rPr>
        <w:t>.</w:t>
      </w:r>
      <w:r w:rsidRPr="00F61056">
        <w:rPr>
          <w:bCs/>
          <w:sz w:val="28"/>
          <w:szCs w:val="28"/>
          <w:lang w:val="vi-VN"/>
        </w:rPr>
        <w:t xml:space="preserve"> Thể tích</w:t>
      </w:r>
      <w:r w:rsidRPr="007F3555">
        <w:rPr>
          <w:bCs/>
          <w:sz w:val="28"/>
          <w:szCs w:val="28"/>
          <w:lang w:val="vi-VN"/>
        </w:rPr>
        <w:t xml:space="preserve"> </w:t>
      </w:r>
      <w:r w:rsidRPr="00F61056">
        <w:rPr>
          <w:bCs/>
          <w:sz w:val="28"/>
          <w:szCs w:val="28"/>
          <w:lang w:val="vi-VN"/>
        </w:rPr>
        <w:t>(</w:t>
      </w:r>
      <w:r w:rsidRPr="007F3555">
        <w:rPr>
          <w:bCs/>
          <w:sz w:val="28"/>
          <w:szCs w:val="28"/>
          <w:lang w:val="vi-VN"/>
        </w:rPr>
        <w:t>dung tích</w:t>
      </w:r>
      <w:r w:rsidRPr="00F61056">
        <w:rPr>
          <w:bCs/>
          <w:sz w:val="28"/>
          <w:szCs w:val="28"/>
          <w:lang w:val="vi-VN"/>
        </w:rPr>
        <w:t>)</w:t>
      </w:r>
      <w:r w:rsidRPr="007F3555">
        <w:rPr>
          <w:bCs/>
          <w:sz w:val="28"/>
          <w:szCs w:val="28"/>
          <w:lang w:val="vi-VN"/>
        </w:rPr>
        <w:t xml:space="preserve"> gầu ≥1,6 m3; Bán kính đào lớn nhất ≥ 10 mét; chiều cao đổ lớn nhất ≥ 6 mét. Số lượng máy huy động cần tối thiểu: 0</w:t>
      </w:r>
      <w:r w:rsidRPr="00F61056">
        <w:rPr>
          <w:bCs/>
          <w:sz w:val="28"/>
          <w:szCs w:val="28"/>
          <w:lang w:val="vi-VN"/>
        </w:rPr>
        <w:t>3</w:t>
      </w:r>
      <w:r w:rsidRPr="007F3555">
        <w:rPr>
          <w:bCs/>
          <w:sz w:val="28"/>
          <w:szCs w:val="28"/>
          <w:lang w:val="vi-VN"/>
        </w:rPr>
        <w:t xml:space="preserve"> máy (</w:t>
      </w:r>
      <w:r w:rsidRPr="00F61056">
        <w:rPr>
          <w:bCs/>
          <w:sz w:val="28"/>
          <w:szCs w:val="28"/>
          <w:lang w:val="vi-VN"/>
        </w:rPr>
        <w:t>2</w:t>
      </w:r>
      <w:r w:rsidRPr="007F3555">
        <w:rPr>
          <w:bCs/>
          <w:sz w:val="28"/>
          <w:szCs w:val="28"/>
          <w:lang w:val="vi-VN"/>
        </w:rPr>
        <w:t xml:space="preserve"> máy làm việc</w:t>
      </w:r>
      <w:r w:rsidR="00CE5C92" w:rsidRPr="00CE5C92">
        <w:rPr>
          <w:bCs/>
          <w:sz w:val="28"/>
          <w:szCs w:val="28"/>
          <w:lang w:val="vi-VN"/>
        </w:rPr>
        <w:t>/2 điểm bốc</w:t>
      </w:r>
      <w:r w:rsidRPr="007F3555">
        <w:rPr>
          <w:bCs/>
          <w:sz w:val="28"/>
          <w:szCs w:val="28"/>
          <w:lang w:val="vi-VN"/>
        </w:rPr>
        <w:t xml:space="preserve"> </w:t>
      </w:r>
      <w:r w:rsidR="00CE5C92" w:rsidRPr="00CE5C92">
        <w:rPr>
          <w:bCs/>
          <w:sz w:val="28"/>
          <w:szCs w:val="28"/>
          <w:lang w:val="vi-VN"/>
        </w:rPr>
        <w:t xml:space="preserve">xúc </w:t>
      </w:r>
      <w:r w:rsidRPr="007F3555">
        <w:rPr>
          <w:bCs/>
          <w:sz w:val="28"/>
          <w:szCs w:val="28"/>
          <w:lang w:val="vi-VN"/>
        </w:rPr>
        <w:t>và 01 máy dự phòng</w:t>
      </w:r>
      <w:r w:rsidR="00CE5C92" w:rsidRPr="00CE5C92">
        <w:rPr>
          <w:bCs/>
          <w:sz w:val="28"/>
          <w:szCs w:val="28"/>
          <w:lang w:val="vi-VN"/>
        </w:rPr>
        <w:t xml:space="preserve"> dùng chung cho 2 điểm bốc xúc</w:t>
      </w:r>
      <w:r w:rsidRPr="007F3555">
        <w:rPr>
          <w:bCs/>
          <w:sz w:val="28"/>
          <w:szCs w:val="28"/>
          <w:lang w:val="vi-VN"/>
        </w:rPr>
        <w:t>).</w:t>
      </w:r>
    </w:p>
    <w:p w14:paraId="29365E4B" w14:textId="722CD3F3" w:rsidR="00BE4781" w:rsidRPr="007F3555" w:rsidRDefault="00BE4781" w:rsidP="00BE4781">
      <w:pPr>
        <w:suppressLineNumbers/>
        <w:spacing w:before="60" w:after="60"/>
        <w:rPr>
          <w:bCs/>
          <w:sz w:val="28"/>
          <w:szCs w:val="28"/>
          <w:lang w:val="vi-VN"/>
        </w:rPr>
      </w:pPr>
      <w:r w:rsidRPr="007F3555">
        <w:rPr>
          <w:bCs/>
          <w:sz w:val="28"/>
          <w:szCs w:val="28"/>
          <w:lang w:val="vi-VN"/>
        </w:rPr>
        <w:tab/>
      </w:r>
      <w:r w:rsidRPr="007F3555">
        <w:rPr>
          <w:b/>
          <w:sz w:val="28"/>
          <w:szCs w:val="28"/>
          <w:lang w:val="vi-VN"/>
        </w:rPr>
        <w:t xml:space="preserve">- </w:t>
      </w:r>
      <w:r w:rsidRPr="007F3555">
        <w:rPr>
          <w:bCs/>
          <w:sz w:val="28"/>
          <w:szCs w:val="28"/>
          <w:lang w:val="vi-VN"/>
        </w:rPr>
        <w:t xml:space="preserve">Thời gian làm việc: 24/24h hàng ngày. </w:t>
      </w:r>
    </w:p>
    <w:p w14:paraId="25CC1D9E" w14:textId="40B00CBC" w:rsidR="00BE4781" w:rsidRPr="00CE5C92" w:rsidRDefault="00BE4781" w:rsidP="00BE4781">
      <w:pPr>
        <w:suppressLineNumbers/>
        <w:spacing w:before="40" w:after="40"/>
        <w:ind w:firstLine="720"/>
        <w:rPr>
          <w:bCs/>
          <w:sz w:val="28"/>
          <w:szCs w:val="28"/>
          <w:lang w:val="vi-VN"/>
        </w:rPr>
      </w:pPr>
      <w:r w:rsidRPr="007F3555">
        <w:rPr>
          <w:bCs/>
          <w:sz w:val="28"/>
          <w:szCs w:val="28"/>
          <w:lang w:val="vi-VN"/>
        </w:rPr>
        <w:t xml:space="preserve">- Công suất bốc than: Bình quân khoảng </w:t>
      </w:r>
      <w:r w:rsidR="00F61056" w:rsidRPr="00F61056">
        <w:rPr>
          <w:bCs/>
          <w:sz w:val="28"/>
          <w:szCs w:val="28"/>
          <w:lang w:val="vi-VN"/>
        </w:rPr>
        <w:t>5</w:t>
      </w:r>
      <w:r w:rsidRPr="007F3555">
        <w:rPr>
          <w:bCs/>
          <w:sz w:val="28"/>
          <w:szCs w:val="28"/>
          <w:lang w:val="vi-VN"/>
        </w:rPr>
        <w:t>.000 tấn/ngày (tùy thuộc vào tình hình sản xuất).</w:t>
      </w:r>
    </w:p>
    <w:p w14:paraId="2298FCFC" w14:textId="77777777" w:rsidR="00BE4781" w:rsidRPr="007F3555" w:rsidRDefault="00BE4781" w:rsidP="00BE4781">
      <w:pPr>
        <w:spacing w:before="120" w:after="120" w:line="264" w:lineRule="auto"/>
        <w:ind w:firstLine="709"/>
        <w:rPr>
          <w:b/>
          <w:i/>
          <w:iCs/>
          <w:sz w:val="28"/>
          <w:szCs w:val="28"/>
          <w:u w:val="single"/>
          <w:lang w:val="vi-VN"/>
        </w:rPr>
      </w:pPr>
      <w:r w:rsidRPr="007F3555">
        <w:rPr>
          <w:b/>
          <w:i/>
          <w:iCs/>
          <w:sz w:val="28"/>
          <w:szCs w:val="28"/>
          <w:u w:val="single"/>
          <w:lang w:val="vi-VN"/>
        </w:rPr>
        <w:t>Ghi chú:</w:t>
      </w:r>
    </w:p>
    <w:p w14:paraId="622E0711" w14:textId="77777777" w:rsidR="00BE4781" w:rsidRPr="007F3555" w:rsidRDefault="00BE4781" w:rsidP="00BE4781">
      <w:pPr>
        <w:widowControl w:val="0"/>
        <w:spacing w:before="80"/>
        <w:ind w:firstLine="709"/>
        <w:rPr>
          <w:rFonts w:eastAsia="Arial"/>
          <w:i/>
          <w:iCs/>
          <w:sz w:val="28"/>
          <w:szCs w:val="28"/>
          <w:lang w:val="vi-VN"/>
        </w:rPr>
      </w:pPr>
      <w:r w:rsidRPr="007F3555">
        <w:rPr>
          <w:rFonts w:eastAsia="Arial"/>
          <w:i/>
          <w:iCs/>
          <w:sz w:val="28"/>
          <w:szCs w:val="28"/>
          <w:lang w:val="vi-VN"/>
        </w:rPr>
        <w:t xml:space="preserve">- Nhà thầu phải chứng minh được quyền sử dụng hợp pháp. Nhà thầu tham gia dự thầu có thể đi thuê phương tiện, thiết bị của chủ sở hữu để khai thác và sử dụng thông qua hợp đồng hợp lý, hợp lệ. </w:t>
      </w:r>
    </w:p>
    <w:p w14:paraId="1AD207DF" w14:textId="77777777" w:rsidR="00BE4781" w:rsidRPr="007F3555" w:rsidRDefault="00BE4781" w:rsidP="00BE4781">
      <w:pPr>
        <w:widowControl w:val="0"/>
        <w:spacing w:before="80"/>
        <w:ind w:firstLine="709"/>
        <w:rPr>
          <w:rFonts w:eastAsia="Arial"/>
          <w:i/>
          <w:iCs/>
          <w:sz w:val="28"/>
          <w:szCs w:val="28"/>
          <w:lang w:val="vi-VN"/>
        </w:rPr>
      </w:pPr>
      <w:r w:rsidRPr="007F3555">
        <w:rPr>
          <w:rFonts w:eastAsia="Arial"/>
          <w:i/>
          <w:iCs/>
          <w:sz w:val="28"/>
          <w:szCs w:val="28"/>
          <w:lang w:val="vi-VN"/>
        </w:rPr>
        <w:t>Hồ sơ chứng minh quyền sử dụng phải đảm bảo một số tiêu chí sau:</w:t>
      </w:r>
    </w:p>
    <w:p w14:paraId="0684B0AF" w14:textId="77777777" w:rsidR="00BE4781" w:rsidRPr="007F3555" w:rsidRDefault="00BE4781" w:rsidP="00BE4781">
      <w:pPr>
        <w:widowControl w:val="0"/>
        <w:spacing w:before="80"/>
        <w:ind w:firstLine="709"/>
        <w:rPr>
          <w:rFonts w:eastAsia="Arial"/>
          <w:i/>
          <w:iCs/>
          <w:sz w:val="28"/>
          <w:szCs w:val="28"/>
          <w:lang w:val="vi-VN"/>
        </w:rPr>
      </w:pPr>
      <w:r w:rsidRPr="007F3555">
        <w:rPr>
          <w:rFonts w:eastAsia="Arial"/>
          <w:i/>
          <w:iCs/>
          <w:sz w:val="28"/>
          <w:szCs w:val="28"/>
          <w:lang w:val="vi-VN"/>
        </w:rPr>
        <w:t>(i). Hợp đồng chuyển giao quyền sử dụng (sao y công chứng) phải được xây dựng, ký kết theo đúng quy định của Pháp luật hiện hành về hợp đồng kinh tế (bao gồm các điều khoản cơ bản của hợp đồng như đối tượng hợp đồng, giá trị, các điều khoản thanh toán…).</w:t>
      </w:r>
    </w:p>
    <w:p w14:paraId="2B7AE5AB" w14:textId="77777777" w:rsidR="00BE4781" w:rsidRPr="00C51FB9" w:rsidRDefault="00BE4781" w:rsidP="00BE4781">
      <w:pPr>
        <w:widowControl w:val="0"/>
        <w:spacing w:before="80"/>
        <w:ind w:firstLine="709"/>
        <w:rPr>
          <w:rFonts w:eastAsia="Arial"/>
          <w:i/>
          <w:iCs/>
          <w:sz w:val="28"/>
          <w:szCs w:val="28"/>
          <w:lang w:val="vi-VN"/>
        </w:rPr>
      </w:pPr>
      <w:r w:rsidRPr="007F3555">
        <w:rPr>
          <w:rFonts w:eastAsia="Arial"/>
          <w:i/>
          <w:iCs/>
          <w:sz w:val="28"/>
          <w:szCs w:val="28"/>
          <w:lang w:val="vi-VN"/>
        </w:rPr>
        <w:lastRenderedPageBreak/>
        <w:t>(ii) Chủ thể ký kết hợp đồng để có quyền sử dụng phải là doanh nghiệp với doanh nghiệp (doanh nghiệp phải có đăng ký</w:t>
      </w:r>
      <w:r w:rsidRPr="00C51FB9">
        <w:rPr>
          <w:rFonts w:eastAsia="Arial"/>
          <w:i/>
          <w:iCs/>
          <w:sz w:val="28"/>
          <w:szCs w:val="28"/>
          <w:lang w:val="vi-VN"/>
        </w:rPr>
        <w:t xml:space="preserve"> kinh doanh, có hoạt động sản xuất, có mã số thuế và hàng tháng phát sinh các nghiệp vụ kế toán). </w:t>
      </w:r>
    </w:p>
    <w:p w14:paraId="24C99E86" w14:textId="77777777" w:rsidR="00BE4781" w:rsidRPr="00C51FB9" w:rsidRDefault="00BE4781" w:rsidP="00BE4781">
      <w:pPr>
        <w:widowControl w:val="0"/>
        <w:spacing w:before="80"/>
        <w:ind w:firstLine="533"/>
        <w:rPr>
          <w:rFonts w:eastAsia="Arial"/>
          <w:i/>
          <w:iCs/>
          <w:sz w:val="28"/>
          <w:szCs w:val="28"/>
          <w:lang w:val="vi-VN"/>
        </w:rPr>
      </w:pPr>
      <w:r w:rsidRPr="00C51FB9">
        <w:rPr>
          <w:rFonts w:eastAsia="Arial"/>
          <w:i/>
          <w:iCs/>
          <w:sz w:val="28"/>
          <w:szCs w:val="28"/>
          <w:lang w:val="vi-VN"/>
        </w:rPr>
        <w:tab/>
        <w:t xml:space="preserve">(iii) Hai chủ thể ký hợp đồng phải chứng minh được việc thanh toán cho các hợp đồng để có quyền sử dụng bằng hóa đơn giá trị gia tăng theo đúng quy định của Pháp luật. Việc thanh toán phải phù hợp với điều kiện thanh toán quy định trong hợp đồng hai bên đã ký kết. </w:t>
      </w:r>
    </w:p>
    <w:p w14:paraId="65D34681" w14:textId="77777777" w:rsidR="00BE4781" w:rsidRPr="00C51FB9" w:rsidRDefault="00BE4781" w:rsidP="00BE4781">
      <w:pPr>
        <w:widowControl w:val="0"/>
        <w:spacing w:before="80"/>
        <w:ind w:firstLine="720"/>
        <w:rPr>
          <w:b/>
          <w:i/>
          <w:iCs/>
          <w:sz w:val="28"/>
          <w:szCs w:val="28"/>
          <w:lang w:val="pl-PL"/>
        </w:rPr>
      </w:pPr>
      <w:r w:rsidRPr="00C51FB9">
        <w:rPr>
          <w:b/>
          <w:i/>
          <w:iCs/>
          <w:sz w:val="28"/>
          <w:szCs w:val="28"/>
          <w:lang w:val="vi-VN"/>
        </w:rPr>
        <w:t xml:space="preserve">* </w:t>
      </w:r>
      <w:r w:rsidRPr="00C51FB9">
        <w:rPr>
          <w:b/>
          <w:i/>
          <w:iCs/>
          <w:sz w:val="28"/>
          <w:szCs w:val="28"/>
          <w:lang w:val="pl-PL"/>
        </w:rPr>
        <w:t>Yêu cầu về hồ sơ thiết bị</w:t>
      </w:r>
      <w:r w:rsidRPr="00C51FB9">
        <w:rPr>
          <w:b/>
          <w:i/>
          <w:iCs/>
          <w:sz w:val="28"/>
          <w:szCs w:val="28"/>
          <w:lang w:val="vi-VN"/>
        </w:rPr>
        <w:t xml:space="preserve"> </w:t>
      </w:r>
      <w:r w:rsidRPr="00C51FB9">
        <w:rPr>
          <w:b/>
          <w:i/>
          <w:iCs/>
          <w:sz w:val="28"/>
          <w:szCs w:val="28"/>
          <w:lang w:val="pl-PL"/>
        </w:rPr>
        <w:t>kèm theo:</w:t>
      </w:r>
    </w:p>
    <w:p w14:paraId="7544BC2B" w14:textId="77777777" w:rsidR="00BE4781" w:rsidRPr="00C51FB9" w:rsidRDefault="00BE4781" w:rsidP="00BE4781">
      <w:pPr>
        <w:widowControl w:val="0"/>
        <w:spacing w:before="80"/>
        <w:ind w:firstLine="720"/>
        <w:rPr>
          <w:rFonts w:eastAsia="Arial"/>
          <w:i/>
          <w:iCs/>
          <w:sz w:val="28"/>
          <w:szCs w:val="28"/>
          <w:lang w:val="vi-VN"/>
        </w:rPr>
      </w:pPr>
      <w:r w:rsidRPr="00C51FB9">
        <w:rPr>
          <w:rFonts w:eastAsia="Arial"/>
          <w:i/>
          <w:iCs/>
          <w:sz w:val="28"/>
          <w:szCs w:val="28"/>
          <w:lang w:val="vi-VN"/>
        </w:rPr>
        <w:t xml:space="preserve">- </w:t>
      </w:r>
      <w:r w:rsidRPr="00C51FB9">
        <w:rPr>
          <w:rFonts w:eastAsia="Arial"/>
          <w:i/>
          <w:iCs/>
          <w:sz w:val="28"/>
          <w:szCs w:val="28"/>
          <w:lang w:val="pl-PL"/>
        </w:rPr>
        <w:t>Giấy</w:t>
      </w:r>
      <w:r w:rsidRPr="00C51FB9">
        <w:rPr>
          <w:rFonts w:eastAsia="Arial"/>
          <w:i/>
          <w:iCs/>
          <w:sz w:val="28"/>
          <w:szCs w:val="28"/>
          <w:lang w:val="vi-VN"/>
        </w:rPr>
        <w:t xml:space="preserve"> chứng nhận đăng ký</w:t>
      </w:r>
      <w:r w:rsidRPr="00F2499D">
        <w:rPr>
          <w:rFonts w:eastAsia="Arial"/>
          <w:i/>
          <w:iCs/>
          <w:sz w:val="28"/>
          <w:szCs w:val="28"/>
          <w:lang w:val="pl-PL"/>
        </w:rPr>
        <w:t xml:space="preserve"> xe máy chuyên </w:t>
      </w:r>
      <w:r w:rsidRPr="000B3159">
        <w:rPr>
          <w:rFonts w:eastAsia="Arial"/>
          <w:i/>
          <w:iCs/>
          <w:sz w:val="28"/>
          <w:szCs w:val="28"/>
          <w:lang w:val="pl-PL"/>
        </w:rPr>
        <w:t>dùng/ giấy</w:t>
      </w:r>
      <w:r w:rsidRPr="00F2499D">
        <w:rPr>
          <w:rFonts w:eastAsia="Arial"/>
          <w:i/>
          <w:iCs/>
          <w:sz w:val="28"/>
          <w:szCs w:val="28"/>
          <w:lang w:val="pl-PL"/>
        </w:rPr>
        <w:t xml:space="preserve"> chứng nhận kiểm tra an toàn kỹ thuật và bảo vệ môi trường xe máy chuyên dùng trong khai thác sử dụng</w:t>
      </w:r>
      <w:r w:rsidRPr="00C51FB9">
        <w:rPr>
          <w:rFonts w:eastAsia="Arial"/>
          <w:i/>
          <w:iCs/>
          <w:sz w:val="28"/>
          <w:szCs w:val="28"/>
          <w:lang w:val="vi-VN"/>
        </w:rPr>
        <w:t>. Hợp đồng thuê thiết bị có công chứng (nếu có).</w:t>
      </w:r>
    </w:p>
    <w:p w14:paraId="68F3C0BE" w14:textId="77777777" w:rsidR="00BE4781" w:rsidRPr="00526820" w:rsidRDefault="00BE4781" w:rsidP="00BE4781">
      <w:pPr>
        <w:spacing w:before="240" w:after="120" w:line="264" w:lineRule="auto"/>
        <w:ind w:firstLine="709"/>
        <w:rPr>
          <w:b/>
          <w:sz w:val="28"/>
          <w:szCs w:val="28"/>
          <w:lang w:val="vi-VN"/>
        </w:rPr>
      </w:pPr>
      <w:r>
        <w:rPr>
          <w:b/>
          <w:sz w:val="28"/>
          <w:szCs w:val="28"/>
          <w:lang w:val="vi-VN"/>
        </w:rPr>
        <w:t>3.2. Yêu cầu về nhân sự chủ chốt</w:t>
      </w:r>
      <w:r w:rsidRPr="00526820">
        <w:rPr>
          <w:b/>
          <w:sz w:val="28"/>
          <w:szCs w:val="28"/>
          <w:lang w:val="vi-VN"/>
        </w:rPr>
        <w:t>.</w:t>
      </w:r>
    </w:p>
    <w:p w14:paraId="6A36346E" w14:textId="6B27683F" w:rsidR="00BE4781" w:rsidRPr="00526820" w:rsidRDefault="00BE4781" w:rsidP="00BE4781">
      <w:pPr>
        <w:spacing w:before="120" w:after="120" w:line="264" w:lineRule="auto"/>
        <w:ind w:firstLine="709"/>
        <w:rPr>
          <w:bCs/>
          <w:iCs/>
          <w:sz w:val="28"/>
          <w:szCs w:val="28"/>
          <w:lang w:val="vi-VN"/>
        </w:rPr>
      </w:pPr>
      <w:r w:rsidRPr="00F2499D">
        <w:rPr>
          <w:bCs/>
          <w:iCs/>
          <w:sz w:val="28"/>
          <w:szCs w:val="28"/>
          <w:lang w:val="vi-VN"/>
        </w:rPr>
        <w:t xml:space="preserve">Số lượng </w:t>
      </w:r>
      <w:r w:rsidRPr="00326AE4">
        <w:rPr>
          <w:bCs/>
          <w:iCs/>
          <w:sz w:val="28"/>
          <w:szCs w:val="28"/>
          <w:lang w:val="vi-VN"/>
        </w:rPr>
        <w:t xml:space="preserve">cán bộ quản lý </w:t>
      </w:r>
      <w:r w:rsidRPr="008E1DAC">
        <w:rPr>
          <w:bCs/>
          <w:iCs/>
          <w:sz w:val="28"/>
          <w:szCs w:val="28"/>
          <w:lang w:val="vi-VN"/>
        </w:rPr>
        <w:t xml:space="preserve">chung; công nhân vận hành máy xúc phải đủ để đáp ứng năng lực của thiết bị. </w:t>
      </w:r>
      <w:r w:rsidRPr="008E1DAC">
        <w:rPr>
          <w:sz w:val="28"/>
          <w:szCs w:val="28"/>
          <w:lang w:val="vi-VN"/>
        </w:rPr>
        <w:t>Các nhân sự trên</w:t>
      </w:r>
      <w:r w:rsidRPr="008E1DAC">
        <w:rPr>
          <w:bCs/>
          <w:iCs/>
          <w:sz w:val="28"/>
          <w:szCs w:val="28"/>
          <w:lang w:val="vi-VN"/>
        </w:rPr>
        <w:t xml:space="preserve"> phải được đào tạo có chứng chỉ bằng cấp nghề</w:t>
      </w:r>
      <w:r w:rsidRPr="00526820">
        <w:rPr>
          <w:bCs/>
          <w:iCs/>
          <w:sz w:val="28"/>
          <w:szCs w:val="28"/>
          <w:lang w:val="vi-VN"/>
        </w:rPr>
        <w:t xml:space="preserve"> nghiệp theo quy định của Nhà nước. </w:t>
      </w:r>
      <w:r>
        <w:rPr>
          <w:bCs/>
          <w:iCs/>
          <w:sz w:val="28"/>
          <w:szCs w:val="28"/>
          <w:lang w:val="vi-VN"/>
        </w:rPr>
        <w:t>Nhà thầu</w:t>
      </w:r>
      <w:r w:rsidRPr="00526820">
        <w:rPr>
          <w:bCs/>
          <w:iCs/>
          <w:sz w:val="28"/>
          <w:szCs w:val="28"/>
          <w:lang w:val="vi-VN"/>
        </w:rPr>
        <w:t xml:space="preserve"> chịu trách nhiệm an toàn về người và thiết bị trong quá trình </w:t>
      </w:r>
      <w:r>
        <w:rPr>
          <w:bCs/>
          <w:iCs/>
          <w:sz w:val="28"/>
          <w:szCs w:val="28"/>
          <w:lang w:val="vi-VN"/>
        </w:rPr>
        <w:t xml:space="preserve">bốc xếp </w:t>
      </w:r>
      <w:r w:rsidRPr="00526820">
        <w:rPr>
          <w:bCs/>
          <w:iCs/>
          <w:sz w:val="28"/>
          <w:szCs w:val="28"/>
          <w:lang w:val="vi-VN"/>
        </w:rPr>
        <w:t xml:space="preserve">than từ </w:t>
      </w:r>
      <w:r w:rsidRPr="008E1DAC">
        <w:rPr>
          <w:bCs/>
          <w:iCs/>
          <w:sz w:val="28"/>
          <w:szCs w:val="28"/>
          <w:lang w:val="vi-VN"/>
        </w:rPr>
        <w:t>phương tiện thủy lên bờ</w:t>
      </w:r>
      <w:r w:rsidRPr="00526820">
        <w:rPr>
          <w:bCs/>
          <w:iCs/>
          <w:sz w:val="28"/>
          <w:szCs w:val="28"/>
          <w:lang w:val="vi-VN"/>
        </w:rPr>
        <w:t>.</w:t>
      </w:r>
    </w:p>
    <w:p w14:paraId="3C864005" w14:textId="77777777" w:rsidR="00BE4781" w:rsidRPr="00526820" w:rsidRDefault="00BE4781" w:rsidP="00BE4781">
      <w:pPr>
        <w:spacing w:before="120" w:after="120" w:line="264" w:lineRule="auto"/>
        <w:ind w:firstLine="709"/>
        <w:rPr>
          <w:b/>
          <w:iCs/>
          <w:sz w:val="28"/>
          <w:szCs w:val="28"/>
          <w:lang w:val="vi-VN"/>
        </w:rPr>
      </w:pPr>
      <w:r w:rsidRPr="00526820">
        <w:rPr>
          <w:b/>
          <w:iCs/>
          <w:sz w:val="28"/>
          <w:szCs w:val="28"/>
          <w:lang w:val="vi-VN"/>
        </w:rPr>
        <w:t>3.3. Yêu cầu về an toàn lao động, vệ sinh môi trường.</w:t>
      </w:r>
    </w:p>
    <w:p w14:paraId="0552D46A" w14:textId="77777777" w:rsidR="00BE4781" w:rsidRPr="00D1231B" w:rsidRDefault="00BE4781" w:rsidP="00BE4781">
      <w:pPr>
        <w:ind w:firstLine="709"/>
        <w:rPr>
          <w:sz w:val="28"/>
          <w:szCs w:val="28"/>
          <w:lang w:val="vi-VN"/>
        </w:rPr>
      </w:pPr>
      <w:r w:rsidRPr="00D1231B">
        <w:rPr>
          <w:sz w:val="28"/>
          <w:szCs w:val="28"/>
          <w:lang w:val="vi-VN"/>
        </w:rPr>
        <w:t>- Đáp ứng các quy định về BVMT trong khu vực (độ ồn, độ bụi) do hoạt động bốc xếp than tác động vào môi trường.</w:t>
      </w:r>
    </w:p>
    <w:p w14:paraId="55AB9CC1" w14:textId="2099D6AE" w:rsidR="00BE4781" w:rsidRPr="00D1231B" w:rsidRDefault="00BE4781" w:rsidP="00BE4781">
      <w:pPr>
        <w:ind w:firstLine="720"/>
        <w:rPr>
          <w:sz w:val="28"/>
          <w:szCs w:val="28"/>
          <w:lang w:val="vi-VN"/>
        </w:rPr>
      </w:pPr>
      <w:r w:rsidRPr="00D1231B">
        <w:rPr>
          <w:sz w:val="28"/>
          <w:szCs w:val="28"/>
          <w:lang w:val="vi-VN"/>
        </w:rPr>
        <w:t xml:space="preserve">- Nhà thầu phải </w:t>
      </w:r>
      <w:r w:rsidRPr="00D1231B">
        <w:rPr>
          <w:rFonts w:hint="eastAsia"/>
          <w:sz w:val="28"/>
          <w:szCs w:val="28"/>
          <w:lang w:val="vi-VN"/>
        </w:rPr>
        <w:t>đă</w:t>
      </w:r>
      <w:r w:rsidRPr="00D1231B">
        <w:rPr>
          <w:sz w:val="28"/>
          <w:szCs w:val="28"/>
          <w:lang w:val="vi-VN"/>
        </w:rPr>
        <w:t xml:space="preserve">ng ký lao </w:t>
      </w:r>
      <w:r w:rsidRPr="00D1231B">
        <w:rPr>
          <w:rFonts w:hint="eastAsia"/>
          <w:sz w:val="28"/>
          <w:szCs w:val="28"/>
          <w:lang w:val="vi-VN"/>
        </w:rPr>
        <w:t>đ</w:t>
      </w:r>
      <w:r w:rsidRPr="00D1231B">
        <w:rPr>
          <w:sz w:val="28"/>
          <w:szCs w:val="28"/>
          <w:lang w:val="vi-VN"/>
        </w:rPr>
        <w:t xml:space="preserve">ộng tham gia sản xuất với </w:t>
      </w:r>
      <w:r w:rsidR="00AA7F19" w:rsidRPr="00AA7F19">
        <w:rPr>
          <w:sz w:val="28"/>
          <w:szCs w:val="28"/>
          <w:lang w:val="vi-VN"/>
        </w:rPr>
        <w:t>Chủ đầu tư</w:t>
      </w:r>
      <w:r w:rsidRPr="00D1231B">
        <w:rPr>
          <w:sz w:val="28"/>
          <w:szCs w:val="28"/>
          <w:lang w:val="vi-VN"/>
        </w:rPr>
        <w:t xml:space="preserve">. Nhà thầu phải tổ chức tập huấn an toàn, phổ biến nội quy lao </w:t>
      </w:r>
      <w:r w:rsidRPr="00D1231B">
        <w:rPr>
          <w:rFonts w:hint="eastAsia"/>
          <w:sz w:val="28"/>
          <w:szCs w:val="28"/>
          <w:lang w:val="vi-VN"/>
        </w:rPr>
        <w:t>đ</w:t>
      </w:r>
      <w:r w:rsidRPr="00D1231B">
        <w:rPr>
          <w:sz w:val="28"/>
          <w:szCs w:val="28"/>
          <w:lang w:val="vi-VN"/>
        </w:rPr>
        <w:t xml:space="preserve">ộng theo quy </w:t>
      </w:r>
      <w:r w:rsidRPr="00D1231B">
        <w:rPr>
          <w:rFonts w:hint="eastAsia"/>
          <w:sz w:val="28"/>
          <w:szCs w:val="28"/>
          <w:lang w:val="vi-VN"/>
        </w:rPr>
        <w:t>đ</w:t>
      </w:r>
      <w:r w:rsidRPr="00D1231B">
        <w:rPr>
          <w:sz w:val="28"/>
          <w:szCs w:val="28"/>
          <w:lang w:val="vi-VN"/>
        </w:rPr>
        <w:t>ịnh, kiểm tra, cập nhật và l</w:t>
      </w:r>
      <w:r w:rsidRPr="00D1231B">
        <w:rPr>
          <w:rFonts w:hint="eastAsia"/>
          <w:sz w:val="28"/>
          <w:szCs w:val="28"/>
          <w:lang w:val="vi-VN"/>
        </w:rPr>
        <w:t>ư</w:t>
      </w:r>
      <w:r w:rsidRPr="00D1231B">
        <w:rPr>
          <w:sz w:val="28"/>
          <w:szCs w:val="28"/>
          <w:lang w:val="vi-VN"/>
        </w:rPr>
        <w:t>u hồ s</w:t>
      </w:r>
      <w:r w:rsidRPr="00D1231B">
        <w:rPr>
          <w:rFonts w:hint="eastAsia"/>
          <w:sz w:val="28"/>
          <w:szCs w:val="28"/>
          <w:lang w:val="vi-VN"/>
        </w:rPr>
        <w:t>ơ</w:t>
      </w:r>
      <w:r w:rsidRPr="00D1231B">
        <w:rPr>
          <w:sz w:val="28"/>
          <w:szCs w:val="28"/>
          <w:lang w:val="vi-VN"/>
        </w:rPr>
        <w:t xml:space="preserve"> lao </w:t>
      </w:r>
      <w:r w:rsidRPr="00D1231B">
        <w:rPr>
          <w:rFonts w:hint="eastAsia"/>
          <w:sz w:val="28"/>
          <w:szCs w:val="28"/>
          <w:lang w:val="vi-VN"/>
        </w:rPr>
        <w:t>đ</w:t>
      </w:r>
      <w:r w:rsidRPr="00D1231B">
        <w:rPr>
          <w:sz w:val="28"/>
          <w:szCs w:val="28"/>
          <w:lang w:val="vi-VN"/>
        </w:rPr>
        <w:t>ộng gồm: s</w:t>
      </w:r>
      <w:r w:rsidRPr="00D1231B">
        <w:rPr>
          <w:rFonts w:hint="eastAsia"/>
          <w:sz w:val="28"/>
          <w:szCs w:val="28"/>
          <w:lang w:val="vi-VN"/>
        </w:rPr>
        <w:t>ơ</w:t>
      </w:r>
      <w:r w:rsidRPr="00D1231B">
        <w:rPr>
          <w:sz w:val="28"/>
          <w:szCs w:val="28"/>
          <w:lang w:val="vi-VN"/>
        </w:rPr>
        <w:t xml:space="preserve"> yếu lý lịch có dán ảnh, bản photo CMND và giấy phép, chứng chỉ </w:t>
      </w:r>
      <w:r w:rsidRPr="00D1231B">
        <w:rPr>
          <w:rFonts w:hint="eastAsia"/>
          <w:sz w:val="28"/>
          <w:szCs w:val="28"/>
          <w:lang w:val="vi-VN"/>
        </w:rPr>
        <w:t>đà</w:t>
      </w:r>
      <w:r w:rsidRPr="00D1231B">
        <w:rPr>
          <w:sz w:val="28"/>
          <w:szCs w:val="28"/>
          <w:lang w:val="vi-VN"/>
        </w:rPr>
        <w:t xml:space="preserve">o tạo, bài kiểm tra an toàn... </w:t>
      </w:r>
    </w:p>
    <w:p w14:paraId="33A9856F" w14:textId="4DE9CB8D" w:rsidR="00BE4781" w:rsidRPr="00D1231B" w:rsidRDefault="00BE4781" w:rsidP="00BE4781">
      <w:pPr>
        <w:ind w:firstLine="720"/>
        <w:rPr>
          <w:sz w:val="28"/>
          <w:szCs w:val="28"/>
          <w:lang w:val="vi-VN"/>
        </w:rPr>
      </w:pPr>
      <w:r w:rsidRPr="00D1231B">
        <w:rPr>
          <w:sz w:val="28"/>
          <w:szCs w:val="28"/>
          <w:lang w:val="vi-VN"/>
        </w:rPr>
        <w:t xml:space="preserve"> - </w:t>
      </w:r>
      <w:r w:rsidR="00CE5C92" w:rsidRPr="00CE5C92">
        <w:rPr>
          <w:sz w:val="28"/>
          <w:szCs w:val="28"/>
          <w:lang w:val="vi-VN"/>
        </w:rPr>
        <w:t>Chủ đầu t</w:t>
      </w:r>
      <w:r w:rsidR="00CE5C92" w:rsidRPr="009967C1">
        <w:rPr>
          <w:sz w:val="28"/>
          <w:szCs w:val="28"/>
          <w:lang w:val="vi-VN"/>
        </w:rPr>
        <w:t>ư</w:t>
      </w:r>
      <w:r w:rsidRPr="00D1231B">
        <w:rPr>
          <w:sz w:val="28"/>
          <w:szCs w:val="28"/>
          <w:lang w:val="vi-VN"/>
        </w:rPr>
        <w:t xml:space="preserve"> quản lý hồ s</w:t>
      </w:r>
      <w:r w:rsidRPr="00D1231B">
        <w:rPr>
          <w:rFonts w:hint="eastAsia"/>
          <w:sz w:val="28"/>
          <w:szCs w:val="28"/>
          <w:lang w:val="vi-VN"/>
        </w:rPr>
        <w:t>ơ</w:t>
      </w:r>
      <w:r w:rsidRPr="00D1231B">
        <w:rPr>
          <w:sz w:val="28"/>
          <w:szCs w:val="28"/>
          <w:lang w:val="vi-VN"/>
        </w:rPr>
        <w:t xml:space="preserve"> lao </w:t>
      </w:r>
      <w:r w:rsidRPr="00D1231B">
        <w:rPr>
          <w:rFonts w:hint="eastAsia"/>
          <w:sz w:val="28"/>
          <w:szCs w:val="28"/>
          <w:lang w:val="vi-VN"/>
        </w:rPr>
        <w:t>đ</w:t>
      </w:r>
      <w:r w:rsidRPr="00D1231B">
        <w:rPr>
          <w:sz w:val="28"/>
          <w:szCs w:val="28"/>
          <w:lang w:val="vi-VN"/>
        </w:rPr>
        <w:t xml:space="preserve">ộng, sát hạch về an toàn, cấp thẻ có dán ảnh và ra quyết </w:t>
      </w:r>
      <w:r w:rsidRPr="00D1231B">
        <w:rPr>
          <w:rFonts w:hint="eastAsia"/>
          <w:sz w:val="28"/>
          <w:szCs w:val="28"/>
          <w:lang w:val="vi-VN"/>
        </w:rPr>
        <w:t>đ</w:t>
      </w:r>
      <w:r w:rsidRPr="00D1231B">
        <w:rPr>
          <w:sz w:val="28"/>
          <w:szCs w:val="28"/>
          <w:lang w:val="vi-VN"/>
        </w:rPr>
        <w:t xml:space="preserve">ịnh cho phép lao </w:t>
      </w:r>
      <w:r w:rsidRPr="00D1231B">
        <w:rPr>
          <w:rFonts w:hint="eastAsia"/>
          <w:sz w:val="28"/>
          <w:szCs w:val="28"/>
          <w:lang w:val="vi-VN"/>
        </w:rPr>
        <w:t>đ</w:t>
      </w:r>
      <w:r w:rsidRPr="00D1231B">
        <w:rPr>
          <w:sz w:val="28"/>
          <w:szCs w:val="28"/>
          <w:lang w:val="vi-VN"/>
        </w:rPr>
        <w:t xml:space="preserve">ộng </w:t>
      </w:r>
      <w:r w:rsidRPr="00D1231B">
        <w:rPr>
          <w:rFonts w:hint="eastAsia"/>
          <w:sz w:val="28"/>
          <w:szCs w:val="28"/>
          <w:lang w:val="vi-VN"/>
        </w:rPr>
        <w:t>đư</w:t>
      </w:r>
      <w:r w:rsidRPr="00D1231B">
        <w:rPr>
          <w:sz w:val="28"/>
          <w:szCs w:val="28"/>
          <w:lang w:val="vi-VN"/>
        </w:rPr>
        <w:t xml:space="preserve">ợc làm việc bốc xếp than. </w:t>
      </w:r>
    </w:p>
    <w:p w14:paraId="0970CDB1" w14:textId="77777777" w:rsidR="00BE4781" w:rsidRPr="00D1231B" w:rsidRDefault="00BE4781" w:rsidP="00BE4781">
      <w:pPr>
        <w:ind w:firstLine="720"/>
        <w:rPr>
          <w:sz w:val="28"/>
          <w:szCs w:val="28"/>
          <w:lang w:val="vi-VN"/>
        </w:rPr>
      </w:pPr>
      <w:r w:rsidRPr="00D1231B">
        <w:rPr>
          <w:sz w:val="28"/>
          <w:szCs w:val="28"/>
          <w:lang w:val="vi-VN"/>
        </w:rPr>
        <w:t xml:space="preserve">- Nhà thầu phải tổ chức quản lý và chịu trách nhiệm chỉ </w:t>
      </w:r>
      <w:r w:rsidRPr="00D1231B">
        <w:rPr>
          <w:rFonts w:hint="eastAsia"/>
          <w:sz w:val="28"/>
          <w:szCs w:val="28"/>
          <w:lang w:val="vi-VN"/>
        </w:rPr>
        <w:t>đ</w:t>
      </w:r>
      <w:r w:rsidRPr="00D1231B">
        <w:rPr>
          <w:sz w:val="28"/>
          <w:szCs w:val="28"/>
          <w:lang w:val="vi-VN"/>
        </w:rPr>
        <w:t xml:space="preserve">ạo, kiểm tra, giám sát chặt chẽ kịp thời </w:t>
      </w:r>
      <w:r w:rsidRPr="00D1231B">
        <w:rPr>
          <w:rFonts w:hint="eastAsia"/>
          <w:sz w:val="28"/>
          <w:szCs w:val="28"/>
          <w:lang w:val="vi-VN"/>
        </w:rPr>
        <w:t>đ</w:t>
      </w:r>
      <w:r w:rsidRPr="00D1231B">
        <w:rPr>
          <w:sz w:val="28"/>
          <w:szCs w:val="28"/>
          <w:lang w:val="vi-VN"/>
        </w:rPr>
        <w:t>ối với thiết bị và ng</w:t>
      </w:r>
      <w:r w:rsidRPr="00D1231B">
        <w:rPr>
          <w:rFonts w:hint="eastAsia"/>
          <w:sz w:val="28"/>
          <w:szCs w:val="28"/>
          <w:lang w:val="vi-VN"/>
        </w:rPr>
        <w:t>ư</w:t>
      </w:r>
      <w:r w:rsidRPr="00D1231B">
        <w:rPr>
          <w:sz w:val="28"/>
          <w:szCs w:val="28"/>
          <w:lang w:val="vi-VN"/>
        </w:rPr>
        <w:t xml:space="preserve">ời lao </w:t>
      </w:r>
      <w:r w:rsidRPr="00D1231B">
        <w:rPr>
          <w:rFonts w:hint="eastAsia"/>
          <w:sz w:val="28"/>
          <w:szCs w:val="28"/>
          <w:lang w:val="vi-VN"/>
        </w:rPr>
        <w:t>đ</w:t>
      </w:r>
      <w:r w:rsidRPr="00D1231B">
        <w:rPr>
          <w:sz w:val="28"/>
          <w:szCs w:val="28"/>
          <w:lang w:val="vi-VN"/>
        </w:rPr>
        <w:t xml:space="preserve">ộng tham gia sản xuất, </w:t>
      </w:r>
      <w:r w:rsidRPr="00D1231B">
        <w:rPr>
          <w:rFonts w:hint="eastAsia"/>
          <w:sz w:val="28"/>
          <w:szCs w:val="28"/>
          <w:lang w:val="vi-VN"/>
        </w:rPr>
        <w:t>đ</w:t>
      </w:r>
      <w:r w:rsidRPr="00D1231B">
        <w:rPr>
          <w:sz w:val="28"/>
          <w:szCs w:val="28"/>
          <w:lang w:val="vi-VN"/>
        </w:rPr>
        <w:t xml:space="preserve">ảm bảo an toàn, an ninh trật tự; thực hiện </w:t>
      </w:r>
      <w:r w:rsidRPr="00D1231B">
        <w:rPr>
          <w:rFonts w:hint="eastAsia"/>
          <w:sz w:val="28"/>
          <w:szCs w:val="28"/>
          <w:lang w:val="vi-VN"/>
        </w:rPr>
        <w:t>đú</w:t>
      </w:r>
      <w:r w:rsidRPr="00D1231B">
        <w:rPr>
          <w:sz w:val="28"/>
          <w:szCs w:val="28"/>
          <w:lang w:val="vi-VN"/>
        </w:rPr>
        <w:t>ng c</w:t>
      </w:r>
      <w:r w:rsidRPr="00D1231B">
        <w:rPr>
          <w:rFonts w:hint="eastAsia"/>
          <w:sz w:val="28"/>
          <w:szCs w:val="28"/>
          <w:lang w:val="vi-VN"/>
        </w:rPr>
        <w:t>á</w:t>
      </w:r>
      <w:r w:rsidRPr="00D1231B">
        <w:rPr>
          <w:sz w:val="28"/>
          <w:szCs w:val="28"/>
          <w:lang w:val="vi-VN"/>
        </w:rPr>
        <w:t xml:space="preserve">c quy </w:t>
      </w:r>
      <w:r w:rsidRPr="00D1231B">
        <w:rPr>
          <w:rFonts w:hint="eastAsia"/>
          <w:sz w:val="28"/>
          <w:szCs w:val="28"/>
          <w:lang w:val="vi-VN"/>
        </w:rPr>
        <w:t>đ</w:t>
      </w:r>
      <w:r w:rsidRPr="00D1231B">
        <w:rPr>
          <w:sz w:val="28"/>
          <w:szCs w:val="28"/>
          <w:lang w:val="vi-VN"/>
        </w:rPr>
        <w:t xml:space="preserve">ịnh về Luật bảo vệ môi trường, các quy </w:t>
      </w:r>
      <w:r w:rsidRPr="00D1231B">
        <w:rPr>
          <w:rFonts w:hint="eastAsia"/>
          <w:sz w:val="28"/>
          <w:szCs w:val="28"/>
          <w:lang w:val="vi-VN"/>
        </w:rPr>
        <w:t>đ</w:t>
      </w:r>
      <w:r w:rsidRPr="00D1231B">
        <w:rPr>
          <w:sz w:val="28"/>
          <w:szCs w:val="28"/>
          <w:lang w:val="vi-VN"/>
        </w:rPr>
        <w:t>ịnh của Nhà n</w:t>
      </w:r>
      <w:r w:rsidRPr="00D1231B">
        <w:rPr>
          <w:rFonts w:hint="eastAsia"/>
          <w:sz w:val="28"/>
          <w:szCs w:val="28"/>
          <w:lang w:val="vi-VN"/>
        </w:rPr>
        <w:t>ư</w:t>
      </w:r>
      <w:r w:rsidRPr="00D1231B">
        <w:rPr>
          <w:sz w:val="28"/>
          <w:szCs w:val="28"/>
          <w:lang w:val="vi-VN"/>
        </w:rPr>
        <w:t xml:space="preserve">ớc và của Tập </w:t>
      </w:r>
      <w:r w:rsidRPr="00D1231B">
        <w:rPr>
          <w:rFonts w:hint="eastAsia"/>
          <w:sz w:val="28"/>
          <w:szCs w:val="28"/>
          <w:lang w:val="vi-VN"/>
        </w:rPr>
        <w:t>đ</w:t>
      </w:r>
      <w:r w:rsidRPr="00D1231B">
        <w:rPr>
          <w:sz w:val="28"/>
          <w:szCs w:val="28"/>
          <w:lang w:val="vi-VN"/>
        </w:rPr>
        <w:t>oàn TKV.</w:t>
      </w:r>
    </w:p>
    <w:p w14:paraId="478FB506" w14:textId="77777777" w:rsidR="00BE4781" w:rsidRPr="00D1231B" w:rsidRDefault="00BE4781" w:rsidP="00BE4781">
      <w:pPr>
        <w:ind w:firstLine="567"/>
        <w:rPr>
          <w:sz w:val="28"/>
          <w:szCs w:val="28"/>
          <w:lang w:val="vi-VN"/>
        </w:rPr>
      </w:pPr>
      <w:r w:rsidRPr="00D1231B">
        <w:rPr>
          <w:sz w:val="28"/>
          <w:szCs w:val="28"/>
          <w:lang w:val="vi-VN"/>
        </w:rPr>
        <w:t>- Các thiết bị thực hiện bốc xếp được huy động cho gói cung cấp</w:t>
      </w:r>
      <w:r w:rsidRPr="00D1231B">
        <w:rPr>
          <w:rFonts w:eastAsia="Calibri"/>
          <w:sz w:val="28"/>
          <w:szCs w:val="28"/>
          <w:lang w:val="nb-NO"/>
        </w:rPr>
        <w:t xml:space="preserve"> phải đảm bảo đủ điều kiện an toàn theo quy định của nhà nước; </w:t>
      </w:r>
      <w:r w:rsidRPr="00D1231B">
        <w:rPr>
          <w:sz w:val="28"/>
          <w:szCs w:val="28"/>
          <w:lang w:val="vi-VN"/>
        </w:rPr>
        <w:t>đảm bảo các yêu cầu về khói bụi độc hại theo quy phạm hoặc các yêu cầu khác của chính quyền địa phương.</w:t>
      </w:r>
    </w:p>
    <w:p w14:paraId="6F208A15" w14:textId="77777777" w:rsidR="00BE4781" w:rsidRPr="00D1231B" w:rsidRDefault="00BE4781" w:rsidP="00BE4781">
      <w:pPr>
        <w:ind w:firstLine="567"/>
        <w:rPr>
          <w:sz w:val="28"/>
          <w:szCs w:val="28"/>
          <w:lang w:val="vi-VN"/>
        </w:rPr>
      </w:pPr>
      <w:r w:rsidRPr="00D1231B">
        <w:rPr>
          <w:sz w:val="28"/>
          <w:szCs w:val="28"/>
          <w:lang w:val="vi-VN"/>
        </w:rPr>
        <w:t xml:space="preserve">- Phổ biến kỹ thuật và công nghệ, bố trí công tác đúng chuyên môn, tuyệt đối không bố trí cán bộ công nhân thiếu hiểu biết và không nắm vững yêu cầu kỹ thuật dẫn đến mất an toàn; </w:t>
      </w:r>
    </w:p>
    <w:p w14:paraId="4E5E3ED7" w14:textId="576C0EA5" w:rsidR="00BE4781" w:rsidRPr="00D1231B" w:rsidRDefault="00BE4781" w:rsidP="00BE4781">
      <w:pPr>
        <w:ind w:firstLine="567"/>
        <w:rPr>
          <w:sz w:val="28"/>
          <w:szCs w:val="28"/>
          <w:lang w:val="vi-VN"/>
        </w:rPr>
      </w:pPr>
      <w:r w:rsidRPr="00D1231B">
        <w:rPr>
          <w:sz w:val="28"/>
          <w:szCs w:val="28"/>
          <w:lang w:val="vi-VN"/>
        </w:rPr>
        <w:t>- Tất cả các công nhân tham gia bốc xếp than đều được trang bị và sử dụng đầy đủ phương tiện bảo vệ cá nhân về an toàn vệ sinh lao động trước khi làm việc; Thực hiện đầy đủ các biện pháp đảm bảo an toàn cho người và thiết bị</w:t>
      </w:r>
      <w:r w:rsidR="00314555" w:rsidRPr="00F61056">
        <w:rPr>
          <w:sz w:val="28"/>
          <w:szCs w:val="28"/>
          <w:lang w:val="vi-VN"/>
        </w:rPr>
        <w:t xml:space="preserve"> trong quá trình làm việc</w:t>
      </w:r>
      <w:r w:rsidR="00AA5283" w:rsidRPr="00F61056">
        <w:rPr>
          <w:sz w:val="28"/>
          <w:szCs w:val="28"/>
          <w:lang w:val="vi-VN"/>
        </w:rPr>
        <w:t xml:space="preserve"> và</w:t>
      </w:r>
      <w:r w:rsidRPr="00D1231B">
        <w:rPr>
          <w:sz w:val="28"/>
          <w:szCs w:val="28"/>
          <w:lang w:val="vi-VN"/>
        </w:rPr>
        <w:t xml:space="preserve"> trong khi thực hiện hợp đồng.</w:t>
      </w:r>
    </w:p>
    <w:p w14:paraId="426B0933" w14:textId="2413B692" w:rsidR="00314555" w:rsidRPr="00F61056" w:rsidRDefault="00314555" w:rsidP="00BE4781">
      <w:pPr>
        <w:ind w:firstLine="567"/>
        <w:rPr>
          <w:sz w:val="28"/>
          <w:szCs w:val="28"/>
          <w:lang w:val="vi-VN"/>
        </w:rPr>
      </w:pPr>
      <w:r w:rsidRPr="00F61056">
        <w:rPr>
          <w:sz w:val="28"/>
          <w:szCs w:val="28"/>
          <w:lang w:val="vi-VN"/>
        </w:rPr>
        <w:t>- Công nhân vận hành máy xúc phải được đào tạo, có chứng chỉ bằng cấp nghề nghiệp theo quy định của Nhà nước.</w:t>
      </w:r>
    </w:p>
    <w:p w14:paraId="109D97A6" w14:textId="77777777" w:rsidR="00BE4781" w:rsidRPr="00D1231B" w:rsidRDefault="00BE4781" w:rsidP="00BE4781">
      <w:pPr>
        <w:ind w:firstLine="567"/>
        <w:rPr>
          <w:sz w:val="28"/>
          <w:szCs w:val="28"/>
          <w:lang w:val="vi-VN"/>
        </w:rPr>
      </w:pPr>
      <w:r w:rsidRPr="00D1231B">
        <w:rPr>
          <w:sz w:val="28"/>
          <w:szCs w:val="28"/>
          <w:lang w:val="vi-VN"/>
        </w:rPr>
        <w:lastRenderedPageBreak/>
        <w:t>- Bất cứ trường hợp nào xảy ra mất an toàn đối với người và thiết bị có liên quan trong quá trình thực hiện công việc, đơn vị thi công phải báo ngay lập tức cho Công ty Tuyển than Hòn Gai - Vinacomin.</w:t>
      </w:r>
    </w:p>
    <w:p w14:paraId="08CF711B" w14:textId="6F249179" w:rsidR="00BE4781" w:rsidRDefault="00BE4781" w:rsidP="00BE4781">
      <w:pPr>
        <w:spacing w:before="60" w:after="60"/>
        <w:ind w:firstLine="567"/>
        <w:rPr>
          <w:sz w:val="28"/>
          <w:szCs w:val="28"/>
          <w:lang w:val="vi-VN"/>
        </w:rPr>
      </w:pPr>
      <w:r w:rsidRPr="00F61056">
        <w:rPr>
          <w:b/>
          <w:sz w:val="28"/>
          <w:szCs w:val="28"/>
          <w:lang w:val="vi-VN"/>
        </w:rPr>
        <w:t>3.4 Nội dung khác:</w:t>
      </w:r>
      <w:r>
        <w:rPr>
          <w:sz w:val="28"/>
          <w:szCs w:val="28"/>
          <w:lang w:val="vi-VN"/>
        </w:rPr>
        <w:t xml:space="preserve"> Nhà thầu phải nêu rõ giá nhiên liệu tại thời điểm chào thầu và đính kèm phân tích đơn giá chi tiết kèm E-H</w:t>
      </w:r>
      <w:r w:rsidR="00277224" w:rsidRPr="00277224">
        <w:rPr>
          <w:sz w:val="28"/>
          <w:szCs w:val="28"/>
          <w:lang w:val="vi-VN"/>
        </w:rPr>
        <w:t>SDT</w:t>
      </w:r>
      <w:r w:rsidRPr="00F61056">
        <w:rPr>
          <w:sz w:val="28"/>
          <w:szCs w:val="28"/>
          <w:lang w:val="vi-VN"/>
        </w:rPr>
        <w:t xml:space="preserve"> </w:t>
      </w:r>
      <w:r>
        <w:rPr>
          <w:sz w:val="28"/>
          <w:szCs w:val="28"/>
          <w:lang w:val="vi-VN"/>
        </w:rPr>
        <w:t>theo biểu như sau:</w:t>
      </w:r>
    </w:p>
    <w:tbl>
      <w:tblPr>
        <w:tblW w:w="90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047"/>
        <w:gridCol w:w="1955"/>
        <w:gridCol w:w="1235"/>
      </w:tblGrid>
      <w:tr w:rsidR="00BE4781" w14:paraId="33127E43" w14:textId="77777777" w:rsidTr="00AA3B99">
        <w:trPr>
          <w:trHeight w:val="481"/>
        </w:trPr>
        <w:tc>
          <w:tcPr>
            <w:tcW w:w="805" w:type="dxa"/>
            <w:tcBorders>
              <w:top w:val="single" w:sz="4" w:space="0" w:color="auto"/>
              <w:left w:val="single" w:sz="4" w:space="0" w:color="auto"/>
              <w:bottom w:val="single" w:sz="4" w:space="0" w:color="auto"/>
              <w:right w:val="single" w:sz="4" w:space="0" w:color="auto"/>
            </w:tcBorders>
            <w:vAlign w:val="center"/>
            <w:hideMark/>
          </w:tcPr>
          <w:p w14:paraId="1932DC52" w14:textId="77777777" w:rsidR="00BE4781" w:rsidRDefault="00BE4781" w:rsidP="00AA3B99">
            <w:pPr>
              <w:jc w:val="center"/>
              <w:rPr>
                <w:b/>
                <w:sz w:val="28"/>
                <w:szCs w:val="28"/>
              </w:rPr>
            </w:pPr>
            <w:r>
              <w:rPr>
                <w:b/>
                <w:sz w:val="28"/>
                <w:szCs w:val="28"/>
              </w:rPr>
              <w:t>TT</w:t>
            </w:r>
          </w:p>
        </w:tc>
        <w:tc>
          <w:tcPr>
            <w:tcW w:w="5047" w:type="dxa"/>
            <w:tcBorders>
              <w:top w:val="single" w:sz="4" w:space="0" w:color="auto"/>
              <w:left w:val="single" w:sz="4" w:space="0" w:color="auto"/>
              <w:bottom w:val="single" w:sz="4" w:space="0" w:color="auto"/>
              <w:right w:val="single" w:sz="4" w:space="0" w:color="auto"/>
            </w:tcBorders>
            <w:vAlign w:val="center"/>
            <w:hideMark/>
          </w:tcPr>
          <w:p w14:paraId="4F3B0284" w14:textId="77777777" w:rsidR="00BE4781" w:rsidRDefault="00BE4781" w:rsidP="00AA3B99">
            <w:pPr>
              <w:jc w:val="center"/>
              <w:rPr>
                <w:b/>
                <w:sz w:val="28"/>
                <w:szCs w:val="28"/>
              </w:rPr>
            </w:pPr>
            <w:r>
              <w:rPr>
                <w:b/>
                <w:sz w:val="28"/>
                <w:szCs w:val="28"/>
              </w:rPr>
              <w:t>Thành phần hao phí</w:t>
            </w:r>
          </w:p>
        </w:tc>
        <w:tc>
          <w:tcPr>
            <w:tcW w:w="1955" w:type="dxa"/>
            <w:tcBorders>
              <w:top w:val="single" w:sz="4" w:space="0" w:color="auto"/>
              <w:left w:val="single" w:sz="4" w:space="0" w:color="auto"/>
              <w:bottom w:val="single" w:sz="4" w:space="0" w:color="auto"/>
              <w:right w:val="single" w:sz="4" w:space="0" w:color="auto"/>
            </w:tcBorders>
            <w:vAlign w:val="center"/>
            <w:hideMark/>
          </w:tcPr>
          <w:p w14:paraId="25DC5BCB" w14:textId="77777777" w:rsidR="00BE4781" w:rsidRDefault="00BE4781" w:rsidP="00AA3B99">
            <w:pPr>
              <w:jc w:val="center"/>
              <w:rPr>
                <w:b/>
                <w:sz w:val="28"/>
                <w:szCs w:val="28"/>
              </w:rPr>
            </w:pPr>
            <w:r>
              <w:rPr>
                <w:b/>
                <w:sz w:val="28"/>
                <w:szCs w:val="28"/>
              </w:rPr>
              <w:t>Giá trị (đ/tấn)</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1BA4C6C" w14:textId="77777777" w:rsidR="00BE4781" w:rsidRDefault="00BE4781" w:rsidP="00AA3B99">
            <w:pPr>
              <w:jc w:val="center"/>
              <w:rPr>
                <w:b/>
                <w:sz w:val="28"/>
                <w:szCs w:val="28"/>
              </w:rPr>
            </w:pPr>
            <w:r>
              <w:rPr>
                <w:b/>
                <w:sz w:val="28"/>
                <w:szCs w:val="28"/>
              </w:rPr>
              <w:t>Ghi chú</w:t>
            </w:r>
          </w:p>
        </w:tc>
      </w:tr>
      <w:tr w:rsidR="00BE4781" w14:paraId="5DD75A0F" w14:textId="77777777" w:rsidTr="00AA3B99">
        <w:trPr>
          <w:trHeight w:val="481"/>
        </w:trPr>
        <w:tc>
          <w:tcPr>
            <w:tcW w:w="805" w:type="dxa"/>
            <w:tcBorders>
              <w:top w:val="single" w:sz="4" w:space="0" w:color="auto"/>
              <w:left w:val="single" w:sz="4" w:space="0" w:color="auto"/>
              <w:bottom w:val="single" w:sz="4" w:space="0" w:color="auto"/>
              <w:right w:val="single" w:sz="4" w:space="0" w:color="auto"/>
            </w:tcBorders>
            <w:vAlign w:val="center"/>
            <w:hideMark/>
          </w:tcPr>
          <w:p w14:paraId="67829E90" w14:textId="77777777" w:rsidR="00BE4781" w:rsidRDefault="00BE4781" w:rsidP="00AA3B99">
            <w:pPr>
              <w:jc w:val="center"/>
              <w:rPr>
                <w:b/>
                <w:sz w:val="28"/>
                <w:szCs w:val="28"/>
              </w:rPr>
            </w:pPr>
            <w:r>
              <w:rPr>
                <w:b/>
                <w:sz w:val="28"/>
                <w:szCs w:val="28"/>
              </w:rPr>
              <w:t>I</w:t>
            </w:r>
          </w:p>
        </w:tc>
        <w:tc>
          <w:tcPr>
            <w:tcW w:w="5047" w:type="dxa"/>
            <w:tcBorders>
              <w:top w:val="single" w:sz="4" w:space="0" w:color="auto"/>
              <w:left w:val="single" w:sz="4" w:space="0" w:color="auto"/>
              <w:bottom w:val="single" w:sz="4" w:space="0" w:color="auto"/>
              <w:right w:val="single" w:sz="4" w:space="0" w:color="auto"/>
            </w:tcBorders>
            <w:vAlign w:val="center"/>
            <w:hideMark/>
          </w:tcPr>
          <w:p w14:paraId="1909EC6E" w14:textId="77777777" w:rsidR="00BE4781" w:rsidRDefault="00BE4781" w:rsidP="00AA3B99">
            <w:pPr>
              <w:jc w:val="left"/>
              <w:rPr>
                <w:b/>
                <w:sz w:val="28"/>
                <w:szCs w:val="28"/>
              </w:rPr>
            </w:pPr>
            <w:r>
              <w:rPr>
                <w:b/>
                <w:sz w:val="28"/>
                <w:szCs w:val="28"/>
              </w:rPr>
              <w:t>Chi phí trực tiếp (1÷6)</w:t>
            </w:r>
          </w:p>
        </w:tc>
        <w:tc>
          <w:tcPr>
            <w:tcW w:w="1955" w:type="dxa"/>
            <w:tcBorders>
              <w:top w:val="single" w:sz="4" w:space="0" w:color="auto"/>
              <w:left w:val="single" w:sz="4" w:space="0" w:color="auto"/>
              <w:bottom w:val="single" w:sz="4" w:space="0" w:color="auto"/>
              <w:right w:val="single" w:sz="4" w:space="0" w:color="auto"/>
            </w:tcBorders>
            <w:vAlign w:val="center"/>
          </w:tcPr>
          <w:p w14:paraId="2CC003F1" w14:textId="77777777" w:rsidR="00BE4781" w:rsidRDefault="00BE4781" w:rsidP="00AA3B99">
            <w:pPr>
              <w:jc w:val="center"/>
              <w:rPr>
                <w:b/>
                <w:sz w:val="28"/>
                <w:szCs w:val="28"/>
              </w:rPr>
            </w:pPr>
          </w:p>
        </w:tc>
        <w:tc>
          <w:tcPr>
            <w:tcW w:w="1235" w:type="dxa"/>
            <w:tcBorders>
              <w:top w:val="single" w:sz="4" w:space="0" w:color="auto"/>
              <w:left w:val="single" w:sz="4" w:space="0" w:color="auto"/>
              <w:bottom w:val="single" w:sz="4" w:space="0" w:color="auto"/>
              <w:right w:val="single" w:sz="4" w:space="0" w:color="auto"/>
            </w:tcBorders>
            <w:vAlign w:val="center"/>
          </w:tcPr>
          <w:p w14:paraId="5D63EF11" w14:textId="77777777" w:rsidR="00BE4781" w:rsidRDefault="00BE4781" w:rsidP="00AA3B99">
            <w:pPr>
              <w:jc w:val="center"/>
              <w:rPr>
                <w:b/>
                <w:sz w:val="28"/>
                <w:szCs w:val="28"/>
              </w:rPr>
            </w:pPr>
          </w:p>
        </w:tc>
      </w:tr>
      <w:tr w:rsidR="00BE4781" w14:paraId="485ECF52"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29A6C718" w14:textId="77777777" w:rsidR="00BE4781" w:rsidRDefault="00BE4781" w:rsidP="00AA3B99">
            <w:pPr>
              <w:jc w:val="center"/>
              <w:rPr>
                <w:sz w:val="28"/>
                <w:szCs w:val="28"/>
              </w:rPr>
            </w:pPr>
            <w:r>
              <w:rPr>
                <w:sz w:val="28"/>
                <w:szCs w:val="28"/>
              </w:rPr>
              <w:t>1</w:t>
            </w:r>
          </w:p>
        </w:tc>
        <w:tc>
          <w:tcPr>
            <w:tcW w:w="5047" w:type="dxa"/>
            <w:tcBorders>
              <w:top w:val="single" w:sz="4" w:space="0" w:color="auto"/>
              <w:left w:val="single" w:sz="4" w:space="0" w:color="auto"/>
              <w:bottom w:val="single" w:sz="4" w:space="0" w:color="auto"/>
              <w:right w:val="single" w:sz="4" w:space="0" w:color="auto"/>
            </w:tcBorders>
            <w:hideMark/>
          </w:tcPr>
          <w:p w14:paraId="7E30AECB" w14:textId="77777777" w:rsidR="00BE4781" w:rsidRDefault="00BE4781" w:rsidP="00AA3B99">
            <w:pPr>
              <w:rPr>
                <w:sz w:val="28"/>
                <w:szCs w:val="28"/>
              </w:rPr>
            </w:pPr>
            <w:r>
              <w:rPr>
                <w:sz w:val="28"/>
                <w:szCs w:val="28"/>
              </w:rPr>
              <w:t>Vật liệu</w:t>
            </w:r>
          </w:p>
        </w:tc>
        <w:tc>
          <w:tcPr>
            <w:tcW w:w="1955" w:type="dxa"/>
            <w:tcBorders>
              <w:top w:val="single" w:sz="4" w:space="0" w:color="auto"/>
              <w:left w:val="single" w:sz="4" w:space="0" w:color="auto"/>
              <w:bottom w:val="single" w:sz="4" w:space="0" w:color="auto"/>
              <w:right w:val="single" w:sz="4" w:space="0" w:color="auto"/>
            </w:tcBorders>
          </w:tcPr>
          <w:p w14:paraId="2CAEA21A"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428D78C4" w14:textId="77777777" w:rsidR="00BE4781" w:rsidRDefault="00BE4781" w:rsidP="00AA3B99">
            <w:pPr>
              <w:rPr>
                <w:sz w:val="28"/>
                <w:szCs w:val="28"/>
              </w:rPr>
            </w:pPr>
          </w:p>
        </w:tc>
      </w:tr>
      <w:tr w:rsidR="00BE4781" w14:paraId="3A8140FE"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784447A4" w14:textId="77777777" w:rsidR="00BE4781" w:rsidRDefault="00BE4781" w:rsidP="00AA3B99">
            <w:pPr>
              <w:jc w:val="center"/>
              <w:rPr>
                <w:sz w:val="28"/>
                <w:szCs w:val="28"/>
              </w:rPr>
            </w:pPr>
            <w:r>
              <w:rPr>
                <w:sz w:val="28"/>
                <w:szCs w:val="28"/>
              </w:rPr>
              <w:t>2</w:t>
            </w:r>
          </w:p>
        </w:tc>
        <w:tc>
          <w:tcPr>
            <w:tcW w:w="5047" w:type="dxa"/>
            <w:tcBorders>
              <w:top w:val="single" w:sz="4" w:space="0" w:color="auto"/>
              <w:left w:val="single" w:sz="4" w:space="0" w:color="auto"/>
              <w:bottom w:val="single" w:sz="4" w:space="0" w:color="auto"/>
              <w:right w:val="single" w:sz="4" w:space="0" w:color="auto"/>
            </w:tcBorders>
            <w:hideMark/>
          </w:tcPr>
          <w:p w14:paraId="6E7D4A06" w14:textId="77777777" w:rsidR="00BE4781" w:rsidRDefault="00BE4781" w:rsidP="00AA3B99">
            <w:pPr>
              <w:rPr>
                <w:sz w:val="28"/>
                <w:szCs w:val="28"/>
              </w:rPr>
            </w:pPr>
            <w:r>
              <w:rPr>
                <w:sz w:val="28"/>
                <w:szCs w:val="28"/>
              </w:rPr>
              <w:t>Nhiên liệu/ động lực</w:t>
            </w:r>
          </w:p>
        </w:tc>
        <w:tc>
          <w:tcPr>
            <w:tcW w:w="1955" w:type="dxa"/>
            <w:tcBorders>
              <w:top w:val="single" w:sz="4" w:space="0" w:color="auto"/>
              <w:left w:val="single" w:sz="4" w:space="0" w:color="auto"/>
              <w:bottom w:val="single" w:sz="4" w:space="0" w:color="auto"/>
              <w:right w:val="single" w:sz="4" w:space="0" w:color="auto"/>
            </w:tcBorders>
          </w:tcPr>
          <w:p w14:paraId="578DB44D"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724ACC01" w14:textId="77777777" w:rsidR="00BE4781" w:rsidRDefault="00BE4781" w:rsidP="00AA3B99">
            <w:pPr>
              <w:rPr>
                <w:sz w:val="28"/>
                <w:szCs w:val="28"/>
              </w:rPr>
            </w:pPr>
          </w:p>
        </w:tc>
      </w:tr>
      <w:tr w:rsidR="00BE4781" w14:paraId="205542F3"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0BA72938" w14:textId="77777777" w:rsidR="00BE4781" w:rsidRDefault="00BE4781" w:rsidP="00AA3B99">
            <w:pPr>
              <w:jc w:val="center"/>
              <w:rPr>
                <w:sz w:val="28"/>
                <w:szCs w:val="28"/>
              </w:rPr>
            </w:pPr>
            <w:r>
              <w:rPr>
                <w:sz w:val="28"/>
                <w:szCs w:val="28"/>
              </w:rPr>
              <w:t>3</w:t>
            </w:r>
          </w:p>
        </w:tc>
        <w:tc>
          <w:tcPr>
            <w:tcW w:w="5047" w:type="dxa"/>
            <w:tcBorders>
              <w:top w:val="single" w:sz="4" w:space="0" w:color="auto"/>
              <w:left w:val="single" w:sz="4" w:space="0" w:color="auto"/>
              <w:bottom w:val="single" w:sz="4" w:space="0" w:color="auto"/>
              <w:right w:val="single" w:sz="4" w:space="0" w:color="auto"/>
            </w:tcBorders>
            <w:hideMark/>
          </w:tcPr>
          <w:p w14:paraId="26E4EDC3" w14:textId="77777777" w:rsidR="00BE4781" w:rsidRDefault="00BE4781" w:rsidP="00AA3B99">
            <w:pPr>
              <w:rPr>
                <w:sz w:val="28"/>
                <w:szCs w:val="28"/>
              </w:rPr>
            </w:pPr>
            <w:r>
              <w:rPr>
                <w:sz w:val="28"/>
                <w:szCs w:val="28"/>
              </w:rPr>
              <w:t>Khấu hao</w:t>
            </w:r>
          </w:p>
        </w:tc>
        <w:tc>
          <w:tcPr>
            <w:tcW w:w="1955" w:type="dxa"/>
            <w:tcBorders>
              <w:top w:val="single" w:sz="4" w:space="0" w:color="auto"/>
              <w:left w:val="single" w:sz="4" w:space="0" w:color="auto"/>
              <w:bottom w:val="single" w:sz="4" w:space="0" w:color="auto"/>
              <w:right w:val="single" w:sz="4" w:space="0" w:color="auto"/>
            </w:tcBorders>
          </w:tcPr>
          <w:p w14:paraId="37820FF5"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13AAF3BD" w14:textId="77777777" w:rsidR="00BE4781" w:rsidRDefault="00BE4781" w:rsidP="00AA3B99">
            <w:pPr>
              <w:rPr>
                <w:sz w:val="28"/>
                <w:szCs w:val="28"/>
              </w:rPr>
            </w:pPr>
          </w:p>
        </w:tc>
      </w:tr>
      <w:tr w:rsidR="00BE4781" w14:paraId="4EE2FF6D"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01F61AFB" w14:textId="77777777" w:rsidR="00BE4781" w:rsidRDefault="00BE4781" w:rsidP="00AA3B99">
            <w:pPr>
              <w:jc w:val="center"/>
              <w:rPr>
                <w:sz w:val="28"/>
                <w:szCs w:val="28"/>
              </w:rPr>
            </w:pPr>
            <w:r>
              <w:rPr>
                <w:sz w:val="28"/>
                <w:szCs w:val="28"/>
              </w:rPr>
              <w:t>4</w:t>
            </w:r>
          </w:p>
        </w:tc>
        <w:tc>
          <w:tcPr>
            <w:tcW w:w="5047" w:type="dxa"/>
            <w:tcBorders>
              <w:top w:val="single" w:sz="4" w:space="0" w:color="auto"/>
              <w:left w:val="single" w:sz="4" w:space="0" w:color="auto"/>
              <w:bottom w:val="single" w:sz="4" w:space="0" w:color="auto"/>
              <w:right w:val="single" w:sz="4" w:space="0" w:color="auto"/>
            </w:tcBorders>
            <w:hideMark/>
          </w:tcPr>
          <w:p w14:paraId="5975B339" w14:textId="77777777" w:rsidR="00BE4781" w:rsidRDefault="00BE4781" w:rsidP="00AA3B99">
            <w:pPr>
              <w:rPr>
                <w:sz w:val="28"/>
                <w:szCs w:val="28"/>
              </w:rPr>
            </w:pPr>
            <w:r>
              <w:rPr>
                <w:sz w:val="28"/>
                <w:szCs w:val="28"/>
              </w:rPr>
              <w:t>Bảo hiểm</w:t>
            </w:r>
          </w:p>
        </w:tc>
        <w:tc>
          <w:tcPr>
            <w:tcW w:w="1955" w:type="dxa"/>
            <w:tcBorders>
              <w:top w:val="single" w:sz="4" w:space="0" w:color="auto"/>
              <w:left w:val="single" w:sz="4" w:space="0" w:color="auto"/>
              <w:bottom w:val="single" w:sz="4" w:space="0" w:color="auto"/>
              <w:right w:val="single" w:sz="4" w:space="0" w:color="auto"/>
            </w:tcBorders>
          </w:tcPr>
          <w:p w14:paraId="136979B6"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506F0A17" w14:textId="77777777" w:rsidR="00BE4781" w:rsidRDefault="00BE4781" w:rsidP="00AA3B99">
            <w:pPr>
              <w:rPr>
                <w:sz w:val="28"/>
                <w:szCs w:val="28"/>
              </w:rPr>
            </w:pPr>
          </w:p>
        </w:tc>
      </w:tr>
      <w:tr w:rsidR="00BE4781" w14:paraId="1E81B7AB"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756DE817" w14:textId="77777777" w:rsidR="00BE4781" w:rsidRDefault="00BE4781" w:rsidP="00AA3B99">
            <w:pPr>
              <w:jc w:val="center"/>
              <w:rPr>
                <w:sz w:val="28"/>
                <w:szCs w:val="28"/>
              </w:rPr>
            </w:pPr>
            <w:r>
              <w:rPr>
                <w:sz w:val="28"/>
                <w:szCs w:val="28"/>
              </w:rPr>
              <w:t>5</w:t>
            </w:r>
          </w:p>
        </w:tc>
        <w:tc>
          <w:tcPr>
            <w:tcW w:w="5047" w:type="dxa"/>
            <w:tcBorders>
              <w:top w:val="single" w:sz="4" w:space="0" w:color="auto"/>
              <w:left w:val="single" w:sz="4" w:space="0" w:color="auto"/>
              <w:bottom w:val="single" w:sz="4" w:space="0" w:color="auto"/>
              <w:right w:val="single" w:sz="4" w:space="0" w:color="auto"/>
            </w:tcBorders>
            <w:hideMark/>
          </w:tcPr>
          <w:p w14:paraId="146D9EFD" w14:textId="77777777" w:rsidR="00BE4781" w:rsidRDefault="00BE4781" w:rsidP="00AA3B99">
            <w:pPr>
              <w:rPr>
                <w:sz w:val="28"/>
                <w:szCs w:val="28"/>
              </w:rPr>
            </w:pPr>
            <w:r>
              <w:rPr>
                <w:sz w:val="28"/>
                <w:szCs w:val="28"/>
              </w:rPr>
              <w:t>Tiền lương</w:t>
            </w:r>
          </w:p>
        </w:tc>
        <w:tc>
          <w:tcPr>
            <w:tcW w:w="1955" w:type="dxa"/>
            <w:tcBorders>
              <w:top w:val="single" w:sz="4" w:space="0" w:color="auto"/>
              <w:left w:val="single" w:sz="4" w:space="0" w:color="auto"/>
              <w:bottom w:val="single" w:sz="4" w:space="0" w:color="auto"/>
              <w:right w:val="single" w:sz="4" w:space="0" w:color="auto"/>
            </w:tcBorders>
          </w:tcPr>
          <w:p w14:paraId="4C79014A"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59334242" w14:textId="77777777" w:rsidR="00BE4781" w:rsidRDefault="00BE4781" w:rsidP="00AA3B99">
            <w:pPr>
              <w:rPr>
                <w:sz w:val="28"/>
                <w:szCs w:val="28"/>
              </w:rPr>
            </w:pPr>
          </w:p>
        </w:tc>
      </w:tr>
      <w:tr w:rsidR="00BE4781" w14:paraId="3CFB6171"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716FDEDB" w14:textId="77777777" w:rsidR="00BE4781" w:rsidRDefault="00BE4781" w:rsidP="00AA3B99">
            <w:pPr>
              <w:jc w:val="center"/>
              <w:rPr>
                <w:sz w:val="28"/>
                <w:szCs w:val="28"/>
              </w:rPr>
            </w:pPr>
            <w:r>
              <w:rPr>
                <w:sz w:val="28"/>
                <w:szCs w:val="28"/>
              </w:rPr>
              <w:t>6</w:t>
            </w:r>
          </w:p>
        </w:tc>
        <w:tc>
          <w:tcPr>
            <w:tcW w:w="5047" w:type="dxa"/>
            <w:tcBorders>
              <w:top w:val="single" w:sz="4" w:space="0" w:color="auto"/>
              <w:left w:val="single" w:sz="4" w:space="0" w:color="auto"/>
              <w:bottom w:val="single" w:sz="4" w:space="0" w:color="auto"/>
              <w:right w:val="single" w:sz="4" w:space="0" w:color="auto"/>
            </w:tcBorders>
            <w:hideMark/>
          </w:tcPr>
          <w:p w14:paraId="6BC55930" w14:textId="77777777" w:rsidR="00BE4781" w:rsidRDefault="00BE4781" w:rsidP="00AA3B99">
            <w:pPr>
              <w:rPr>
                <w:sz w:val="28"/>
                <w:szCs w:val="28"/>
              </w:rPr>
            </w:pPr>
            <w:r>
              <w:rPr>
                <w:sz w:val="28"/>
                <w:szCs w:val="28"/>
              </w:rPr>
              <w:t>Chi phí khác</w:t>
            </w:r>
          </w:p>
        </w:tc>
        <w:tc>
          <w:tcPr>
            <w:tcW w:w="1955" w:type="dxa"/>
            <w:tcBorders>
              <w:top w:val="single" w:sz="4" w:space="0" w:color="auto"/>
              <w:left w:val="single" w:sz="4" w:space="0" w:color="auto"/>
              <w:bottom w:val="single" w:sz="4" w:space="0" w:color="auto"/>
              <w:right w:val="single" w:sz="4" w:space="0" w:color="auto"/>
            </w:tcBorders>
          </w:tcPr>
          <w:p w14:paraId="0CFB7A5B"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2691A889" w14:textId="77777777" w:rsidR="00BE4781" w:rsidRDefault="00BE4781" w:rsidP="00AA3B99">
            <w:pPr>
              <w:rPr>
                <w:sz w:val="28"/>
                <w:szCs w:val="28"/>
              </w:rPr>
            </w:pPr>
          </w:p>
        </w:tc>
      </w:tr>
      <w:tr w:rsidR="00BE4781" w14:paraId="0428CDA1"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12D60571" w14:textId="77777777" w:rsidR="00BE4781" w:rsidRDefault="00BE4781" w:rsidP="00AA3B99">
            <w:pPr>
              <w:jc w:val="center"/>
              <w:rPr>
                <w:b/>
                <w:bCs/>
                <w:sz w:val="28"/>
                <w:szCs w:val="28"/>
              </w:rPr>
            </w:pPr>
            <w:r>
              <w:rPr>
                <w:b/>
                <w:bCs/>
                <w:sz w:val="28"/>
                <w:szCs w:val="28"/>
              </w:rPr>
              <w:t>II</w:t>
            </w:r>
          </w:p>
        </w:tc>
        <w:tc>
          <w:tcPr>
            <w:tcW w:w="5047" w:type="dxa"/>
            <w:tcBorders>
              <w:top w:val="single" w:sz="4" w:space="0" w:color="auto"/>
              <w:left w:val="single" w:sz="4" w:space="0" w:color="auto"/>
              <w:bottom w:val="single" w:sz="4" w:space="0" w:color="auto"/>
              <w:right w:val="single" w:sz="4" w:space="0" w:color="auto"/>
            </w:tcBorders>
            <w:hideMark/>
          </w:tcPr>
          <w:p w14:paraId="379B8E47" w14:textId="77777777" w:rsidR="00BE4781" w:rsidRDefault="00BE4781" w:rsidP="00AA3B99">
            <w:pPr>
              <w:rPr>
                <w:b/>
                <w:bCs/>
                <w:sz w:val="28"/>
                <w:szCs w:val="28"/>
              </w:rPr>
            </w:pPr>
            <w:r>
              <w:rPr>
                <w:b/>
                <w:bCs/>
                <w:sz w:val="28"/>
                <w:szCs w:val="28"/>
              </w:rPr>
              <w:t>Chi phí sản xuất chung, chi phí quản lý</w:t>
            </w:r>
          </w:p>
        </w:tc>
        <w:tc>
          <w:tcPr>
            <w:tcW w:w="1955" w:type="dxa"/>
            <w:tcBorders>
              <w:top w:val="single" w:sz="4" w:space="0" w:color="auto"/>
              <w:left w:val="single" w:sz="4" w:space="0" w:color="auto"/>
              <w:bottom w:val="single" w:sz="4" w:space="0" w:color="auto"/>
              <w:right w:val="single" w:sz="4" w:space="0" w:color="auto"/>
            </w:tcBorders>
          </w:tcPr>
          <w:p w14:paraId="65AE058B"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601797D6" w14:textId="77777777" w:rsidR="00BE4781" w:rsidRDefault="00BE4781" w:rsidP="00AA3B99">
            <w:pPr>
              <w:rPr>
                <w:sz w:val="28"/>
                <w:szCs w:val="28"/>
              </w:rPr>
            </w:pPr>
          </w:p>
        </w:tc>
      </w:tr>
      <w:tr w:rsidR="00BE4781" w14:paraId="0CC3CA28"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2C6547A5" w14:textId="77777777" w:rsidR="00BE4781" w:rsidRDefault="00BE4781" w:rsidP="00AA3B99">
            <w:pPr>
              <w:jc w:val="center"/>
              <w:rPr>
                <w:b/>
                <w:bCs/>
                <w:sz w:val="28"/>
                <w:szCs w:val="28"/>
              </w:rPr>
            </w:pPr>
            <w:r>
              <w:rPr>
                <w:b/>
                <w:bCs/>
                <w:sz w:val="28"/>
                <w:szCs w:val="28"/>
              </w:rPr>
              <w:t>III</w:t>
            </w:r>
          </w:p>
        </w:tc>
        <w:tc>
          <w:tcPr>
            <w:tcW w:w="5047" w:type="dxa"/>
            <w:tcBorders>
              <w:top w:val="single" w:sz="4" w:space="0" w:color="auto"/>
              <w:left w:val="single" w:sz="4" w:space="0" w:color="auto"/>
              <w:bottom w:val="single" w:sz="4" w:space="0" w:color="auto"/>
              <w:right w:val="single" w:sz="4" w:space="0" w:color="auto"/>
            </w:tcBorders>
            <w:hideMark/>
          </w:tcPr>
          <w:p w14:paraId="447A5A96" w14:textId="77777777" w:rsidR="00BE4781" w:rsidRDefault="00BE4781" w:rsidP="00AA3B99">
            <w:pPr>
              <w:rPr>
                <w:b/>
                <w:bCs/>
                <w:sz w:val="28"/>
                <w:szCs w:val="28"/>
              </w:rPr>
            </w:pPr>
            <w:r>
              <w:rPr>
                <w:b/>
                <w:bCs/>
                <w:sz w:val="28"/>
                <w:szCs w:val="28"/>
              </w:rPr>
              <w:t>Lợi nhuận định mức</w:t>
            </w:r>
          </w:p>
        </w:tc>
        <w:tc>
          <w:tcPr>
            <w:tcW w:w="1955" w:type="dxa"/>
            <w:tcBorders>
              <w:top w:val="single" w:sz="4" w:space="0" w:color="auto"/>
              <w:left w:val="single" w:sz="4" w:space="0" w:color="auto"/>
              <w:bottom w:val="single" w:sz="4" w:space="0" w:color="auto"/>
              <w:right w:val="single" w:sz="4" w:space="0" w:color="auto"/>
            </w:tcBorders>
          </w:tcPr>
          <w:p w14:paraId="24F1F793" w14:textId="77777777" w:rsidR="00BE4781" w:rsidRDefault="00BE4781" w:rsidP="00AA3B99">
            <w:pPr>
              <w:rPr>
                <w:sz w:val="28"/>
                <w:szCs w:val="28"/>
              </w:rPr>
            </w:pPr>
          </w:p>
        </w:tc>
        <w:tc>
          <w:tcPr>
            <w:tcW w:w="1235" w:type="dxa"/>
            <w:tcBorders>
              <w:top w:val="single" w:sz="4" w:space="0" w:color="auto"/>
              <w:left w:val="single" w:sz="4" w:space="0" w:color="auto"/>
              <w:bottom w:val="single" w:sz="4" w:space="0" w:color="auto"/>
              <w:right w:val="single" w:sz="4" w:space="0" w:color="auto"/>
            </w:tcBorders>
          </w:tcPr>
          <w:p w14:paraId="71B37606" w14:textId="77777777" w:rsidR="00BE4781" w:rsidRDefault="00BE4781" w:rsidP="00AA3B99">
            <w:pPr>
              <w:rPr>
                <w:sz w:val="28"/>
                <w:szCs w:val="28"/>
              </w:rPr>
            </w:pPr>
          </w:p>
        </w:tc>
      </w:tr>
      <w:tr w:rsidR="00BE4781" w14:paraId="1631BB7A"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4E2F0B51" w14:textId="77777777" w:rsidR="00BE4781" w:rsidRDefault="00BE4781" w:rsidP="00AA3B99">
            <w:pPr>
              <w:jc w:val="center"/>
              <w:rPr>
                <w:b/>
                <w:sz w:val="28"/>
                <w:szCs w:val="28"/>
              </w:rPr>
            </w:pPr>
            <w:r>
              <w:rPr>
                <w:b/>
                <w:sz w:val="28"/>
                <w:szCs w:val="28"/>
              </w:rPr>
              <w:t>IV</w:t>
            </w:r>
          </w:p>
        </w:tc>
        <w:tc>
          <w:tcPr>
            <w:tcW w:w="5047" w:type="dxa"/>
            <w:tcBorders>
              <w:top w:val="single" w:sz="4" w:space="0" w:color="auto"/>
              <w:left w:val="single" w:sz="4" w:space="0" w:color="auto"/>
              <w:bottom w:val="single" w:sz="4" w:space="0" w:color="auto"/>
              <w:right w:val="single" w:sz="4" w:space="0" w:color="auto"/>
            </w:tcBorders>
            <w:hideMark/>
          </w:tcPr>
          <w:p w14:paraId="7DD1F166" w14:textId="77777777" w:rsidR="00BE4781" w:rsidRDefault="00BE4781" w:rsidP="00AA3B99">
            <w:pPr>
              <w:rPr>
                <w:b/>
                <w:sz w:val="28"/>
                <w:szCs w:val="28"/>
              </w:rPr>
            </w:pPr>
            <w:r>
              <w:rPr>
                <w:b/>
                <w:sz w:val="28"/>
                <w:szCs w:val="28"/>
              </w:rPr>
              <w:t>Đơn giá trước thuế (I+II+III)</w:t>
            </w:r>
          </w:p>
        </w:tc>
        <w:tc>
          <w:tcPr>
            <w:tcW w:w="1955" w:type="dxa"/>
            <w:tcBorders>
              <w:top w:val="single" w:sz="4" w:space="0" w:color="auto"/>
              <w:left w:val="single" w:sz="4" w:space="0" w:color="auto"/>
              <w:bottom w:val="single" w:sz="4" w:space="0" w:color="auto"/>
              <w:right w:val="single" w:sz="4" w:space="0" w:color="auto"/>
            </w:tcBorders>
          </w:tcPr>
          <w:p w14:paraId="7A26C120" w14:textId="77777777" w:rsidR="00BE4781" w:rsidRDefault="00BE4781" w:rsidP="00AA3B99">
            <w:pPr>
              <w:rPr>
                <w:b/>
                <w:sz w:val="28"/>
                <w:szCs w:val="28"/>
              </w:rPr>
            </w:pPr>
          </w:p>
        </w:tc>
        <w:tc>
          <w:tcPr>
            <w:tcW w:w="1235" w:type="dxa"/>
            <w:tcBorders>
              <w:top w:val="single" w:sz="4" w:space="0" w:color="auto"/>
              <w:left w:val="single" w:sz="4" w:space="0" w:color="auto"/>
              <w:bottom w:val="single" w:sz="4" w:space="0" w:color="auto"/>
              <w:right w:val="single" w:sz="4" w:space="0" w:color="auto"/>
            </w:tcBorders>
          </w:tcPr>
          <w:p w14:paraId="3BCBD832" w14:textId="77777777" w:rsidR="00BE4781" w:rsidRDefault="00BE4781" w:rsidP="00AA3B99">
            <w:pPr>
              <w:rPr>
                <w:b/>
                <w:sz w:val="28"/>
                <w:szCs w:val="28"/>
              </w:rPr>
            </w:pPr>
          </w:p>
        </w:tc>
      </w:tr>
      <w:tr w:rsidR="00BE4781" w14:paraId="2274A591" w14:textId="77777777" w:rsidTr="00AA3B99">
        <w:tc>
          <w:tcPr>
            <w:tcW w:w="805" w:type="dxa"/>
            <w:tcBorders>
              <w:top w:val="single" w:sz="4" w:space="0" w:color="auto"/>
              <w:left w:val="single" w:sz="4" w:space="0" w:color="auto"/>
              <w:bottom w:val="single" w:sz="4" w:space="0" w:color="auto"/>
              <w:right w:val="single" w:sz="4" w:space="0" w:color="auto"/>
            </w:tcBorders>
            <w:hideMark/>
          </w:tcPr>
          <w:p w14:paraId="0CF1EB79" w14:textId="77777777" w:rsidR="00BE4781" w:rsidRDefault="00BE4781" w:rsidP="00AA3B99">
            <w:pPr>
              <w:jc w:val="center"/>
              <w:rPr>
                <w:b/>
                <w:sz w:val="28"/>
                <w:szCs w:val="28"/>
              </w:rPr>
            </w:pPr>
            <w:r>
              <w:rPr>
                <w:b/>
                <w:sz w:val="28"/>
                <w:szCs w:val="28"/>
              </w:rPr>
              <w:t>V</w:t>
            </w:r>
          </w:p>
        </w:tc>
        <w:tc>
          <w:tcPr>
            <w:tcW w:w="5047" w:type="dxa"/>
            <w:tcBorders>
              <w:top w:val="single" w:sz="4" w:space="0" w:color="auto"/>
              <w:left w:val="single" w:sz="4" w:space="0" w:color="auto"/>
              <w:bottom w:val="single" w:sz="4" w:space="0" w:color="auto"/>
              <w:right w:val="single" w:sz="4" w:space="0" w:color="auto"/>
            </w:tcBorders>
            <w:hideMark/>
          </w:tcPr>
          <w:p w14:paraId="37E3449E" w14:textId="77777777" w:rsidR="00BE4781" w:rsidRDefault="00BE4781" w:rsidP="00AA3B99">
            <w:pPr>
              <w:rPr>
                <w:b/>
                <w:sz w:val="28"/>
                <w:szCs w:val="28"/>
              </w:rPr>
            </w:pPr>
            <w:r>
              <w:rPr>
                <w:b/>
                <w:sz w:val="28"/>
                <w:szCs w:val="28"/>
              </w:rPr>
              <w:t>Thuế GTGT 8%</w:t>
            </w:r>
          </w:p>
        </w:tc>
        <w:tc>
          <w:tcPr>
            <w:tcW w:w="1955" w:type="dxa"/>
            <w:tcBorders>
              <w:top w:val="single" w:sz="4" w:space="0" w:color="auto"/>
              <w:left w:val="single" w:sz="4" w:space="0" w:color="auto"/>
              <w:bottom w:val="single" w:sz="4" w:space="0" w:color="auto"/>
              <w:right w:val="single" w:sz="4" w:space="0" w:color="auto"/>
            </w:tcBorders>
          </w:tcPr>
          <w:p w14:paraId="24CC3C10" w14:textId="77777777" w:rsidR="00BE4781" w:rsidRDefault="00BE4781" w:rsidP="00AA3B99">
            <w:pPr>
              <w:rPr>
                <w:b/>
                <w:sz w:val="28"/>
                <w:szCs w:val="28"/>
              </w:rPr>
            </w:pPr>
          </w:p>
        </w:tc>
        <w:tc>
          <w:tcPr>
            <w:tcW w:w="1235" w:type="dxa"/>
            <w:tcBorders>
              <w:top w:val="single" w:sz="4" w:space="0" w:color="auto"/>
              <w:left w:val="single" w:sz="4" w:space="0" w:color="auto"/>
              <w:bottom w:val="single" w:sz="4" w:space="0" w:color="auto"/>
              <w:right w:val="single" w:sz="4" w:space="0" w:color="auto"/>
            </w:tcBorders>
          </w:tcPr>
          <w:p w14:paraId="4A290369" w14:textId="77777777" w:rsidR="00BE4781" w:rsidRDefault="00BE4781" w:rsidP="00AA3B99">
            <w:pPr>
              <w:rPr>
                <w:b/>
                <w:sz w:val="28"/>
                <w:szCs w:val="28"/>
              </w:rPr>
            </w:pPr>
          </w:p>
        </w:tc>
      </w:tr>
      <w:tr w:rsidR="00BE4781" w14:paraId="5EB21E58" w14:textId="77777777" w:rsidTr="00AA3B99">
        <w:trPr>
          <w:trHeight w:val="812"/>
        </w:trPr>
        <w:tc>
          <w:tcPr>
            <w:tcW w:w="805" w:type="dxa"/>
            <w:tcBorders>
              <w:top w:val="single" w:sz="4" w:space="0" w:color="auto"/>
              <w:left w:val="single" w:sz="4" w:space="0" w:color="auto"/>
              <w:bottom w:val="single" w:sz="4" w:space="0" w:color="auto"/>
              <w:right w:val="single" w:sz="4" w:space="0" w:color="auto"/>
            </w:tcBorders>
            <w:hideMark/>
          </w:tcPr>
          <w:p w14:paraId="70007E05" w14:textId="77777777" w:rsidR="00BE4781" w:rsidRDefault="00BE4781" w:rsidP="00AA3B99">
            <w:pPr>
              <w:jc w:val="center"/>
              <w:rPr>
                <w:b/>
                <w:sz w:val="28"/>
                <w:szCs w:val="28"/>
              </w:rPr>
            </w:pPr>
            <w:r>
              <w:rPr>
                <w:b/>
                <w:sz w:val="28"/>
                <w:szCs w:val="28"/>
              </w:rPr>
              <w:t>VI</w:t>
            </w:r>
          </w:p>
        </w:tc>
        <w:tc>
          <w:tcPr>
            <w:tcW w:w="5047" w:type="dxa"/>
            <w:tcBorders>
              <w:top w:val="single" w:sz="4" w:space="0" w:color="auto"/>
              <w:left w:val="single" w:sz="4" w:space="0" w:color="auto"/>
              <w:bottom w:val="single" w:sz="4" w:space="0" w:color="auto"/>
              <w:right w:val="single" w:sz="4" w:space="0" w:color="auto"/>
            </w:tcBorders>
            <w:hideMark/>
          </w:tcPr>
          <w:p w14:paraId="5DEF778E" w14:textId="77777777" w:rsidR="00BE4781" w:rsidRDefault="00BE4781" w:rsidP="00AA3B99">
            <w:pPr>
              <w:rPr>
                <w:b/>
                <w:sz w:val="28"/>
                <w:szCs w:val="28"/>
              </w:rPr>
            </w:pPr>
            <w:r>
              <w:rPr>
                <w:b/>
                <w:sz w:val="28"/>
                <w:szCs w:val="28"/>
              </w:rPr>
              <w:t xml:space="preserve">Tổng giá tham dự gói cung cấp </w:t>
            </w:r>
            <w:r>
              <w:rPr>
                <w:i/>
                <w:sz w:val="28"/>
                <w:szCs w:val="28"/>
              </w:rPr>
              <w:t>(kết chuyển sang bảng giá dự thầu)</w:t>
            </w:r>
          </w:p>
        </w:tc>
        <w:tc>
          <w:tcPr>
            <w:tcW w:w="1955" w:type="dxa"/>
            <w:tcBorders>
              <w:top w:val="single" w:sz="4" w:space="0" w:color="auto"/>
              <w:left w:val="single" w:sz="4" w:space="0" w:color="auto"/>
              <w:bottom w:val="single" w:sz="4" w:space="0" w:color="auto"/>
              <w:right w:val="single" w:sz="4" w:space="0" w:color="auto"/>
            </w:tcBorders>
          </w:tcPr>
          <w:p w14:paraId="46CA7899" w14:textId="77777777" w:rsidR="00BE4781" w:rsidRDefault="00BE4781" w:rsidP="00AA3B99">
            <w:pPr>
              <w:rPr>
                <w:b/>
                <w:sz w:val="28"/>
                <w:szCs w:val="28"/>
              </w:rPr>
            </w:pPr>
          </w:p>
        </w:tc>
        <w:tc>
          <w:tcPr>
            <w:tcW w:w="1235" w:type="dxa"/>
            <w:tcBorders>
              <w:top w:val="single" w:sz="4" w:space="0" w:color="auto"/>
              <w:left w:val="single" w:sz="4" w:space="0" w:color="auto"/>
              <w:bottom w:val="single" w:sz="4" w:space="0" w:color="auto"/>
              <w:right w:val="single" w:sz="4" w:space="0" w:color="auto"/>
            </w:tcBorders>
          </w:tcPr>
          <w:p w14:paraId="608162A4" w14:textId="77777777" w:rsidR="00BE4781" w:rsidRDefault="00BE4781" w:rsidP="00AA3B99">
            <w:pPr>
              <w:rPr>
                <w:b/>
                <w:sz w:val="28"/>
                <w:szCs w:val="28"/>
              </w:rPr>
            </w:pPr>
          </w:p>
        </w:tc>
      </w:tr>
    </w:tbl>
    <w:p w14:paraId="7FDA3081" w14:textId="77777777" w:rsidR="00307420" w:rsidRDefault="00307420" w:rsidP="00BE4781">
      <w:pPr>
        <w:ind w:firstLine="567"/>
        <w:rPr>
          <w:sz w:val="28"/>
          <w:szCs w:val="28"/>
          <w:lang w:val="nb-NO"/>
        </w:rPr>
      </w:pPr>
    </w:p>
    <w:p w14:paraId="7242FDF7" w14:textId="7B1215C5" w:rsidR="00BE4781" w:rsidRDefault="00BE4781" w:rsidP="00BE4781">
      <w:pPr>
        <w:ind w:firstLine="567"/>
        <w:rPr>
          <w:sz w:val="28"/>
          <w:szCs w:val="28"/>
          <w:lang w:val="nb-NO"/>
        </w:rPr>
      </w:pPr>
      <w:r>
        <w:rPr>
          <w:sz w:val="28"/>
          <w:szCs w:val="28"/>
          <w:lang w:val="nb-NO"/>
        </w:rPr>
        <w:t xml:space="preserve">- Giá nhiên liệu: là giá dầu Diesel 0,05 S-II, vùng 1 tại </w:t>
      </w:r>
      <w:r w:rsidRPr="00BE4781">
        <w:rPr>
          <w:sz w:val="28"/>
          <w:szCs w:val="28"/>
          <w:lang w:val="nb-NO"/>
        </w:rPr>
        <w:t xml:space="preserve">tại thông cáo báo chí số </w:t>
      </w:r>
      <w:r w:rsidR="00307420">
        <w:rPr>
          <w:sz w:val="28"/>
          <w:szCs w:val="28"/>
          <w:lang w:val="nb-NO"/>
        </w:rPr>
        <w:t>50</w:t>
      </w:r>
      <w:r w:rsidRPr="00BE4781">
        <w:rPr>
          <w:sz w:val="28"/>
          <w:szCs w:val="28"/>
          <w:lang w:val="nb-NO"/>
        </w:rPr>
        <w:t>/202</w:t>
      </w:r>
      <w:r w:rsidR="00307420">
        <w:rPr>
          <w:sz w:val="28"/>
          <w:szCs w:val="28"/>
          <w:lang w:val="nb-NO"/>
        </w:rPr>
        <w:t>5</w:t>
      </w:r>
      <w:r w:rsidRPr="00BE4781">
        <w:rPr>
          <w:sz w:val="28"/>
          <w:szCs w:val="28"/>
          <w:lang w:val="nb-NO"/>
        </w:rPr>
        <w:t>/PLX-TCBC của Petrolimex ngày 2</w:t>
      </w:r>
      <w:r w:rsidR="00307420">
        <w:rPr>
          <w:sz w:val="28"/>
          <w:szCs w:val="28"/>
          <w:lang w:val="nb-NO"/>
        </w:rPr>
        <w:t>3</w:t>
      </w:r>
      <w:r w:rsidRPr="00BE4781">
        <w:rPr>
          <w:sz w:val="28"/>
          <w:szCs w:val="28"/>
          <w:lang w:val="nb-NO"/>
        </w:rPr>
        <w:t>/10/202</w:t>
      </w:r>
      <w:r w:rsidR="00307420">
        <w:rPr>
          <w:sz w:val="28"/>
          <w:szCs w:val="28"/>
          <w:lang w:val="nb-NO"/>
        </w:rPr>
        <w:t>5</w:t>
      </w:r>
      <w:r w:rsidRPr="00BE4781">
        <w:rPr>
          <w:sz w:val="28"/>
          <w:szCs w:val="28"/>
          <w:lang w:val="nb-NO"/>
        </w:rPr>
        <w:t>, về việc Petrolimex điều chỉnh giá xăng dầu từ 15h00' ngày 2</w:t>
      </w:r>
      <w:r w:rsidR="00307420">
        <w:rPr>
          <w:sz w:val="28"/>
          <w:szCs w:val="28"/>
          <w:lang w:val="nb-NO"/>
        </w:rPr>
        <w:t>3</w:t>
      </w:r>
      <w:r w:rsidRPr="00BE4781">
        <w:rPr>
          <w:sz w:val="28"/>
          <w:szCs w:val="28"/>
          <w:lang w:val="nb-NO"/>
        </w:rPr>
        <w:t>/10/202</w:t>
      </w:r>
      <w:r w:rsidR="00307420">
        <w:rPr>
          <w:sz w:val="28"/>
          <w:szCs w:val="28"/>
          <w:lang w:val="nb-NO"/>
        </w:rPr>
        <w:t>5</w:t>
      </w:r>
      <w:r>
        <w:rPr>
          <w:sz w:val="28"/>
          <w:szCs w:val="28"/>
          <w:lang w:val="nb-NO"/>
        </w:rPr>
        <w:t xml:space="preserve">, giá bán lẻ có thuế GTGT là </w:t>
      </w:r>
      <w:r w:rsidR="00307420">
        <w:rPr>
          <w:sz w:val="28"/>
          <w:szCs w:val="28"/>
          <w:lang w:val="nb-NO"/>
        </w:rPr>
        <w:t>17.880</w:t>
      </w:r>
      <w:r>
        <w:rPr>
          <w:sz w:val="28"/>
          <w:szCs w:val="28"/>
          <w:lang w:val="nb-NO"/>
        </w:rPr>
        <w:t xml:space="preserve"> đồng/lít, giá bán lẻ chưa thuế GTGT là </w:t>
      </w:r>
      <w:r w:rsidR="00307420">
        <w:rPr>
          <w:sz w:val="28"/>
          <w:szCs w:val="28"/>
          <w:lang w:val="nb-NO"/>
        </w:rPr>
        <w:t>16.555,55</w:t>
      </w:r>
      <w:r w:rsidRPr="00BE4781">
        <w:rPr>
          <w:sz w:val="28"/>
          <w:szCs w:val="28"/>
          <w:lang w:val="nb-NO"/>
        </w:rPr>
        <w:t xml:space="preserve"> đồng/lít</w:t>
      </w:r>
      <w:r>
        <w:rPr>
          <w:sz w:val="28"/>
          <w:szCs w:val="28"/>
          <w:lang w:val="nb-NO"/>
        </w:rPr>
        <w:t>.</w:t>
      </w:r>
    </w:p>
    <w:p w14:paraId="0F15F16F" w14:textId="77777777" w:rsidR="00BE4781" w:rsidRPr="00AE1952" w:rsidRDefault="00BE4781" w:rsidP="00BE4781">
      <w:pPr>
        <w:spacing w:before="120" w:after="120" w:line="264" w:lineRule="auto"/>
        <w:ind w:firstLine="709"/>
        <w:rPr>
          <w:b/>
          <w:sz w:val="28"/>
          <w:szCs w:val="28"/>
          <w:lang w:val="vi-VN"/>
        </w:rPr>
      </w:pPr>
      <w:r w:rsidRPr="00AE1952">
        <w:rPr>
          <w:b/>
          <w:sz w:val="28"/>
          <w:szCs w:val="28"/>
          <w:lang w:val="vi-VN"/>
        </w:rPr>
        <w:t>4. Giải pháp và phương pháp luận:</w:t>
      </w:r>
    </w:p>
    <w:p w14:paraId="57DBD6CF" w14:textId="77777777" w:rsidR="00BE4781" w:rsidRPr="00A81682" w:rsidRDefault="00BE4781" w:rsidP="00BE4781">
      <w:pPr>
        <w:spacing w:before="120" w:after="120" w:line="264" w:lineRule="auto"/>
        <w:ind w:firstLine="709"/>
        <w:rPr>
          <w:iCs/>
          <w:spacing w:val="-2"/>
          <w:sz w:val="28"/>
          <w:szCs w:val="28"/>
          <w:lang w:val="vi-VN"/>
        </w:rPr>
      </w:pPr>
      <w:r w:rsidRPr="00AE1952">
        <w:rPr>
          <w:iCs/>
          <w:spacing w:val="-2"/>
          <w:sz w:val="28"/>
          <w:szCs w:val="28"/>
          <w:lang w:val="vi-VN"/>
        </w:rPr>
        <w:t>Nhà thầu chuẩn bị đề xuất giải pháp, phương pháp luận tổng quát thực hiện</w:t>
      </w:r>
      <w:r w:rsidRPr="00A81682">
        <w:rPr>
          <w:iCs/>
          <w:spacing w:val="-2"/>
          <w:sz w:val="28"/>
          <w:szCs w:val="28"/>
          <w:lang w:val="vi-VN"/>
        </w:rPr>
        <w:t xml:space="preserve"> dịch vụ theo các nội dung quy định tại Chương V, gồm các phần như sau: </w:t>
      </w:r>
    </w:p>
    <w:p w14:paraId="27CCB8D7" w14:textId="77777777" w:rsidR="00BE4781" w:rsidRPr="00A81682" w:rsidRDefault="00BE4781" w:rsidP="00BE4781">
      <w:pPr>
        <w:spacing w:before="120" w:after="120" w:line="264" w:lineRule="auto"/>
        <w:ind w:firstLine="709"/>
        <w:rPr>
          <w:iCs/>
          <w:spacing w:val="-2"/>
          <w:sz w:val="28"/>
          <w:szCs w:val="28"/>
          <w:lang w:val="vi-VN"/>
        </w:rPr>
      </w:pPr>
      <w:r w:rsidRPr="00A81682">
        <w:rPr>
          <w:iCs/>
          <w:spacing w:val="-2"/>
          <w:sz w:val="28"/>
          <w:szCs w:val="28"/>
          <w:lang w:val="vi-VN"/>
        </w:rPr>
        <w:t>1. Giải pháp và phương pháp luận;</w:t>
      </w:r>
    </w:p>
    <w:p w14:paraId="73DBCA52" w14:textId="77777777" w:rsidR="00BE4781" w:rsidRPr="00A81682" w:rsidRDefault="00BE4781" w:rsidP="00BE4781">
      <w:pPr>
        <w:spacing w:before="120" w:after="120" w:line="264" w:lineRule="auto"/>
        <w:ind w:firstLine="709"/>
        <w:rPr>
          <w:iCs/>
          <w:spacing w:val="-2"/>
          <w:sz w:val="28"/>
          <w:szCs w:val="28"/>
          <w:lang w:val="vi-VN"/>
        </w:rPr>
      </w:pPr>
      <w:r w:rsidRPr="00A81682">
        <w:rPr>
          <w:iCs/>
          <w:spacing w:val="-2"/>
          <w:sz w:val="28"/>
          <w:szCs w:val="28"/>
          <w:lang w:val="vi-VN"/>
        </w:rPr>
        <w:t>2.  Kế hoạch công tác.</w:t>
      </w:r>
    </w:p>
    <w:p w14:paraId="51EDB129" w14:textId="77777777" w:rsidR="00BE4781" w:rsidRPr="00DD02D3" w:rsidRDefault="00BE4781" w:rsidP="00BE4781">
      <w:pPr>
        <w:spacing w:before="120" w:after="120" w:line="264" w:lineRule="auto"/>
        <w:ind w:firstLine="709"/>
        <w:rPr>
          <w:bCs/>
          <w:sz w:val="28"/>
          <w:szCs w:val="28"/>
          <w:lang w:val="vi-VN"/>
        </w:rPr>
      </w:pPr>
      <w:r w:rsidRPr="00A81682">
        <w:rPr>
          <w:bCs/>
          <w:sz w:val="28"/>
          <w:szCs w:val="28"/>
          <w:lang w:val="vi-VN"/>
        </w:rPr>
        <w:t>Giải</w:t>
      </w:r>
      <w:r w:rsidRPr="00DD02D3">
        <w:rPr>
          <w:bCs/>
          <w:sz w:val="28"/>
          <w:szCs w:val="28"/>
          <w:lang w:val="vi-VN"/>
        </w:rPr>
        <w:t xml:space="preserve"> pháp</w:t>
      </w:r>
      <w:r>
        <w:rPr>
          <w:bCs/>
          <w:sz w:val="28"/>
          <w:szCs w:val="28"/>
          <w:lang w:val="vi-VN"/>
        </w:rPr>
        <w:t xml:space="preserve"> phải thể hiện được nhiệm vụ rõ ràng, thể hiện sự phối hợp chặt chẽ với mọi đối tượng có liên quan để thực hiện nhiệm vụ bốc xếp </w:t>
      </w:r>
      <w:r w:rsidRPr="00326AE4">
        <w:rPr>
          <w:bCs/>
          <w:sz w:val="28"/>
          <w:szCs w:val="28"/>
          <w:lang w:val="vi-VN"/>
        </w:rPr>
        <w:t>than</w:t>
      </w:r>
      <w:r w:rsidRPr="00F30804">
        <w:rPr>
          <w:bCs/>
          <w:sz w:val="28"/>
          <w:szCs w:val="28"/>
          <w:lang w:val="vi-VN"/>
        </w:rPr>
        <w:t xml:space="preserve"> từ </w:t>
      </w:r>
      <w:r w:rsidRPr="00326AE4">
        <w:rPr>
          <w:bCs/>
          <w:sz w:val="28"/>
          <w:szCs w:val="28"/>
          <w:lang w:val="vi-VN"/>
        </w:rPr>
        <w:t>phương tiện thủy lên bờ</w:t>
      </w:r>
      <w:r w:rsidRPr="00F30804">
        <w:rPr>
          <w:bCs/>
          <w:sz w:val="28"/>
          <w:szCs w:val="28"/>
          <w:lang w:val="vi-VN"/>
        </w:rPr>
        <w:t xml:space="preserve"> phục vụ tiêu thụ của Công ty Tuyển than Hòn Gai - Vinacomin</w:t>
      </w:r>
      <w:r>
        <w:rPr>
          <w:bCs/>
          <w:sz w:val="28"/>
          <w:szCs w:val="28"/>
          <w:lang w:val="vi-VN"/>
        </w:rPr>
        <w:t xml:space="preserve">. Giải pháp phải nêu được các kế hoạch để đảm bảo chất lượng trong quá trình </w:t>
      </w:r>
      <w:r w:rsidRPr="00F30804">
        <w:rPr>
          <w:bCs/>
          <w:sz w:val="28"/>
          <w:szCs w:val="28"/>
          <w:lang w:val="vi-VN"/>
        </w:rPr>
        <w:t>bốc xúc</w:t>
      </w:r>
      <w:r>
        <w:rPr>
          <w:bCs/>
          <w:sz w:val="28"/>
          <w:szCs w:val="28"/>
          <w:lang w:val="vi-VN"/>
        </w:rPr>
        <w:t xml:space="preserve">, kế hoạch đảm bảo an toàn và xử lý sự cố; Kế hoạch đảm bảo an toàn phương tiện; đảm bảo lái </w:t>
      </w:r>
      <w:r w:rsidRPr="00F30804">
        <w:rPr>
          <w:bCs/>
          <w:sz w:val="28"/>
          <w:szCs w:val="28"/>
          <w:lang w:val="vi-VN"/>
        </w:rPr>
        <w:t>máy</w:t>
      </w:r>
      <w:r>
        <w:rPr>
          <w:bCs/>
          <w:sz w:val="28"/>
          <w:szCs w:val="28"/>
          <w:lang w:val="vi-VN"/>
        </w:rPr>
        <w:t>; quy trình xử lý rủi ro. Thể hiện các sơ đồ tác nghiệp có liên quan.</w:t>
      </w:r>
    </w:p>
    <w:p w14:paraId="26B25806" w14:textId="77777777" w:rsidR="00BE4781" w:rsidRPr="00A81682" w:rsidRDefault="00BE4781" w:rsidP="00BE4781">
      <w:pPr>
        <w:spacing w:before="120" w:after="120" w:line="264" w:lineRule="auto"/>
        <w:ind w:firstLine="709"/>
        <w:rPr>
          <w:b/>
          <w:sz w:val="28"/>
          <w:szCs w:val="28"/>
          <w:lang w:val="vi-VN"/>
        </w:rPr>
      </w:pPr>
      <w:r w:rsidRPr="00A81682">
        <w:rPr>
          <w:b/>
          <w:sz w:val="28"/>
          <w:szCs w:val="28"/>
          <w:lang w:val="vi-VN"/>
        </w:rPr>
        <w:t>5. Quy định về kiểm tra, nghiệm thu</w:t>
      </w:r>
      <w:r>
        <w:rPr>
          <w:b/>
          <w:sz w:val="28"/>
          <w:szCs w:val="28"/>
          <w:lang w:val="vi-VN"/>
        </w:rPr>
        <w:t>, thanh toán</w:t>
      </w:r>
      <w:r w:rsidRPr="00A81682">
        <w:rPr>
          <w:b/>
          <w:sz w:val="28"/>
          <w:szCs w:val="28"/>
          <w:lang w:val="vi-VN"/>
        </w:rPr>
        <w:t xml:space="preserve"> sản phẩm:</w:t>
      </w:r>
    </w:p>
    <w:p w14:paraId="22E7A7C3" w14:textId="281F722A" w:rsidR="00BE4781" w:rsidRPr="00277224" w:rsidRDefault="00BE4781" w:rsidP="00BE4781">
      <w:pPr>
        <w:snapToGrid w:val="0"/>
        <w:ind w:firstLine="709"/>
        <w:rPr>
          <w:color w:val="000000" w:themeColor="text1"/>
          <w:sz w:val="28"/>
          <w:szCs w:val="28"/>
          <w:lang w:val="vi-VN"/>
        </w:rPr>
      </w:pPr>
      <w:r w:rsidRPr="00277224">
        <w:rPr>
          <w:color w:val="000000" w:themeColor="text1"/>
          <w:sz w:val="28"/>
          <w:szCs w:val="28"/>
          <w:lang w:val="vi-VN"/>
        </w:rPr>
        <w:t xml:space="preserve">- Nhà thầu phải thông báo cho </w:t>
      </w:r>
      <w:r w:rsidR="00AA7F19" w:rsidRPr="00277224">
        <w:rPr>
          <w:color w:val="000000" w:themeColor="text1"/>
          <w:sz w:val="28"/>
          <w:szCs w:val="28"/>
          <w:lang w:val="vi-VN"/>
        </w:rPr>
        <w:t>Chủ đầu tư</w:t>
      </w:r>
      <w:r w:rsidRPr="00277224">
        <w:rPr>
          <w:color w:val="000000" w:themeColor="text1"/>
          <w:sz w:val="28"/>
          <w:szCs w:val="28"/>
          <w:lang w:val="vi-VN"/>
        </w:rPr>
        <w:t xml:space="preserve"> xác nhận khối lượng công việc trước khi kết thúc việc bốc xếp than từ phương tiện thủy lên bờ mỗi phương tiện.</w:t>
      </w:r>
    </w:p>
    <w:p w14:paraId="2C1BA58E" w14:textId="77777777" w:rsidR="00BE4781" w:rsidRPr="00277224" w:rsidRDefault="00BE4781" w:rsidP="00BE4781">
      <w:pPr>
        <w:snapToGrid w:val="0"/>
        <w:ind w:firstLine="709"/>
        <w:rPr>
          <w:color w:val="000000" w:themeColor="text1"/>
          <w:sz w:val="28"/>
          <w:szCs w:val="28"/>
          <w:lang w:val="vi-VN"/>
        </w:rPr>
      </w:pPr>
      <w:r w:rsidRPr="00277224">
        <w:rPr>
          <w:color w:val="000000" w:themeColor="text1"/>
          <w:sz w:val="28"/>
          <w:szCs w:val="28"/>
          <w:lang w:val="vi-VN"/>
        </w:rPr>
        <w:lastRenderedPageBreak/>
        <w:t>- Khối lượng bốc xếp của nhà thầu được nghiệm thu theo khối lượng ghi trên giấy giám định khối lượng của Công ty cổ phần giám định Vinacomin (Quacontrol) cấp cho từng phương tiện hoặc đoàn phương tiện.</w:t>
      </w:r>
    </w:p>
    <w:p w14:paraId="3BAAF787" w14:textId="334D8AB7" w:rsidR="00BE4781" w:rsidRPr="00277224" w:rsidRDefault="00BE4781" w:rsidP="00BE4781">
      <w:pPr>
        <w:snapToGrid w:val="0"/>
        <w:ind w:firstLine="709"/>
        <w:rPr>
          <w:color w:val="000000" w:themeColor="text1"/>
          <w:sz w:val="28"/>
          <w:szCs w:val="28"/>
          <w:lang w:val="vi-VN"/>
        </w:rPr>
      </w:pPr>
      <w:r w:rsidRPr="00277224">
        <w:rPr>
          <w:color w:val="000000" w:themeColor="text1"/>
          <w:sz w:val="28"/>
          <w:szCs w:val="28"/>
          <w:lang w:val="vi-VN"/>
        </w:rPr>
        <w:t xml:space="preserve">Trường hợp có nhiều nhà thầu cung tham gia bốc xếp trên 1 phương tiện hay đoàn phương tiện, thì </w:t>
      </w:r>
      <w:r w:rsidR="00AA7F19" w:rsidRPr="00277224">
        <w:rPr>
          <w:color w:val="000000" w:themeColor="text1"/>
          <w:sz w:val="28"/>
          <w:szCs w:val="28"/>
          <w:lang w:val="vi-VN"/>
        </w:rPr>
        <w:t>Chủ đầu tư</w:t>
      </w:r>
      <w:r w:rsidRPr="00277224">
        <w:rPr>
          <w:color w:val="000000" w:themeColor="text1"/>
          <w:sz w:val="28"/>
          <w:szCs w:val="28"/>
          <w:lang w:val="vi-VN"/>
        </w:rPr>
        <w:t xml:space="preserve"> chủ trì lập biên bản xác định khối lượng thực hiện của mỗi bên để làm cơ sở thanh toán.</w:t>
      </w:r>
    </w:p>
    <w:p w14:paraId="28E6BFB3" w14:textId="0DDB835F" w:rsidR="00BE4781" w:rsidRPr="00277224" w:rsidRDefault="00BE4781" w:rsidP="00BE4781">
      <w:pPr>
        <w:snapToGrid w:val="0"/>
        <w:rPr>
          <w:color w:val="000000" w:themeColor="text1"/>
          <w:sz w:val="28"/>
          <w:szCs w:val="28"/>
          <w:lang w:val="vi-VN"/>
        </w:rPr>
      </w:pPr>
      <w:r w:rsidRPr="00277224">
        <w:rPr>
          <w:color w:val="000000" w:themeColor="text1"/>
          <w:sz w:val="28"/>
          <w:szCs w:val="28"/>
          <w:lang w:val="vi-VN"/>
        </w:rPr>
        <w:tab/>
        <w:t>- Kết thúc tháng, hai bên sẽ đối chiếu khối lượng thực hiện trong tháng, lập biên bản nghiệm thu.</w:t>
      </w:r>
    </w:p>
    <w:p w14:paraId="5372C0C9" w14:textId="77777777" w:rsidR="0046257B" w:rsidRPr="00277224" w:rsidRDefault="0046257B" w:rsidP="00BE4781">
      <w:pPr>
        <w:spacing w:before="120" w:after="120" w:line="264" w:lineRule="auto"/>
        <w:ind w:firstLine="709"/>
        <w:rPr>
          <w:color w:val="000000" w:themeColor="text1"/>
          <w:lang w:val="vi-VN"/>
        </w:rPr>
      </w:pPr>
    </w:p>
    <w:sectPr w:rsidR="0046257B" w:rsidRPr="00277224" w:rsidSect="00307420">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6"/>
    <w:rsid w:val="00020D1B"/>
    <w:rsid w:val="000E3D1A"/>
    <w:rsid w:val="001475AA"/>
    <w:rsid w:val="00221C92"/>
    <w:rsid w:val="00277224"/>
    <w:rsid w:val="002D237A"/>
    <w:rsid w:val="002F677E"/>
    <w:rsid w:val="00303E10"/>
    <w:rsid w:val="00307420"/>
    <w:rsid w:val="00314555"/>
    <w:rsid w:val="00394C37"/>
    <w:rsid w:val="003C167A"/>
    <w:rsid w:val="0046257B"/>
    <w:rsid w:val="00513F3D"/>
    <w:rsid w:val="005275CF"/>
    <w:rsid w:val="00544614"/>
    <w:rsid w:val="005951CE"/>
    <w:rsid w:val="005D268E"/>
    <w:rsid w:val="00615601"/>
    <w:rsid w:val="00617B3A"/>
    <w:rsid w:val="006C0A5D"/>
    <w:rsid w:val="006E1BB5"/>
    <w:rsid w:val="006F777C"/>
    <w:rsid w:val="00712ACF"/>
    <w:rsid w:val="00752A6A"/>
    <w:rsid w:val="007F2C5A"/>
    <w:rsid w:val="008B5CDF"/>
    <w:rsid w:val="008D1842"/>
    <w:rsid w:val="00942AF5"/>
    <w:rsid w:val="009967C1"/>
    <w:rsid w:val="00A010D7"/>
    <w:rsid w:val="00A54799"/>
    <w:rsid w:val="00AA5283"/>
    <w:rsid w:val="00AA7F19"/>
    <w:rsid w:val="00AD29AB"/>
    <w:rsid w:val="00B10449"/>
    <w:rsid w:val="00B163F3"/>
    <w:rsid w:val="00B32523"/>
    <w:rsid w:val="00B4007C"/>
    <w:rsid w:val="00B42471"/>
    <w:rsid w:val="00BB063F"/>
    <w:rsid w:val="00BE4781"/>
    <w:rsid w:val="00BF5500"/>
    <w:rsid w:val="00CB2F54"/>
    <w:rsid w:val="00CE5C92"/>
    <w:rsid w:val="00D1231B"/>
    <w:rsid w:val="00D150C7"/>
    <w:rsid w:val="00D3182B"/>
    <w:rsid w:val="00DD095F"/>
    <w:rsid w:val="00E427BD"/>
    <w:rsid w:val="00EB0450"/>
    <w:rsid w:val="00EF5A86"/>
    <w:rsid w:val="00F40E2F"/>
    <w:rsid w:val="00F61056"/>
    <w:rsid w:val="00FE41A7"/>
    <w:rsid w:val="00FE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C2D5"/>
  <w15:chartTrackingRefBased/>
  <w15:docId w15:val="{0A766AE1-8CAC-430E-AE3C-14AE0D6F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86"/>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EF5A86"/>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val="en-GB"/>
    </w:rPr>
  </w:style>
  <w:style w:type="paragraph" w:styleId="Heading2">
    <w:name w:val="heading 2"/>
    <w:basedOn w:val="Normal"/>
    <w:next w:val="Normal"/>
    <w:link w:val="Heading2Char"/>
    <w:uiPriority w:val="9"/>
    <w:semiHidden/>
    <w:unhideWhenUsed/>
    <w:qFormat/>
    <w:rsid w:val="00EF5A86"/>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next w:val="Normal"/>
    <w:link w:val="Heading3Char"/>
    <w:uiPriority w:val="9"/>
    <w:semiHidden/>
    <w:unhideWhenUsed/>
    <w:qFormat/>
    <w:rsid w:val="00EF5A86"/>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val="en-GB"/>
    </w:rPr>
  </w:style>
  <w:style w:type="paragraph" w:styleId="Heading4">
    <w:name w:val="heading 4"/>
    <w:basedOn w:val="Normal"/>
    <w:next w:val="Normal"/>
    <w:link w:val="Heading4Char"/>
    <w:uiPriority w:val="9"/>
    <w:semiHidden/>
    <w:unhideWhenUsed/>
    <w:qFormat/>
    <w:rsid w:val="00EF5A86"/>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EF5A86"/>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EF5A86"/>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en-GB"/>
    </w:rPr>
  </w:style>
  <w:style w:type="paragraph" w:styleId="Heading7">
    <w:name w:val="heading 7"/>
    <w:basedOn w:val="Normal"/>
    <w:next w:val="Normal"/>
    <w:link w:val="Heading7Char"/>
    <w:uiPriority w:val="9"/>
    <w:semiHidden/>
    <w:unhideWhenUsed/>
    <w:qFormat/>
    <w:rsid w:val="00EF5A86"/>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en-GB"/>
    </w:rPr>
  </w:style>
  <w:style w:type="paragraph" w:styleId="Heading8">
    <w:name w:val="heading 8"/>
    <w:basedOn w:val="Normal"/>
    <w:next w:val="Normal"/>
    <w:link w:val="Heading8Char"/>
    <w:uiPriority w:val="9"/>
    <w:semiHidden/>
    <w:unhideWhenUsed/>
    <w:qFormat/>
    <w:rsid w:val="00EF5A86"/>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en-GB"/>
    </w:rPr>
  </w:style>
  <w:style w:type="paragraph" w:styleId="Heading9">
    <w:name w:val="heading 9"/>
    <w:basedOn w:val="Normal"/>
    <w:next w:val="Normal"/>
    <w:link w:val="Heading9Char"/>
    <w:uiPriority w:val="9"/>
    <w:semiHidden/>
    <w:unhideWhenUsed/>
    <w:qFormat/>
    <w:rsid w:val="00EF5A86"/>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5A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5A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5A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5A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5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A86"/>
    <w:rPr>
      <w:rFonts w:eastAsiaTheme="majorEastAsia" w:cstheme="majorBidi"/>
      <w:color w:val="272727" w:themeColor="text1" w:themeTint="D8"/>
    </w:rPr>
  </w:style>
  <w:style w:type="paragraph" w:styleId="Title">
    <w:name w:val="Title"/>
    <w:basedOn w:val="Normal"/>
    <w:next w:val="Normal"/>
    <w:link w:val="TitleChar"/>
    <w:uiPriority w:val="10"/>
    <w:qFormat/>
    <w:rsid w:val="00EF5A86"/>
    <w:pPr>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EF5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A86"/>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EF5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A86"/>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rsid w:val="00EF5A86"/>
    <w:rPr>
      <w:i/>
      <w:iCs/>
      <w:color w:val="404040" w:themeColor="text1" w:themeTint="BF"/>
    </w:rPr>
  </w:style>
  <w:style w:type="paragraph" w:styleId="ListParagraph">
    <w:name w:val="List Paragraph"/>
    <w:basedOn w:val="Normal"/>
    <w:uiPriority w:val="34"/>
    <w:qFormat/>
    <w:rsid w:val="00EF5A86"/>
    <w:pPr>
      <w:spacing w:after="160" w:line="259" w:lineRule="auto"/>
      <w:ind w:left="720"/>
      <w:contextualSpacing/>
      <w:jc w:val="left"/>
    </w:pPr>
    <w:rPr>
      <w:rFonts w:asciiTheme="minorHAnsi" w:eastAsiaTheme="minorHAnsi" w:hAnsiTheme="minorHAnsi" w:cstheme="minorBidi"/>
      <w:sz w:val="22"/>
      <w:szCs w:val="22"/>
      <w:lang w:val="en-GB"/>
    </w:rPr>
  </w:style>
  <w:style w:type="character" w:styleId="IntenseEmphasis">
    <w:name w:val="Intense Emphasis"/>
    <w:basedOn w:val="DefaultParagraphFont"/>
    <w:uiPriority w:val="21"/>
    <w:qFormat/>
    <w:rsid w:val="00EF5A86"/>
    <w:rPr>
      <w:i/>
      <w:iCs/>
      <w:color w:val="2E74B5" w:themeColor="accent1" w:themeShade="BF"/>
    </w:rPr>
  </w:style>
  <w:style w:type="paragraph" w:styleId="IntenseQuote">
    <w:name w:val="Intense Quote"/>
    <w:basedOn w:val="Normal"/>
    <w:next w:val="Normal"/>
    <w:link w:val="IntenseQuoteChar"/>
    <w:uiPriority w:val="30"/>
    <w:qFormat/>
    <w:rsid w:val="00EF5A8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GB"/>
    </w:rPr>
  </w:style>
  <w:style w:type="character" w:customStyle="1" w:styleId="IntenseQuoteChar">
    <w:name w:val="Intense Quote Char"/>
    <w:basedOn w:val="DefaultParagraphFont"/>
    <w:link w:val="IntenseQuote"/>
    <w:uiPriority w:val="30"/>
    <w:rsid w:val="00EF5A86"/>
    <w:rPr>
      <w:i/>
      <w:iCs/>
      <w:color w:val="2E74B5" w:themeColor="accent1" w:themeShade="BF"/>
    </w:rPr>
  </w:style>
  <w:style w:type="character" w:styleId="IntenseReference">
    <w:name w:val="Intense Reference"/>
    <w:basedOn w:val="DefaultParagraphFont"/>
    <w:uiPriority w:val="32"/>
    <w:qFormat/>
    <w:rsid w:val="00EF5A86"/>
    <w:rPr>
      <w:b/>
      <w:bCs/>
      <w:smallCaps/>
      <w:color w:val="2E74B5" w:themeColor="accent1" w:themeShade="BF"/>
      <w:spacing w:val="5"/>
    </w:rPr>
  </w:style>
  <w:style w:type="paragraph" w:styleId="BodyTextIndent">
    <w:name w:val="Body Text Indent"/>
    <w:aliases w:val="Body Text Indent Char1,Body Text Indent Char1 Char Char Char,Body Text Indent Char1 Char Char,Body Text Indent Char1 Char Char Char Char  Char Char Char"/>
    <w:basedOn w:val="Normal"/>
    <w:link w:val="BodyTextIndentChar"/>
    <w:rsid w:val="00F40E2F"/>
    <w:pPr>
      <w:spacing w:before="240"/>
      <w:ind w:firstLine="720"/>
    </w:pPr>
    <w:rPr>
      <w:rFonts w:ascii=".VnTime" w:hAnsi=".VnTime"/>
      <w:sz w:val="28"/>
    </w:r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link w:val="BodyTextIndent"/>
    <w:rsid w:val="00F40E2F"/>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5A45-78E1-4150-92CA-4A9CFC12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1063</Words>
  <Characters>6060</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Kế hoạch 1</dc:creator>
  <cp:keywords/>
  <dc:description/>
  <cp:lastModifiedBy>Admin</cp:lastModifiedBy>
  <cp:revision>30</cp:revision>
  <cp:lastPrinted>2025-11-14T07:05:00Z</cp:lastPrinted>
  <dcterms:created xsi:type="dcterms:W3CDTF">2024-10-17T01:03:00Z</dcterms:created>
  <dcterms:modified xsi:type="dcterms:W3CDTF">2025-11-14T07:35:00Z</dcterms:modified>
</cp:coreProperties>
</file>