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B8CD" w14:textId="77777777" w:rsidR="00BE601C" w:rsidRPr="00180F17" w:rsidRDefault="00BE601C" w:rsidP="00BE601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53345255" w14:textId="77777777" w:rsidR="00BE601C" w:rsidRPr="00180F17" w:rsidRDefault="00BE601C" w:rsidP="00BE601C">
      <w:pPr>
        <w:pStyle w:val="Subtitle"/>
        <w:rPr>
          <w:sz w:val="20"/>
          <w:szCs w:val="32"/>
          <w:lang w:val="nl-NL"/>
        </w:rPr>
      </w:pPr>
    </w:p>
    <w:p w14:paraId="19477A1F" w14:textId="77777777" w:rsidR="00BE601C" w:rsidRPr="00180F17" w:rsidRDefault="00BE601C" w:rsidP="00BE601C">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6624B8AC" w14:textId="77777777" w:rsidR="00BE601C" w:rsidRPr="00180F17" w:rsidRDefault="00BE601C" w:rsidP="00BE601C">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9CD8E47" w14:textId="77777777" w:rsidR="00BE601C" w:rsidRPr="00180F17" w:rsidRDefault="00BE601C" w:rsidP="00BE601C">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14:paraId="4DD813EE" w14:textId="77777777" w:rsidR="00BE601C" w:rsidRPr="00180F17" w:rsidRDefault="00BE601C" w:rsidP="00BE601C">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Pr="00180F17">
        <w:rPr>
          <w:i/>
          <w:sz w:val="28"/>
          <w:szCs w:val="28"/>
          <w:lang w:val="nl-NL"/>
        </w:rPr>
        <w:t>được</w:t>
      </w:r>
      <w:r w:rsidRPr="00180F17">
        <w:rPr>
          <w:i/>
          <w:sz w:val="28"/>
          <w:szCs w:val="28"/>
          <w:lang w:val="vi-VN"/>
        </w:rPr>
        <w:t xml:space="preserve"> nêu nhãn hiệu, cat</w:t>
      </w:r>
      <w:r w:rsidRPr="00180F17">
        <w:rPr>
          <w:i/>
          <w:sz w:val="28"/>
          <w:szCs w:val="28"/>
          <w:lang w:val="nl-NL"/>
        </w:rPr>
        <w:t>alô</w:t>
      </w:r>
      <w:r w:rsidRPr="00180F17">
        <w:rPr>
          <w:i/>
          <w:sz w:val="28"/>
          <w:szCs w:val="28"/>
          <w:lang w:val="vi-VN"/>
        </w:rPr>
        <w:t xml:space="preserve"> của một </w:t>
      </w:r>
      <w:r w:rsidRPr="00180F17">
        <w:rPr>
          <w:i/>
          <w:sz w:val="28"/>
          <w:szCs w:val="28"/>
          <w:lang w:val="nl-NL"/>
        </w:rPr>
        <w:t>sản phẩm cụ thể</w:t>
      </w:r>
      <w:r w:rsidRPr="00180F17">
        <w:rPr>
          <w:i/>
          <w:sz w:val="28"/>
          <w:szCs w:val="28"/>
          <w:lang w:val="vi-VN"/>
        </w:rPr>
        <w:t xml:space="preserve"> để tham khảo, minh họa cho yêu cầu về kỹ thuật của hàng hóa </w:t>
      </w:r>
      <w:r w:rsidRPr="00180F17">
        <w:rPr>
          <w:i/>
          <w:sz w:val="28"/>
          <w:szCs w:val="28"/>
          <w:lang w:val="nl-NL"/>
        </w:rPr>
        <w:t xml:space="preserve">nhưng </w:t>
      </w:r>
      <w:r w:rsidRPr="00180F17">
        <w:rPr>
          <w:i/>
          <w:sz w:val="28"/>
          <w:szCs w:val="28"/>
          <w:lang w:val="vi-VN"/>
        </w:rPr>
        <w:t>phải ghi kèm theo cụm từ “hoặc tương đương” sau nhãn hiệu, cat</w:t>
      </w:r>
      <w:r w:rsidRPr="00180F17">
        <w:rPr>
          <w:i/>
          <w:sz w:val="28"/>
          <w:szCs w:val="28"/>
          <w:lang w:val="nl-NL"/>
        </w:rPr>
        <w:t xml:space="preserve">alô </w:t>
      </w:r>
      <w:r w:rsidRPr="00180F17">
        <w:rPr>
          <w:i/>
          <w:sz w:val="28"/>
          <w:szCs w:val="28"/>
          <w:lang w:val="vi-VN"/>
        </w:rPr>
        <w:t xml:space="preserve">đồng thời phải quy định rõ </w:t>
      </w:r>
      <w:r w:rsidRPr="00180F17">
        <w:rPr>
          <w:i/>
          <w:sz w:val="28"/>
          <w:szCs w:val="28"/>
          <w:lang w:val="nl-NL"/>
        </w:rPr>
        <w:t xml:space="preserve">nội hàm </w:t>
      </w:r>
      <w:r w:rsidRPr="00180F17">
        <w:rPr>
          <w:i/>
          <w:sz w:val="28"/>
          <w:szCs w:val="28"/>
          <w:lang w:val="vi-VN"/>
        </w:rPr>
        <w:t xml:space="preserve">tương đương </w:t>
      </w:r>
      <w:r w:rsidRPr="00180F17">
        <w:rPr>
          <w:i/>
          <w:sz w:val="28"/>
          <w:szCs w:val="28"/>
          <w:lang w:val="nl-NL"/>
        </w:rPr>
        <w:t xml:space="preserve">với hàng hóa đó về </w:t>
      </w:r>
      <w:r w:rsidRPr="00180F17">
        <w:rPr>
          <w:i/>
          <w:sz w:val="28"/>
          <w:szCs w:val="28"/>
          <w:lang w:val="vi-VN"/>
        </w:rPr>
        <w:t>đặc tính kỹ thuật, tính năng sử dụng</w:t>
      </w:r>
      <w:r w:rsidRPr="00180F17">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75817F01" w14:textId="77777777" w:rsidR="00BE601C" w:rsidRPr="00180F17" w:rsidRDefault="00BE601C" w:rsidP="00BE601C">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03F238A3" w14:textId="77777777" w:rsidR="00BE601C" w:rsidRPr="00180F17" w:rsidRDefault="00BE601C" w:rsidP="00BE601C">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14:paraId="7E736EA6" w14:textId="77777777" w:rsidR="00BE601C" w:rsidRDefault="00BE601C" w:rsidP="00BE601C">
      <w:pPr>
        <w:widowControl w:val="0"/>
        <w:ind w:firstLine="709"/>
        <w:rPr>
          <w:i/>
          <w:sz w:val="28"/>
          <w:szCs w:val="28"/>
          <w:lang w:val="nl-NL"/>
        </w:rPr>
      </w:pPr>
      <w:bookmarkStart w:id="0" w:name="_Hlk154743134"/>
      <w:r>
        <w:rPr>
          <w:i/>
          <w:sz w:val="28"/>
          <w:szCs w:val="28"/>
          <w:lang w:val="nl-NL"/>
        </w:rPr>
        <w:t>- Tên gói thầu: Mua súng phun dung dịch Foam chữa cháy.</w:t>
      </w:r>
    </w:p>
    <w:p w14:paraId="2D68C14E" w14:textId="77777777" w:rsidR="00BE601C" w:rsidRDefault="00BE601C" w:rsidP="00BE601C">
      <w:pPr>
        <w:widowControl w:val="0"/>
        <w:ind w:firstLine="709"/>
        <w:rPr>
          <w:i/>
          <w:sz w:val="28"/>
          <w:szCs w:val="28"/>
          <w:lang w:val="nl-NL"/>
        </w:rPr>
      </w:pPr>
      <w:r>
        <w:rPr>
          <w:i/>
          <w:sz w:val="28"/>
          <w:szCs w:val="28"/>
          <w:lang w:val="nl-NL"/>
        </w:rPr>
        <w:t>- Giá gói thầu (Đã bao gồm thuế VAT): 509.256.000 đồng.</w:t>
      </w:r>
    </w:p>
    <w:p w14:paraId="26CC8F80" w14:textId="77777777" w:rsidR="00BE601C" w:rsidRDefault="00BE601C" w:rsidP="00BE601C">
      <w:pPr>
        <w:widowControl w:val="0"/>
        <w:ind w:firstLine="709"/>
        <w:rPr>
          <w:i/>
          <w:sz w:val="28"/>
          <w:szCs w:val="28"/>
          <w:lang w:val="nl-NL"/>
        </w:rPr>
      </w:pPr>
      <w:r>
        <w:rPr>
          <w:i/>
          <w:sz w:val="28"/>
          <w:szCs w:val="28"/>
          <w:lang w:val="nl-NL"/>
        </w:rPr>
        <w:t>- Nguồn vốn: Vốn chủ sở hữu của Tổng công ty Dầu Việt Nam – CTCP.</w:t>
      </w:r>
    </w:p>
    <w:p w14:paraId="10A9E3E4" w14:textId="77777777" w:rsidR="00BE601C" w:rsidRPr="00A369E2" w:rsidRDefault="00BE601C" w:rsidP="00BE601C">
      <w:pPr>
        <w:widowControl w:val="0"/>
        <w:ind w:firstLine="709"/>
        <w:rPr>
          <w:i/>
          <w:spacing w:val="2"/>
          <w:sz w:val="28"/>
          <w:szCs w:val="28"/>
          <w:lang w:val="nl-NL"/>
        </w:rPr>
      </w:pPr>
      <w:r>
        <w:rPr>
          <w:i/>
          <w:sz w:val="28"/>
          <w:szCs w:val="28"/>
          <w:lang w:val="nl-NL"/>
        </w:rPr>
        <w:t>- Địa điểm thực hiện: Lô F6 KCN Đình Vũ, P. Đông Hải, TP. Hải Phòng.</w:t>
      </w:r>
    </w:p>
    <w:bookmarkEnd w:id="0"/>
    <w:p w14:paraId="609852C1" w14:textId="77777777" w:rsidR="00BE601C" w:rsidRPr="00180F17" w:rsidRDefault="00BE601C" w:rsidP="00BE601C">
      <w:pPr>
        <w:widowControl w:val="0"/>
        <w:spacing w:before="120" w:after="120" w:line="264" w:lineRule="auto"/>
        <w:ind w:firstLine="709"/>
        <w:rPr>
          <w:b/>
          <w:i/>
          <w:sz w:val="28"/>
          <w:szCs w:val="28"/>
          <w:lang w:val="nl-NL"/>
        </w:rPr>
      </w:pPr>
      <w:r w:rsidRPr="00180F17">
        <w:rPr>
          <w:b/>
          <w:i/>
          <w:sz w:val="28"/>
          <w:szCs w:val="28"/>
          <w:lang w:val="nl-NL"/>
        </w:rPr>
        <w:t>1.2. Yêu cầu về kỹ thuật</w:t>
      </w:r>
      <w:r>
        <w:rPr>
          <w:b/>
          <w:i/>
          <w:sz w:val="28"/>
          <w:szCs w:val="28"/>
          <w:lang w:val="nl-NL"/>
        </w:rPr>
        <w:t xml:space="preserve"> chung.</w:t>
      </w:r>
    </w:p>
    <w:p w14:paraId="4EABA767" w14:textId="77777777" w:rsidR="00BE601C" w:rsidRDefault="00BE601C" w:rsidP="00BE601C">
      <w:pPr>
        <w:pStyle w:val="ListParagraph"/>
        <w:widowControl w:val="0"/>
        <w:numPr>
          <w:ilvl w:val="0"/>
          <w:numId w:val="3"/>
        </w:numPr>
        <w:tabs>
          <w:tab w:val="left" w:pos="1134"/>
          <w:tab w:val="left" w:pos="1276"/>
        </w:tabs>
        <w:spacing w:before="120" w:after="120" w:line="288" w:lineRule="auto"/>
        <w:ind w:left="0" w:firstLine="709"/>
        <w:contextualSpacing w:val="0"/>
        <w:rPr>
          <w:iCs/>
          <w:sz w:val="28"/>
          <w:szCs w:val="28"/>
          <w:lang w:val="nl-NL"/>
        </w:rPr>
      </w:pPr>
      <w:r w:rsidRPr="00E267A4">
        <w:rPr>
          <w:iCs/>
          <w:sz w:val="28"/>
          <w:szCs w:val="28"/>
          <w:lang w:val="nl-NL"/>
        </w:rPr>
        <w:t>Hàng hóa mới 100% nguyên đai, nguyên kiện</w:t>
      </w:r>
      <w:r>
        <w:rPr>
          <w:iCs/>
          <w:sz w:val="28"/>
          <w:szCs w:val="28"/>
          <w:lang w:val="nl-NL"/>
        </w:rPr>
        <w:t xml:space="preserve">, sản xuất năm 2025, </w:t>
      </w:r>
      <w:r w:rsidRPr="00E267A4">
        <w:rPr>
          <w:iCs/>
          <w:sz w:val="28"/>
          <w:szCs w:val="28"/>
          <w:lang w:val="nl-NL"/>
        </w:rPr>
        <w:t>có đầy đủ giấy tờ chứng minh nguồn gốc, xuất xứ, chất lượng hàng hóa, thông số kỹ thuật theo đúng yêu cầu của E-HSMT</w:t>
      </w:r>
      <w:r>
        <w:rPr>
          <w:iCs/>
          <w:sz w:val="28"/>
          <w:szCs w:val="28"/>
          <w:lang w:val="nl-NL"/>
        </w:rPr>
        <w:t>.</w:t>
      </w:r>
    </w:p>
    <w:p w14:paraId="2A420CD6" w14:textId="77777777" w:rsidR="00BE601C" w:rsidRPr="00E267A4" w:rsidRDefault="00BE601C" w:rsidP="00BE601C">
      <w:pPr>
        <w:pStyle w:val="ListParagraph"/>
        <w:widowControl w:val="0"/>
        <w:numPr>
          <w:ilvl w:val="0"/>
          <w:numId w:val="3"/>
        </w:numPr>
        <w:tabs>
          <w:tab w:val="left" w:pos="1134"/>
          <w:tab w:val="left" w:pos="1276"/>
        </w:tabs>
        <w:spacing w:before="120" w:after="120" w:line="288" w:lineRule="auto"/>
        <w:ind w:left="0" w:firstLine="709"/>
        <w:contextualSpacing w:val="0"/>
        <w:rPr>
          <w:iCs/>
          <w:sz w:val="28"/>
          <w:szCs w:val="28"/>
          <w:lang w:val="nl-NL"/>
        </w:rPr>
      </w:pPr>
      <w:r>
        <w:rPr>
          <w:iCs/>
          <w:sz w:val="28"/>
          <w:szCs w:val="28"/>
          <w:lang w:val="nl-NL"/>
        </w:rPr>
        <w:t>Khi giao hàng, toàn bộ thiết bị Lăng giá chữa cháy cố định phải được dán tem kiểm định phù hợp với giấy chứng nhận kiểm định phương tiện PCCC kèm theo.</w:t>
      </w:r>
    </w:p>
    <w:p w14:paraId="42F32F3B" w14:textId="77777777" w:rsidR="00BE601C" w:rsidRPr="0057386A" w:rsidRDefault="00BE601C" w:rsidP="00BE601C">
      <w:pPr>
        <w:pStyle w:val="ListParagraph"/>
        <w:widowControl w:val="0"/>
        <w:numPr>
          <w:ilvl w:val="0"/>
          <w:numId w:val="3"/>
        </w:numPr>
        <w:tabs>
          <w:tab w:val="left" w:pos="1134"/>
          <w:tab w:val="left" w:pos="1276"/>
        </w:tabs>
        <w:spacing w:before="120" w:after="120" w:line="288" w:lineRule="auto"/>
        <w:ind w:left="0" w:firstLine="709"/>
        <w:contextualSpacing w:val="0"/>
        <w:rPr>
          <w:iCs/>
          <w:sz w:val="28"/>
          <w:szCs w:val="28"/>
          <w:lang w:val="nl-NL"/>
        </w:rPr>
      </w:pPr>
      <w:r w:rsidRPr="0057386A">
        <w:rPr>
          <w:iCs/>
          <w:sz w:val="28"/>
          <w:szCs w:val="28"/>
          <w:lang w:val="nl-NL"/>
        </w:rPr>
        <w:t>Tài liệu bàn giao kèm theo hàng hoá:</w:t>
      </w:r>
      <w:r>
        <w:rPr>
          <w:iCs/>
          <w:sz w:val="28"/>
          <w:szCs w:val="28"/>
          <w:lang w:val="nl-NL"/>
        </w:rPr>
        <w:t xml:space="preserve"> </w:t>
      </w:r>
      <w:r w:rsidRPr="0057386A">
        <w:rPr>
          <w:iCs/>
          <w:sz w:val="28"/>
          <w:szCs w:val="28"/>
          <w:lang w:val="nl-NL"/>
        </w:rPr>
        <w:t>Chứng nhận xuất</w:t>
      </w:r>
      <w:r>
        <w:rPr>
          <w:iCs/>
          <w:sz w:val="28"/>
          <w:szCs w:val="28"/>
          <w:lang w:val="nl-NL"/>
        </w:rPr>
        <w:t xml:space="preserve"> xứ (Certificate of </w:t>
      </w:r>
      <w:r>
        <w:rPr>
          <w:iCs/>
          <w:sz w:val="28"/>
          <w:szCs w:val="28"/>
          <w:lang w:val="nl-NL"/>
        </w:rPr>
        <w:lastRenderedPageBreak/>
        <w:t>Orgin) do Phòng thương mại nước sản xuất phát hành; Chứng nhận chất lượng (Certificate of Quality) của hãng sản xuất; Vận đơn (Bill of Lading); Giấy chứng nhận kiểm định do cơ quan có thẩm quyền cấp cho phương tiện/lô phương tiện PCCC; tài liệu kỹ thuật bản tiếng nước ngoài và bản dịch theo tiếng Việt....</w:t>
      </w:r>
    </w:p>
    <w:p w14:paraId="0667BAD6" w14:textId="77777777" w:rsidR="00BE601C" w:rsidRPr="00D5104A" w:rsidRDefault="00BE601C" w:rsidP="00BE601C">
      <w:pPr>
        <w:widowControl w:val="0"/>
        <w:spacing w:before="120" w:after="120" w:line="264" w:lineRule="auto"/>
        <w:ind w:firstLine="709"/>
        <w:rPr>
          <w:b/>
          <w:bCs/>
          <w:i/>
          <w:spacing w:val="-2"/>
          <w:sz w:val="28"/>
          <w:szCs w:val="28"/>
          <w:lang w:val="nl-NL"/>
        </w:rPr>
      </w:pPr>
      <w:r w:rsidRPr="00D5104A">
        <w:rPr>
          <w:b/>
          <w:bCs/>
          <w:i/>
          <w:spacing w:val="-2"/>
          <w:sz w:val="28"/>
          <w:szCs w:val="28"/>
          <w:lang w:val="nl-NL"/>
        </w:rPr>
        <w:t xml:space="preserve"> 1.3. Yêu cầu kỹ thuật chi tiết.</w:t>
      </w:r>
    </w:p>
    <w:tbl>
      <w:tblPr>
        <w:tblW w:w="9923" w:type="dxa"/>
        <w:tblInd w:w="-859" w:type="dxa"/>
        <w:tblLayout w:type="fixed"/>
        <w:tblCellMar>
          <w:left w:w="30" w:type="dxa"/>
          <w:right w:w="30" w:type="dxa"/>
        </w:tblCellMar>
        <w:tblLook w:val="0000" w:firstRow="0" w:lastRow="0" w:firstColumn="0" w:lastColumn="0" w:noHBand="0" w:noVBand="0"/>
      </w:tblPr>
      <w:tblGrid>
        <w:gridCol w:w="851"/>
        <w:gridCol w:w="2928"/>
        <w:gridCol w:w="6144"/>
      </w:tblGrid>
      <w:tr w:rsidR="00BE601C" w:rsidRPr="001769D4" w14:paraId="1399B55B" w14:textId="77777777" w:rsidTr="00047C17">
        <w:trPr>
          <w:trHeight w:val="605"/>
        </w:trPr>
        <w:tc>
          <w:tcPr>
            <w:tcW w:w="851" w:type="dxa"/>
            <w:tcBorders>
              <w:top w:val="single" w:sz="6" w:space="0" w:color="auto"/>
              <w:left w:val="single" w:sz="6" w:space="0" w:color="auto"/>
              <w:bottom w:val="single" w:sz="6" w:space="0" w:color="auto"/>
              <w:right w:val="single" w:sz="6" w:space="0" w:color="auto"/>
            </w:tcBorders>
          </w:tcPr>
          <w:p w14:paraId="54775365" w14:textId="77777777" w:rsidR="00BE601C" w:rsidRPr="001769D4" w:rsidRDefault="00BE601C" w:rsidP="00047C17">
            <w:pPr>
              <w:spacing w:before="20" w:after="20"/>
              <w:jc w:val="center"/>
              <w:rPr>
                <w:b/>
                <w:sz w:val="26"/>
                <w:szCs w:val="26"/>
                <w:lang w:val="nl-NL"/>
              </w:rPr>
            </w:pPr>
            <w:r w:rsidRPr="001769D4">
              <w:rPr>
                <w:b/>
                <w:sz w:val="26"/>
                <w:szCs w:val="26"/>
                <w:lang w:val="nl-NL"/>
              </w:rPr>
              <w:t>TT</w:t>
            </w:r>
          </w:p>
        </w:tc>
        <w:tc>
          <w:tcPr>
            <w:tcW w:w="2928" w:type="dxa"/>
            <w:tcBorders>
              <w:top w:val="single" w:sz="6" w:space="0" w:color="auto"/>
              <w:left w:val="single" w:sz="6" w:space="0" w:color="auto"/>
              <w:bottom w:val="single" w:sz="6" w:space="0" w:color="auto"/>
              <w:right w:val="single" w:sz="6" w:space="0" w:color="auto"/>
            </w:tcBorders>
          </w:tcPr>
          <w:p w14:paraId="00C7379E" w14:textId="77777777" w:rsidR="00BE601C" w:rsidRPr="001769D4" w:rsidRDefault="00BE601C" w:rsidP="00047C17">
            <w:pPr>
              <w:spacing w:before="20" w:after="20"/>
              <w:ind w:left="71"/>
              <w:jc w:val="center"/>
              <w:rPr>
                <w:b/>
                <w:sz w:val="26"/>
                <w:szCs w:val="26"/>
                <w:lang w:val="nl-NL"/>
              </w:rPr>
            </w:pPr>
            <w:r w:rsidRPr="001769D4">
              <w:rPr>
                <w:b/>
                <w:sz w:val="26"/>
                <w:szCs w:val="26"/>
                <w:lang w:val="nl-NL"/>
              </w:rPr>
              <w:t>Tên hàng hóa</w:t>
            </w:r>
          </w:p>
        </w:tc>
        <w:tc>
          <w:tcPr>
            <w:tcW w:w="6144" w:type="dxa"/>
            <w:tcBorders>
              <w:top w:val="single" w:sz="6" w:space="0" w:color="auto"/>
              <w:left w:val="single" w:sz="6" w:space="0" w:color="auto"/>
              <w:bottom w:val="single" w:sz="4" w:space="0" w:color="auto"/>
              <w:right w:val="single" w:sz="6" w:space="0" w:color="auto"/>
            </w:tcBorders>
          </w:tcPr>
          <w:p w14:paraId="75AD476A" w14:textId="77777777" w:rsidR="00BE601C" w:rsidRPr="001769D4" w:rsidRDefault="00BE601C" w:rsidP="00047C17">
            <w:pPr>
              <w:spacing w:before="20" w:after="20"/>
              <w:jc w:val="center"/>
              <w:rPr>
                <w:b/>
                <w:sz w:val="26"/>
                <w:szCs w:val="26"/>
                <w:lang w:val="nl-NL"/>
              </w:rPr>
            </w:pPr>
            <w:r w:rsidRPr="001769D4">
              <w:rPr>
                <w:b/>
                <w:sz w:val="26"/>
                <w:szCs w:val="26"/>
                <w:lang w:val="nl-NL"/>
              </w:rPr>
              <w:t>Yêu cầu</w:t>
            </w:r>
            <w:r>
              <w:rPr>
                <w:b/>
                <w:sz w:val="26"/>
                <w:szCs w:val="26"/>
                <w:lang w:val="nl-NL"/>
              </w:rPr>
              <w:t xml:space="preserve"> kỹ thuật</w:t>
            </w:r>
          </w:p>
        </w:tc>
      </w:tr>
      <w:tr w:rsidR="00BE601C" w:rsidRPr="001769D4" w14:paraId="61417FA9" w14:textId="77777777" w:rsidTr="00047C17">
        <w:trPr>
          <w:trHeight w:val="339"/>
        </w:trPr>
        <w:tc>
          <w:tcPr>
            <w:tcW w:w="851" w:type="dxa"/>
            <w:vMerge w:val="restart"/>
            <w:tcBorders>
              <w:top w:val="single" w:sz="6" w:space="0" w:color="auto"/>
              <w:left w:val="single" w:sz="6" w:space="0" w:color="auto"/>
              <w:right w:val="single" w:sz="6" w:space="0" w:color="auto"/>
            </w:tcBorders>
          </w:tcPr>
          <w:p w14:paraId="0ACF2F37" w14:textId="77777777" w:rsidR="00BE601C" w:rsidRPr="008252C7" w:rsidRDefault="00BE601C" w:rsidP="00047C17">
            <w:pPr>
              <w:spacing w:before="20" w:after="20"/>
              <w:ind w:firstLine="107"/>
              <w:jc w:val="center"/>
              <w:rPr>
                <w:b/>
                <w:bCs/>
                <w:sz w:val="26"/>
                <w:szCs w:val="26"/>
                <w:lang w:val="nl-NL"/>
              </w:rPr>
            </w:pPr>
          </w:p>
        </w:tc>
        <w:tc>
          <w:tcPr>
            <w:tcW w:w="2928" w:type="dxa"/>
            <w:vMerge w:val="restart"/>
            <w:tcBorders>
              <w:top w:val="single" w:sz="6" w:space="0" w:color="auto"/>
              <w:left w:val="single" w:sz="6" w:space="0" w:color="auto"/>
              <w:right w:val="single" w:sz="6" w:space="0" w:color="auto"/>
            </w:tcBorders>
          </w:tcPr>
          <w:p w14:paraId="49530B93" w14:textId="77777777" w:rsidR="00BE601C" w:rsidRPr="008252C7" w:rsidRDefault="00BE601C" w:rsidP="00047C17">
            <w:pPr>
              <w:contextualSpacing/>
              <w:rPr>
                <w:b/>
                <w:bCs/>
                <w:sz w:val="26"/>
                <w:szCs w:val="26"/>
              </w:rPr>
            </w:pPr>
            <w:r>
              <w:rPr>
                <w:b/>
                <w:bCs/>
                <w:sz w:val="26"/>
                <w:szCs w:val="26"/>
              </w:rPr>
              <w:t>Súng phun dung dịch Foam chữa cháy</w:t>
            </w:r>
          </w:p>
        </w:tc>
        <w:tc>
          <w:tcPr>
            <w:tcW w:w="6144" w:type="dxa"/>
            <w:vMerge w:val="restart"/>
            <w:tcBorders>
              <w:top w:val="single" w:sz="4" w:space="0" w:color="auto"/>
              <w:left w:val="single" w:sz="6" w:space="0" w:color="auto"/>
              <w:bottom w:val="single" w:sz="6" w:space="0" w:color="auto"/>
              <w:right w:val="single" w:sz="6" w:space="0" w:color="auto"/>
            </w:tcBorders>
          </w:tcPr>
          <w:p w14:paraId="11EFE1E5" w14:textId="77777777" w:rsidR="00BE601C"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Lưu lượng phun</w:t>
            </w:r>
            <w:r>
              <w:rPr>
                <w:bCs/>
                <w:color w:val="000000"/>
                <w:sz w:val="28"/>
                <w:szCs w:val="28"/>
              </w:rPr>
              <w:t xml:space="preserve"> danh định</w:t>
            </w:r>
            <w:r w:rsidRPr="00640B00">
              <w:rPr>
                <w:bCs/>
                <w:color w:val="000000"/>
                <w:sz w:val="28"/>
                <w:szCs w:val="28"/>
              </w:rPr>
              <w:t>: 48 lít/giây</w:t>
            </w:r>
          </w:p>
          <w:p w14:paraId="3AB9B95A" w14:textId="77777777" w:rsidR="00BE601C"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Pr>
                <w:bCs/>
                <w:color w:val="000000"/>
                <w:sz w:val="28"/>
                <w:szCs w:val="28"/>
              </w:rPr>
              <w:t>Áp suất hoạt động: 6 ÷ 10 Bar</w:t>
            </w:r>
          </w:p>
          <w:p w14:paraId="02087D27"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Pr>
                <w:bCs/>
                <w:color w:val="000000"/>
                <w:sz w:val="28"/>
                <w:szCs w:val="28"/>
              </w:rPr>
              <w:t>Dải phun bọt tối đa:</w:t>
            </w:r>
          </w:p>
          <w:p w14:paraId="1AB5F146"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 xml:space="preserve">Dải phun nước </w:t>
            </w:r>
            <w:r>
              <w:rPr>
                <w:bCs/>
                <w:color w:val="000000"/>
                <w:sz w:val="28"/>
                <w:szCs w:val="28"/>
              </w:rPr>
              <w:t>ở 1 Mpa ≥ 60m</w:t>
            </w:r>
          </w:p>
          <w:p w14:paraId="50F5D56F"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 xml:space="preserve">Dải phun </w:t>
            </w:r>
            <w:r>
              <w:rPr>
                <w:bCs/>
                <w:color w:val="000000"/>
                <w:sz w:val="28"/>
                <w:szCs w:val="28"/>
              </w:rPr>
              <w:t>bọt ở 1 Mpa:</w:t>
            </w:r>
            <w:r w:rsidRPr="00640B00">
              <w:rPr>
                <w:bCs/>
                <w:color w:val="000000"/>
                <w:sz w:val="28"/>
                <w:szCs w:val="28"/>
              </w:rPr>
              <w:t xml:space="preserve"> </w:t>
            </w:r>
            <w:r>
              <w:rPr>
                <w:bCs/>
                <w:color w:val="000000"/>
                <w:sz w:val="28"/>
                <w:szCs w:val="28"/>
              </w:rPr>
              <w:t>≥</w:t>
            </w:r>
            <w:r w:rsidRPr="00640B00">
              <w:rPr>
                <w:bCs/>
                <w:color w:val="000000"/>
                <w:sz w:val="28"/>
                <w:szCs w:val="28"/>
              </w:rPr>
              <w:t>5</w:t>
            </w:r>
            <w:r>
              <w:rPr>
                <w:bCs/>
                <w:color w:val="000000"/>
                <w:sz w:val="28"/>
                <w:szCs w:val="28"/>
              </w:rPr>
              <w:t>5</w:t>
            </w:r>
            <w:r w:rsidRPr="00640B00">
              <w:rPr>
                <w:bCs/>
                <w:color w:val="000000"/>
                <w:sz w:val="28"/>
                <w:szCs w:val="28"/>
              </w:rPr>
              <w:t>m</w:t>
            </w:r>
          </w:p>
          <w:p w14:paraId="0209ED5A"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Đường kính cửa vào: 4 inch</w:t>
            </w:r>
            <w:r>
              <w:rPr>
                <w:bCs/>
                <w:color w:val="000000"/>
                <w:sz w:val="28"/>
                <w:szCs w:val="28"/>
              </w:rPr>
              <w:t xml:space="preserve"> (DN100), kiểu mặt bích BS4504</w:t>
            </w:r>
          </w:p>
          <w:p w14:paraId="51E349FF"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 xml:space="preserve">Đường kính họng phun: 2,5 </w:t>
            </w:r>
            <w:proofErr w:type="gramStart"/>
            <w:r w:rsidRPr="00640B00">
              <w:rPr>
                <w:bCs/>
                <w:color w:val="000000"/>
                <w:sz w:val="28"/>
                <w:szCs w:val="28"/>
              </w:rPr>
              <w:t>inch</w:t>
            </w:r>
            <w:proofErr w:type="gramEnd"/>
            <w:r w:rsidRPr="00640B00">
              <w:rPr>
                <w:bCs/>
                <w:color w:val="000000"/>
                <w:sz w:val="28"/>
                <w:szCs w:val="28"/>
              </w:rPr>
              <w:t xml:space="preserve"> </w:t>
            </w:r>
            <w:r>
              <w:rPr>
                <w:bCs/>
                <w:color w:val="000000"/>
                <w:sz w:val="28"/>
                <w:szCs w:val="28"/>
              </w:rPr>
              <w:t>(DN65)</w:t>
            </w:r>
          </w:p>
          <w:p w14:paraId="179A8D3D"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Góc quay ngang: 360 độ</w:t>
            </w:r>
          </w:p>
          <w:p w14:paraId="1F292039"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 xml:space="preserve">Góc </w:t>
            </w:r>
            <w:r>
              <w:rPr>
                <w:bCs/>
                <w:color w:val="000000"/>
                <w:sz w:val="28"/>
                <w:szCs w:val="28"/>
              </w:rPr>
              <w:t>nâng theo phương thẳng đứng: từ -</w:t>
            </w:r>
            <w:r w:rsidRPr="00640B00">
              <w:rPr>
                <w:bCs/>
                <w:color w:val="000000"/>
                <w:sz w:val="28"/>
                <w:szCs w:val="28"/>
              </w:rPr>
              <w:t>45</w:t>
            </w:r>
            <w:r>
              <w:rPr>
                <w:bCs/>
                <w:color w:val="000000"/>
                <w:sz w:val="28"/>
                <w:szCs w:val="28"/>
              </w:rPr>
              <w:t xml:space="preserve"> độ</w:t>
            </w:r>
            <w:r w:rsidRPr="00640B00">
              <w:rPr>
                <w:bCs/>
                <w:color w:val="000000"/>
                <w:sz w:val="28"/>
                <w:szCs w:val="28"/>
              </w:rPr>
              <w:t xml:space="preserve"> đến </w:t>
            </w:r>
            <w:r>
              <w:rPr>
                <w:bCs/>
                <w:color w:val="000000"/>
                <w:sz w:val="28"/>
                <w:szCs w:val="28"/>
              </w:rPr>
              <w:t>+</w:t>
            </w:r>
            <w:r w:rsidRPr="00640B00">
              <w:rPr>
                <w:bCs/>
                <w:color w:val="000000"/>
                <w:sz w:val="28"/>
                <w:szCs w:val="28"/>
              </w:rPr>
              <w:t>90 độ</w:t>
            </w:r>
            <w:r w:rsidRPr="00640B00">
              <w:rPr>
                <w:bCs/>
                <w:color w:val="000000"/>
                <w:sz w:val="28"/>
                <w:szCs w:val="28"/>
              </w:rPr>
              <w:br w:type="page"/>
              <w:t xml:space="preserve"> </w:t>
            </w:r>
          </w:p>
          <w:p w14:paraId="07C5F3FE"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Vật liệu chế tạo: Hợp kim nhôm</w:t>
            </w:r>
            <w:r>
              <w:rPr>
                <w:bCs/>
                <w:color w:val="000000"/>
                <w:sz w:val="28"/>
                <w:szCs w:val="28"/>
              </w:rPr>
              <w:t xml:space="preserve"> nhẹ, sơn epoxy màu đỏ lửa</w:t>
            </w:r>
          </w:p>
          <w:p w14:paraId="502DFD1D"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sidRPr="00640B00">
              <w:rPr>
                <w:bCs/>
                <w:color w:val="000000"/>
                <w:sz w:val="28"/>
                <w:szCs w:val="28"/>
              </w:rPr>
              <w:t>Tay cầm điều khiển bằng thép không gỉ</w:t>
            </w:r>
            <w:r>
              <w:rPr>
                <w:bCs/>
                <w:color w:val="000000"/>
                <w:sz w:val="28"/>
                <w:szCs w:val="28"/>
              </w:rPr>
              <w:t xml:space="preserve"> có bọc cao su chống trượt</w:t>
            </w:r>
          </w:p>
          <w:p w14:paraId="0F5410F6"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r>
              <w:rPr>
                <w:bCs/>
                <w:color w:val="000000"/>
                <w:sz w:val="28"/>
                <w:szCs w:val="28"/>
              </w:rPr>
              <w:t>Đầu phun tích hợp bộ định hình tia nước</w:t>
            </w:r>
          </w:p>
          <w:p w14:paraId="271B7586" w14:textId="77777777" w:rsidR="00BE601C" w:rsidRPr="002E1670" w:rsidRDefault="00BE601C" w:rsidP="00BE601C">
            <w:pPr>
              <w:pStyle w:val="ListParagraph"/>
              <w:numPr>
                <w:ilvl w:val="0"/>
                <w:numId w:val="2"/>
              </w:numPr>
              <w:spacing w:before="120" w:after="120"/>
              <w:ind w:left="324" w:hanging="284"/>
              <w:contextualSpacing w:val="0"/>
              <w:jc w:val="left"/>
              <w:rPr>
                <w:b/>
                <w:color w:val="000000"/>
                <w:sz w:val="28"/>
                <w:szCs w:val="28"/>
              </w:rPr>
            </w:pPr>
            <w:r w:rsidRPr="00DA41E4">
              <w:rPr>
                <w:bCs/>
                <w:color w:val="000000"/>
                <w:sz w:val="28"/>
                <w:szCs w:val="28"/>
              </w:rPr>
              <w:t xml:space="preserve">Có đồng hồ đo </w:t>
            </w:r>
            <w:r>
              <w:rPr>
                <w:bCs/>
                <w:color w:val="000000"/>
                <w:sz w:val="28"/>
                <w:szCs w:val="28"/>
              </w:rPr>
              <w:t>áp suất trên thân lăng phun; Có khoá định vị để cố định hướng họng phun.</w:t>
            </w:r>
          </w:p>
          <w:p w14:paraId="63786C72" w14:textId="77777777" w:rsidR="00BE601C" w:rsidRPr="00D23555" w:rsidRDefault="00BE601C" w:rsidP="00BE601C">
            <w:pPr>
              <w:pStyle w:val="ListParagraph"/>
              <w:numPr>
                <w:ilvl w:val="0"/>
                <w:numId w:val="2"/>
              </w:numPr>
              <w:spacing w:before="120" w:after="120"/>
              <w:ind w:left="324" w:hanging="284"/>
              <w:contextualSpacing w:val="0"/>
              <w:jc w:val="left"/>
              <w:rPr>
                <w:b/>
                <w:color w:val="000000"/>
                <w:sz w:val="28"/>
                <w:szCs w:val="28"/>
              </w:rPr>
            </w:pPr>
            <w:r>
              <w:rPr>
                <w:bCs/>
                <w:color w:val="000000"/>
                <w:sz w:val="28"/>
                <w:szCs w:val="28"/>
              </w:rPr>
              <w:t>Ống hút foam: đường kính 1inch (DN25) được đấu nối với bộ tự hút (Self-Eduction)</w:t>
            </w:r>
          </w:p>
          <w:p w14:paraId="1DE5384B" w14:textId="77777777" w:rsidR="00BE601C" w:rsidRPr="00D23555" w:rsidRDefault="00BE601C" w:rsidP="00BE601C">
            <w:pPr>
              <w:pStyle w:val="ListParagraph"/>
              <w:numPr>
                <w:ilvl w:val="0"/>
                <w:numId w:val="2"/>
              </w:numPr>
              <w:spacing w:before="120" w:after="120"/>
              <w:ind w:left="324" w:hanging="284"/>
              <w:contextualSpacing w:val="0"/>
              <w:jc w:val="left"/>
              <w:rPr>
                <w:b/>
                <w:color w:val="000000"/>
                <w:sz w:val="28"/>
                <w:szCs w:val="28"/>
              </w:rPr>
            </w:pPr>
            <w:r>
              <w:rPr>
                <w:bCs/>
                <w:color w:val="000000"/>
                <w:sz w:val="28"/>
                <w:szCs w:val="28"/>
              </w:rPr>
              <w:t>Cân nặng ≤ 17Kg</w:t>
            </w:r>
          </w:p>
          <w:p w14:paraId="7DAD57C7" w14:textId="77777777" w:rsidR="00BE601C" w:rsidRPr="00270F36" w:rsidRDefault="00BE601C" w:rsidP="00BE601C">
            <w:pPr>
              <w:pStyle w:val="ListParagraph"/>
              <w:numPr>
                <w:ilvl w:val="0"/>
                <w:numId w:val="2"/>
              </w:numPr>
              <w:ind w:left="297" w:hanging="284"/>
              <w:jc w:val="left"/>
              <w:rPr>
                <w:bCs/>
                <w:sz w:val="26"/>
                <w:szCs w:val="26"/>
              </w:rPr>
            </w:pPr>
            <w:r>
              <w:rPr>
                <w:bCs/>
                <w:color w:val="000000"/>
                <w:sz w:val="28"/>
                <w:szCs w:val="28"/>
              </w:rPr>
              <w:t>Có giấy chứng nhận kiểm định</w:t>
            </w:r>
            <w:r w:rsidRPr="00270F36">
              <w:rPr>
                <w:bCs/>
                <w:color w:val="000000"/>
                <w:sz w:val="28"/>
                <w:szCs w:val="28"/>
              </w:rPr>
              <w:t xml:space="preserve"> thiết bị PCCC</w:t>
            </w:r>
          </w:p>
          <w:p w14:paraId="7E0D78E2" w14:textId="77777777" w:rsidR="00BE601C" w:rsidRPr="00271279" w:rsidRDefault="00BE601C" w:rsidP="00BE601C">
            <w:pPr>
              <w:pStyle w:val="ListParagraph"/>
              <w:numPr>
                <w:ilvl w:val="0"/>
                <w:numId w:val="1"/>
              </w:numPr>
              <w:ind w:left="297" w:hanging="297"/>
              <w:rPr>
                <w:bCs/>
                <w:sz w:val="26"/>
                <w:szCs w:val="26"/>
              </w:rPr>
            </w:pPr>
            <w:r w:rsidRPr="00271279">
              <w:rPr>
                <w:sz w:val="26"/>
                <w:szCs w:val="26"/>
              </w:rPr>
              <w:t>Hàng mới 100% chưa qua sử dụng</w:t>
            </w:r>
            <w:r>
              <w:rPr>
                <w:sz w:val="26"/>
                <w:szCs w:val="26"/>
              </w:rPr>
              <w:t>.</w:t>
            </w:r>
          </w:p>
          <w:p w14:paraId="65E35F39" w14:textId="77777777" w:rsidR="00BE601C" w:rsidRPr="00E910E3" w:rsidRDefault="00BE601C" w:rsidP="00BE601C">
            <w:pPr>
              <w:pStyle w:val="ListParagraph"/>
              <w:numPr>
                <w:ilvl w:val="0"/>
                <w:numId w:val="1"/>
              </w:numPr>
              <w:ind w:left="297" w:hanging="297"/>
              <w:rPr>
                <w:bCs/>
                <w:sz w:val="26"/>
                <w:szCs w:val="26"/>
              </w:rPr>
            </w:pPr>
            <w:r w:rsidRPr="00271279">
              <w:rPr>
                <w:sz w:val="26"/>
                <w:szCs w:val="26"/>
              </w:rPr>
              <w:t>Chứng chỉ: CO, CQ, Test Report</w:t>
            </w:r>
            <w:r>
              <w:rPr>
                <w:sz w:val="26"/>
                <w:szCs w:val="26"/>
              </w:rPr>
              <w:t>.</w:t>
            </w:r>
          </w:p>
          <w:p w14:paraId="5EC907EA" w14:textId="77777777" w:rsidR="00BE601C" w:rsidRPr="00270F36" w:rsidRDefault="00BE601C" w:rsidP="00BE601C">
            <w:pPr>
              <w:pStyle w:val="ListParagraph"/>
              <w:numPr>
                <w:ilvl w:val="0"/>
                <w:numId w:val="1"/>
              </w:numPr>
              <w:ind w:left="297" w:hanging="297"/>
              <w:rPr>
                <w:bCs/>
                <w:sz w:val="26"/>
                <w:szCs w:val="26"/>
              </w:rPr>
            </w:pPr>
            <w:r w:rsidRPr="00E910E3">
              <w:rPr>
                <w:sz w:val="26"/>
                <w:szCs w:val="26"/>
                <w:lang w:val="nl-NL"/>
              </w:rPr>
              <w:t>Bảo hành các thiết bị: 12 tháng.</w:t>
            </w:r>
          </w:p>
        </w:tc>
      </w:tr>
      <w:tr w:rsidR="00BE601C" w:rsidRPr="001769D4" w14:paraId="411E0932" w14:textId="77777777" w:rsidTr="00047C17">
        <w:trPr>
          <w:trHeight w:val="339"/>
        </w:trPr>
        <w:tc>
          <w:tcPr>
            <w:tcW w:w="851" w:type="dxa"/>
            <w:vMerge/>
            <w:tcBorders>
              <w:top w:val="single" w:sz="6" w:space="0" w:color="auto"/>
              <w:left w:val="single" w:sz="6" w:space="0" w:color="auto"/>
              <w:right w:val="single" w:sz="6" w:space="0" w:color="auto"/>
            </w:tcBorders>
          </w:tcPr>
          <w:p w14:paraId="28CB6690" w14:textId="77777777" w:rsidR="00BE601C" w:rsidRPr="008252C7" w:rsidRDefault="00BE601C" w:rsidP="00047C17">
            <w:pPr>
              <w:spacing w:before="20" w:after="20"/>
              <w:ind w:firstLine="107"/>
              <w:jc w:val="center"/>
              <w:rPr>
                <w:b/>
                <w:bCs/>
                <w:sz w:val="26"/>
                <w:szCs w:val="26"/>
                <w:lang w:val="nl-NL"/>
              </w:rPr>
            </w:pPr>
          </w:p>
        </w:tc>
        <w:tc>
          <w:tcPr>
            <w:tcW w:w="2928" w:type="dxa"/>
            <w:vMerge/>
            <w:tcBorders>
              <w:top w:val="single" w:sz="6" w:space="0" w:color="auto"/>
              <w:left w:val="single" w:sz="6" w:space="0" w:color="auto"/>
              <w:right w:val="single" w:sz="6" w:space="0" w:color="auto"/>
            </w:tcBorders>
          </w:tcPr>
          <w:p w14:paraId="1E2A78EF" w14:textId="77777777" w:rsidR="00BE601C" w:rsidRDefault="00BE601C" w:rsidP="00047C17">
            <w:pPr>
              <w:contextualSpacing/>
              <w:rPr>
                <w:b/>
                <w:bCs/>
                <w:sz w:val="26"/>
                <w:szCs w:val="26"/>
              </w:rPr>
            </w:pPr>
          </w:p>
        </w:tc>
        <w:tc>
          <w:tcPr>
            <w:tcW w:w="6144" w:type="dxa"/>
            <w:vMerge/>
            <w:tcBorders>
              <w:top w:val="single" w:sz="4" w:space="0" w:color="auto"/>
              <w:left w:val="single" w:sz="6" w:space="0" w:color="auto"/>
              <w:bottom w:val="single" w:sz="6" w:space="0" w:color="auto"/>
              <w:right w:val="single" w:sz="6" w:space="0" w:color="auto"/>
            </w:tcBorders>
          </w:tcPr>
          <w:p w14:paraId="5E6E1B66"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p>
        </w:tc>
      </w:tr>
      <w:tr w:rsidR="00BE601C" w:rsidRPr="001769D4" w14:paraId="0A9F917E" w14:textId="77777777" w:rsidTr="00047C17">
        <w:trPr>
          <w:trHeight w:val="339"/>
        </w:trPr>
        <w:tc>
          <w:tcPr>
            <w:tcW w:w="851" w:type="dxa"/>
            <w:vMerge/>
            <w:tcBorders>
              <w:top w:val="single" w:sz="6" w:space="0" w:color="auto"/>
              <w:left w:val="single" w:sz="6" w:space="0" w:color="auto"/>
              <w:right w:val="single" w:sz="6" w:space="0" w:color="auto"/>
            </w:tcBorders>
          </w:tcPr>
          <w:p w14:paraId="3853A7A5" w14:textId="77777777" w:rsidR="00BE601C" w:rsidRPr="008252C7" w:rsidRDefault="00BE601C" w:rsidP="00047C17">
            <w:pPr>
              <w:spacing w:before="20" w:after="20"/>
              <w:ind w:firstLine="107"/>
              <w:jc w:val="center"/>
              <w:rPr>
                <w:b/>
                <w:bCs/>
                <w:sz w:val="26"/>
                <w:szCs w:val="26"/>
                <w:lang w:val="nl-NL"/>
              </w:rPr>
            </w:pPr>
          </w:p>
        </w:tc>
        <w:tc>
          <w:tcPr>
            <w:tcW w:w="2928" w:type="dxa"/>
            <w:vMerge/>
            <w:tcBorders>
              <w:top w:val="single" w:sz="6" w:space="0" w:color="auto"/>
              <w:left w:val="single" w:sz="6" w:space="0" w:color="auto"/>
              <w:right w:val="single" w:sz="6" w:space="0" w:color="auto"/>
            </w:tcBorders>
          </w:tcPr>
          <w:p w14:paraId="7C532EAB" w14:textId="77777777" w:rsidR="00BE601C" w:rsidRDefault="00BE601C" w:rsidP="00047C17">
            <w:pPr>
              <w:contextualSpacing/>
              <w:rPr>
                <w:b/>
                <w:bCs/>
                <w:sz w:val="26"/>
                <w:szCs w:val="26"/>
              </w:rPr>
            </w:pPr>
          </w:p>
        </w:tc>
        <w:tc>
          <w:tcPr>
            <w:tcW w:w="6144" w:type="dxa"/>
            <w:vMerge/>
            <w:tcBorders>
              <w:top w:val="single" w:sz="4" w:space="0" w:color="auto"/>
              <w:left w:val="single" w:sz="6" w:space="0" w:color="auto"/>
              <w:bottom w:val="single" w:sz="6" w:space="0" w:color="auto"/>
              <w:right w:val="single" w:sz="6" w:space="0" w:color="auto"/>
            </w:tcBorders>
          </w:tcPr>
          <w:p w14:paraId="1E324C23" w14:textId="77777777" w:rsidR="00BE601C" w:rsidRPr="00640B00" w:rsidRDefault="00BE601C" w:rsidP="00BE601C">
            <w:pPr>
              <w:pStyle w:val="ListParagraph"/>
              <w:numPr>
                <w:ilvl w:val="0"/>
                <w:numId w:val="2"/>
              </w:numPr>
              <w:autoSpaceDE w:val="0"/>
              <w:autoSpaceDN w:val="0"/>
              <w:adjustRightInd w:val="0"/>
              <w:spacing w:before="120" w:after="120"/>
              <w:ind w:left="324" w:hanging="284"/>
              <w:contextualSpacing w:val="0"/>
              <w:jc w:val="left"/>
              <w:rPr>
                <w:bCs/>
                <w:color w:val="000000"/>
                <w:sz w:val="28"/>
                <w:szCs w:val="28"/>
              </w:rPr>
            </w:pPr>
          </w:p>
        </w:tc>
      </w:tr>
      <w:tr w:rsidR="00BE601C" w:rsidRPr="0012330A" w14:paraId="19121FF1" w14:textId="77777777" w:rsidTr="00047C17">
        <w:trPr>
          <w:trHeight w:val="299"/>
        </w:trPr>
        <w:tc>
          <w:tcPr>
            <w:tcW w:w="851" w:type="dxa"/>
            <w:vMerge/>
            <w:tcBorders>
              <w:left w:val="single" w:sz="6" w:space="0" w:color="auto"/>
              <w:bottom w:val="single" w:sz="6" w:space="0" w:color="auto"/>
              <w:right w:val="single" w:sz="6" w:space="0" w:color="auto"/>
            </w:tcBorders>
          </w:tcPr>
          <w:p w14:paraId="269D39C9" w14:textId="77777777" w:rsidR="00BE601C" w:rsidRPr="00211F77" w:rsidRDefault="00BE601C" w:rsidP="00047C17">
            <w:pPr>
              <w:jc w:val="center"/>
              <w:rPr>
                <w:sz w:val="26"/>
                <w:szCs w:val="26"/>
                <w:lang w:val="nl-NL"/>
              </w:rPr>
            </w:pPr>
          </w:p>
        </w:tc>
        <w:tc>
          <w:tcPr>
            <w:tcW w:w="2928" w:type="dxa"/>
            <w:vMerge/>
            <w:tcBorders>
              <w:left w:val="single" w:sz="6" w:space="0" w:color="auto"/>
              <w:bottom w:val="single" w:sz="6" w:space="0" w:color="auto"/>
              <w:right w:val="single" w:sz="6" w:space="0" w:color="auto"/>
            </w:tcBorders>
          </w:tcPr>
          <w:p w14:paraId="78BE9188" w14:textId="77777777" w:rsidR="00BE601C" w:rsidRPr="00394CA1" w:rsidRDefault="00BE601C" w:rsidP="00047C17">
            <w:pPr>
              <w:ind w:left="71"/>
              <w:rPr>
                <w:color w:val="000000"/>
                <w:sz w:val="26"/>
                <w:szCs w:val="26"/>
                <w:lang w:val="nl-NL"/>
              </w:rPr>
            </w:pPr>
          </w:p>
        </w:tc>
        <w:tc>
          <w:tcPr>
            <w:tcW w:w="6144" w:type="dxa"/>
            <w:vMerge/>
            <w:tcBorders>
              <w:top w:val="single" w:sz="6" w:space="0" w:color="auto"/>
              <w:left w:val="single" w:sz="6" w:space="0" w:color="auto"/>
              <w:bottom w:val="single" w:sz="6" w:space="0" w:color="auto"/>
              <w:right w:val="single" w:sz="6" w:space="0" w:color="auto"/>
            </w:tcBorders>
          </w:tcPr>
          <w:p w14:paraId="41E2137B" w14:textId="77777777" w:rsidR="00BE601C" w:rsidRPr="00E910E3" w:rsidRDefault="00BE601C" w:rsidP="00BE601C">
            <w:pPr>
              <w:pStyle w:val="ListParagraph"/>
              <w:numPr>
                <w:ilvl w:val="0"/>
                <w:numId w:val="1"/>
              </w:numPr>
              <w:ind w:left="297" w:hanging="297"/>
              <w:rPr>
                <w:bCs/>
                <w:sz w:val="26"/>
                <w:szCs w:val="26"/>
              </w:rPr>
            </w:pPr>
          </w:p>
        </w:tc>
      </w:tr>
    </w:tbl>
    <w:p w14:paraId="67601440" w14:textId="77777777" w:rsidR="00BE601C" w:rsidRPr="00180F17" w:rsidRDefault="00BE601C" w:rsidP="00BE601C">
      <w:pPr>
        <w:ind w:firstLine="709"/>
        <w:rPr>
          <w:i/>
          <w:iCs/>
          <w:sz w:val="20"/>
        </w:rPr>
      </w:pPr>
    </w:p>
    <w:p w14:paraId="6BF5C1D3" w14:textId="77777777" w:rsidR="00BE601C" w:rsidRPr="00D5104A" w:rsidRDefault="00BE601C" w:rsidP="00BE601C">
      <w:pPr>
        <w:spacing w:before="120" w:after="120" w:line="264" w:lineRule="auto"/>
        <w:ind w:firstLine="709"/>
        <w:rPr>
          <w:b/>
          <w:i/>
          <w:sz w:val="28"/>
          <w:szCs w:val="28"/>
          <w:lang w:val="nl-NL"/>
        </w:rPr>
      </w:pPr>
      <w:r w:rsidRPr="00180F17">
        <w:rPr>
          <w:b/>
          <w:i/>
          <w:sz w:val="28"/>
          <w:szCs w:val="28"/>
          <w:lang w:val="nl-NL"/>
        </w:rPr>
        <w:lastRenderedPageBreak/>
        <w:t>1.3. Các yêu cầu khác</w:t>
      </w:r>
      <w:r>
        <w:rPr>
          <w:b/>
          <w:i/>
          <w:sz w:val="28"/>
          <w:szCs w:val="28"/>
          <w:lang w:val="nl-NL"/>
        </w:rPr>
        <w:t>: Không có</w:t>
      </w:r>
    </w:p>
    <w:p w14:paraId="4E19AF0B" w14:textId="77777777" w:rsidR="00BE601C" w:rsidRPr="00180F17" w:rsidRDefault="00BE601C" w:rsidP="00BE601C">
      <w:pPr>
        <w:pStyle w:val="SectionVIHeader"/>
        <w:spacing w:after="120" w:line="264" w:lineRule="auto"/>
        <w:ind w:firstLine="709"/>
        <w:jc w:val="left"/>
        <w:rPr>
          <w:sz w:val="28"/>
          <w:szCs w:val="28"/>
          <w:lang w:val="nl-NL"/>
        </w:rPr>
      </w:pPr>
      <w:r w:rsidRPr="00180F17">
        <w:rPr>
          <w:sz w:val="28"/>
          <w:szCs w:val="28"/>
          <w:lang w:val="nl-NL"/>
        </w:rPr>
        <w:t>Mục 2. Bản vẽ</w:t>
      </w:r>
    </w:p>
    <w:p w14:paraId="4A5D0858" w14:textId="77777777" w:rsidR="00BE601C" w:rsidRPr="00180F17" w:rsidRDefault="00BE601C" w:rsidP="00BE601C">
      <w:pPr>
        <w:spacing w:before="120" w:after="120" w:line="264" w:lineRule="auto"/>
        <w:ind w:firstLine="709"/>
        <w:rPr>
          <w:i/>
          <w:iCs/>
          <w:spacing w:val="-4"/>
          <w:sz w:val="28"/>
          <w:szCs w:val="28"/>
          <w:lang w:val="nl-NL"/>
        </w:rPr>
      </w:pPr>
      <w:r w:rsidRPr="00180F17">
        <w:rPr>
          <w:spacing w:val="-4"/>
          <w:sz w:val="28"/>
          <w:szCs w:val="28"/>
          <w:lang w:val="nl-NL"/>
        </w:rPr>
        <w:t xml:space="preserve">E-HSMT này gồm có các bản vẽ trong danh mục sau đây </w:t>
      </w:r>
      <w:r w:rsidRPr="00180F17">
        <w:rPr>
          <w:i/>
          <w:sz w:val="28"/>
          <w:szCs w:val="28"/>
          <w:lang w:val="nl-NL"/>
        </w:rPr>
        <w:t>[trường hợp không có bản vẽ kèm theo thì phải ghi rõ “</w:t>
      </w:r>
      <w:r w:rsidRPr="00180F17">
        <w:rPr>
          <w:sz w:val="28"/>
          <w:szCs w:val="28"/>
          <w:lang w:val="nl-NL"/>
        </w:rPr>
        <w:t>Không có bản vẽ</w:t>
      </w:r>
      <w:r w:rsidRPr="00180F17">
        <w:rPr>
          <w:i/>
          <w:sz w:val="28"/>
          <w:szCs w:val="28"/>
          <w:lang w:val="nl-NL"/>
        </w:rPr>
        <w:t>”]:</w:t>
      </w:r>
      <w:r w:rsidRPr="00180F17">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BE601C" w:rsidRPr="00180F17" w14:paraId="5CF86C34" w14:textId="77777777" w:rsidTr="00047C17">
        <w:trPr>
          <w:trHeight w:val="585"/>
        </w:trPr>
        <w:tc>
          <w:tcPr>
            <w:tcW w:w="9356" w:type="dxa"/>
            <w:gridSpan w:val="3"/>
            <w:vAlign w:val="center"/>
          </w:tcPr>
          <w:p w14:paraId="6E15FF84" w14:textId="77777777" w:rsidR="00BE601C" w:rsidRPr="00180F17" w:rsidRDefault="00BE601C" w:rsidP="00047C17">
            <w:pPr>
              <w:jc w:val="center"/>
              <w:rPr>
                <w:b/>
              </w:rPr>
            </w:pPr>
            <w:r w:rsidRPr="00180F17">
              <w:rPr>
                <w:b/>
              </w:rPr>
              <w:t>Danh mục bản vẽ</w:t>
            </w:r>
          </w:p>
        </w:tc>
      </w:tr>
      <w:tr w:rsidR="00BE601C" w:rsidRPr="00180F17" w14:paraId="1358F9CD" w14:textId="77777777" w:rsidTr="00047C17">
        <w:trPr>
          <w:trHeight w:val="600"/>
        </w:trPr>
        <w:tc>
          <w:tcPr>
            <w:tcW w:w="2070" w:type="dxa"/>
            <w:vAlign w:val="center"/>
          </w:tcPr>
          <w:p w14:paraId="415BED78" w14:textId="77777777" w:rsidR="00BE601C" w:rsidRPr="00180F17" w:rsidRDefault="00BE601C" w:rsidP="00047C17">
            <w:pPr>
              <w:pStyle w:val="titulo"/>
              <w:spacing w:after="0"/>
              <w:rPr>
                <w:rFonts w:ascii="Times New Roman" w:hAnsi="Times New Roman"/>
              </w:rPr>
            </w:pPr>
            <w:r w:rsidRPr="00180F17">
              <w:rPr>
                <w:rFonts w:ascii="Times New Roman" w:hAnsi="Times New Roman"/>
              </w:rPr>
              <w:t>Bản vẽ số</w:t>
            </w:r>
          </w:p>
        </w:tc>
        <w:tc>
          <w:tcPr>
            <w:tcW w:w="3742" w:type="dxa"/>
            <w:vAlign w:val="center"/>
          </w:tcPr>
          <w:p w14:paraId="7EB1E19E" w14:textId="77777777" w:rsidR="00BE601C" w:rsidRPr="00180F17" w:rsidRDefault="00BE601C" w:rsidP="00047C17">
            <w:pPr>
              <w:jc w:val="center"/>
              <w:rPr>
                <w:b/>
              </w:rPr>
            </w:pPr>
            <w:r w:rsidRPr="00180F17">
              <w:rPr>
                <w:b/>
              </w:rPr>
              <w:t>Tên bản vẽ</w:t>
            </w:r>
          </w:p>
        </w:tc>
        <w:tc>
          <w:tcPr>
            <w:tcW w:w="3544" w:type="dxa"/>
            <w:vAlign w:val="center"/>
          </w:tcPr>
          <w:p w14:paraId="0929601D" w14:textId="77777777" w:rsidR="00BE601C" w:rsidRPr="00180F17" w:rsidRDefault="00BE601C" w:rsidP="00047C17">
            <w:pPr>
              <w:jc w:val="center"/>
              <w:rPr>
                <w:b/>
              </w:rPr>
            </w:pPr>
            <w:r w:rsidRPr="00180F17">
              <w:rPr>
                <w:b/>
              </w:rPr>
              <w:t>Mục đích sử dụng</w:t>
            </w:r>
          </w:p>
        </w:tc>
      </w:tr>
      <w:tr w:rsidR="00BE601C" w:rsidRPr="00180F17" w14:paraId="405CFE0B" w14:textId="77777777" w:rsidTr="00047C17">
        <w:trPr>
          <w:trHeight w:val="478"/>
        </w:trPr>
        <w:tc>
          <w:tcPr>
            <w:tcW w:w="2070" w:type="dxa"/>
            <w:vAlign w:val="center"/>
          </w:tcPr>
          <w:p w14:paraId="5773E8F7" w14:textId="77777777" w:rsidR="00BE601C" w:rsidRPr="00180F17" w:rsidRDefault="00BE601C" w:rsidP="00047C17"/>
        </w:tc>
        <w:tc>
          <w:tcPr>
            <w:tcW w:w="3742" w:type="dxa"/>
            <w:vAlign w:val="center"/>
          </w:tcPr>
          <w:p w14:paraId="14BD2E1D" w14:textId="77777777" w:rsidR="00BE601C" w:rsidRPr="00180F17" w:rsidRDefault="00BE601C" w:rsidP="00047C17"/>
        </w:tc>
        <w:tc>
          <w:tcPr>
            <w:tcW w:w="3544" w:type="dxa"/>
            <w:vAlign w:val="center"/>
          </w:tcPr>
          <w:p w14:paraId="389ED4F8" w14:textId="77777777" w:rsidR="00BE601C" w:rsidRPr="00180F17" w:rsidRDefault="00BE601C" w:rsidP="00047C17"/>
        </w:tc>
      </w:tr>
      <w:tr w:rsidR="00BE601C" w:rsidRPr="00180F17" w14:paraId="0CE9E51D" w14:textId="77777777" w:rsidTr="00047C17">
        <w:trPr>
          <w:trHeight w:val="542"/>
        </w:trPr>
        <w:tc>
          <w:tcPr>
            <w:tcW w:w="2070" w:type="dxa"/>
            <w:vAlign w:val="center"/>
          </w:tcPr>
          <w:p w14:paraId="4A8ABE91" w14:textId="77777777" w:rsidR="00BE601C" w:rsidRPr="00180F17" w:rsidRDefault="00BE601C" w:rsidP="00047C17"/>
        </w:tc>
        <w:tc>
          <w:tcPr>
            <w:tcW w:w="3742" w:type="dxa"/>
            <w:vAlign w:val="center"/>
          </w:tcPr>
          <w:p w14:paraId="47BDA0F5" w14:textId="77777777" w:rsidR="00BE601C" w:rsidRPr="00180F17" w:rsidRDefault="00BE601C" w:rsidP="00047C17"/>
        </w:tc>
        <w:tc>
          <w:tcPr>
            <w:tcW w:w="3544" w:type="dxa"/>
            <w:vAlign w:val="center"/>
          </w:tcPr>
          <w:p w14:paraId="50D4C081" w14:textId="77777777" w:rsidR="00BE601C" w:rsidRPr="00180F17" w:rsidRDefault="00BE601C" w:rsidP="00047C17"/>
        </w:tc>
      </w:tr>
      <w:tr w:rsidR="00BE601C" w:rsidRPr="00180F17" w14:paraId="0A6EEC6C" w14:textId="77777777" w:rsidTr="00047C17">
        <w:trPr>
          <w:trHeight w:val="433"/>
        </w:trPr>
        <w:tc>
          <w:tcPr>
            <w:tcW w:w="2070" w:type="dxa"/>
            <w:vAlign w:val="center"/>
          </w:tcPr>
          <w:p w14:paraId="0407519F" w14:textId="77777777" w:rsidR="00BE601C" w:rsidRPr="00180F17" w:rsidRDefault="00BE601C" w:rsidP="00047C17"/>
        </w:tc>
        <w:tc>
          <w:tcPr>
            <w:tcW w:w="3742" w:type="dxa"/>
            <w:vAlign w:val="center"/>
          </w:tcPr>
          <w:p w14:paraId="27D2EA33" w14:textId="77777777" w:rsidR="00BE601C" w:rsidRPr="00180F17" w:rsidRDefault="00BE601C" w:rsidP="00047C17"/>
        </w:tc>
        <w:tc>
          <w:tcPr>
            <w:tcW w:w="3544" w:type="dxa"/>
            <w:vAlign w:val="center"/>
          </w:tcPr>
          <w:p w14:paraId="616F6B29" w14:textId="77777777" w:rsidR="00BE601C" w:rsidRPr="00180F17" w:rsidRDefault="00BE601C" w:rsidP="00047C17"/>
        </w:tc>
      </w:tr>
    </w:tbl>
    <w:p w14:paraId="5C70AD9F" w14:textId="77777777" w:rsidR="00BE601C" w:rsidRPr="00180F17" w:rsidRDefault="00BE601C" w:rsidP="00BE601C">
      <w:pPr>
        <w:pStyle w:val="SectionVIHeader"/>
        <w:widowControl w:val="0"/>
        <w:spacing w:after="120" w:line="264" w:lineRule="auto"/>
        <w:ind w:firstLine="709"/>
        <w:jc w:val="left"/>
        <w:rPr>
          <w:b w:val="0"/>
          <w:sz w:val="28"/>
        </w:rPr>
      </w:pPr>
      <w:r w:rsidRPr="00180F17">
        <w:rPr>
          <w:b w:val="0"/>
          <w:sz w:val="28"/>
        </w:rPr>
        <w:t>Trường hợp có bản vẽ thì phải đính kèm theo bản vẽ.</w:t>
      </w:r>
    </w:p>
    <w:p w14:paraId="52810F82" w14:textId="77777777" w:rsidR="00FD2C00" w:rsidRDefault="00FD2C00"/>
    <w:sectPr w:rsidR="00FD2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037C"/>
    <w:multiLevelType w:val="hybridMultilevel"/>
    <w:tmpl w:val="692E9ED4"/>
    <w:lvl w:ilvl="0" w:tplc="A8E86A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F195B"/>
    <w:multiLevelType w:val="hybridMultilevel"/>
    <w:tmpl w:val="F1E6ADAC"/>
    <w:lvl w:ilvl="0" w:tplc="04F69FDA">
      <w:start w:val="1"/>
      <w:numFmt w:val="bullet"/>
      <w:lvlText w:val="-"/>
      <w:lvlJc w:val="left"/>
      <w:pPr>
        <w:ind w:left="1429" w:hanging="360"/>
      </w:pPr>
      <w:rPr>
        <w:rFonts w:ascii="Times New Roman" w:hAnsi="Times New Roman" w:cs="Times New Roman" w:hint="default"/>
        <w:sz w:val="26"/>
        <w:szCs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0B6B4C"/>
    <w:multiLevelType w:val="hybridMultilevel"/>
    <w:tmpl w:val="4080DB26"/>
    <w:lvl w:ilvl="0" w:tplc="04F69FDA">
      <w:start w:val="1"/>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857774">
    <w:abstractNumId w:val="0"/>
  </w:num>
  <w:num w:numId="2" w16cid:durableId="639923570">
    <w:abstractNumId w:val="2"/>
  </w:num>
  <w:num w:numId="3" w16cid:durableId="1911847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1C"/>
    <w:rsid w:val="00A60729"/>
    <w:rsid w:val="00BE601C"/>
    <w:rsid w:val="00C56F19"/>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C71AB"/>
  <w15:chartTrackingRefBased/>
  <w15:docId w15:val="{483977B5-0248-4C81-B93B-C7469266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01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E6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01C"/>
    <w:rPr>
      <w:rFonts w:eastAsiaTheme="majorEastAsia" w:cstheme="majorBidi"/>
      <w:color w:val="272727" w:themeColor="text1" w:themeTint="D8"/>
    </w:rPr>
  </w:style>
  <w:style w:type="paragraph" w:styleId="Title">
    <w:name w:val="Title"/>
    <w:basedOn w:val="Normal"/>
    <w:next w:val="Normal"/>
    <w:link w:val="TitleChar"/>
    <w:uiPriority w:val="10"/>
    <w:qFormat/>
    <w:rsid w:val="00BE6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E6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E6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01C"/>
    <w:pPr>
      <w:spacing w:before="160"/>
      <w:jc w:val="center"/>
    </w:pPr>
    <w:rPr>
      <w:i/>
      <w:iCs/>
      <w:color w:val="404040" w:themeColor="text1" w:themeTint="BF"/>
    </w:rPr>
  </w:style>
  <w:style w:type="character" w:customStyle="1" w:styleId="QuoteChar">
    <w:name w:val="Quote Char"/>
    <w:basedOn w:val="DefaultParagraphFont"/>
    <w:link w:val="Quote"/>
    <w:uiPriority w:val="29"/>
    <w:rsid w:val="00BE601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E601C"/>
    <w:pPr>
      <w:ind w:left="720"/>
      <w:contextualSpacing/>
    </w:pPr>
  </w:style>
  <w:style w:type="character" w:styleId="IntenseEmphasis">
    <w:name w:val="Intense Emphasis"/>
    <w:basedOn w:val="DefaultParagraphFont"/>
    <w:uiPriority w:val="21"/>
    <w:qFormat/>
    <w:rsid w:val="00BE601C"/>
    <w:rPr>
      <w:i/>
      <w:iCs/>
      <w:color w:val="0F4761" w:themeColor="accent1" w:themeShade="BF"/>
    </w:rPr>
  </w:style>
  <w:style w:type="paragraph" w:styleId="IntenseQuote">
    <w:name w:val="Intense Quote"/>
    <w:basedOn w:val="Normal"/>
    <w:next w:val="Normal"/>
    <w:link w:val="IntenseQuoteChar"/>
    <w:uiPriority w:val="30"/>
    <w:qFormat/>
    <w:rsid w:val="00BE6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01C"/>
    <w:rPr>
      <w:i/>
      <w:iCs/>
      <w:color w:val="0F4761" w:themeColor="accent1" w:themeShade="BF"/>
    </w:rPr>
  </w:style>
  <w:style w:type="character" w:styleId="IntenseReference">
    <w:name w:val="Intense Reference"/>
    <w:basedOn w:val="DefaultParagraphFont"/>
    <w:uiPriority w:val="32"/>
    <w:qFormat/>
    <w:rsid w:val="00BE601C"/>
    <w:rPr>
      <w:b/>
      <w:bCs/>
      <w:smallCaps/>
      <w:color w:val="0F4761" w:themeColor="accent1" w:themeShade="BF"/>
      <w:spacing w:val="5"/>
    </w:rPr>
  </w:style>
  <w:style w:type="paragraph" w:customStyle="1" w:styleId="titulo">
    <w:name w:val="titulo"/>
    <w:basedOn w:val="Heading5"/>
    <w:rsid w:val="00BE601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E601C"/>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E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2025-11-18T03:46:00Z</dcterms:created>
  <dcterms:modified xsi:type="dcterms:W3CDTF">2025-11-18T03:46:00Z</dcterms:modified>
</cp:coreProperties>
</file>