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B9" w:rsidRPr="00180F17" w:rsidRDefault="007326B9" w:rsidP="007326B9">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7326B9" w:rsidRPr="00180F17" w:rsidRDefault="007326B9" w:rsidP="007326B9">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7326B9" w:rsidRPr="00180F17" w:rsidRDefault="007326B9" w:rsidP="007326B9">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w:t>
      </w:r>
      <w:r>
        <w:rPr>
          <w:sz w:val="28"/>
          <w:szCs w:val="28"/>
          <w:lang w:val="vi-VN"/>
        </w:rPr>
        <w:t>hàng hóa</w:t>
      </w:r>
      <w:r w:rsidRPr="00180F17">
        <w:rPr>
          <w:sz w:val="28"/>
          <w:szCs w:val="28"/>
          <w:lang w:val="vi-VN"/>
        </w:rPr>
        <w:t xml:space="preserve">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7326B9" w:rsidRPr="00180F17" w:rsidRDefault="007326B9" w:rsidP="007326B9">
      <w:pPr>
        <w:widowControl w:val="0"/>
        <w:spacing w:before="80" w:after="80" w:line="264" w:lineRule="auto"/>
        <w:ind w:firstLine="709"/>
        <w:rPr>
          <w:sz w:val="28"/>
          <w:szCs w:val="28"/>
          <w:lang w:val="vi-VN"/>
        </w:rPr>
      </w:pPr>
      <w:r w:rsidRPr="00180F17">
        <w:rPr>
          <w:sz w:val="28"/>
          <w:szCs w:val="28"/>
          <w:lang w:val="vi-VN"/>
        </w:rPr>
        <w:t xml:space="preserve">- Đặc tính, thông số kỹ thuật của </w:t>
      </w:r>
      <w:r>
        <w:rPr>
          <w:sz w:val="28"/>
          <w:szCs w:val="28"/>
          <w:lang w:val="vi-VN"/>
        </w:rPr>
        <w:t>hàng hóa</w:t>
      </w:r>
      <w:r w:rsidRPr="00180F17">
        <w:rPr>
          <w:sz w:val="28"/>
          <w:szCs w:val="28"/>
          <w:lang w:val="vi-VN"/>
        </w:rPr>
        <w:t>, tiêu chuẩn sản xuất, tiêu chuẩn chế tạo và công nghệ;</w:t>
      </w:r>
    </w:p>
    <w:p w:rsidR="007326B9" w:rsidRPr="00180F17" w:rsidRDefault="007326B9" w:rsidP="007326B9">
      <w:pPr>
        <w:widowControl w:val="0"/>
        <w:tabs>
          <w:tab w:val="left" w:pos="851"/>
        </w:tabs>
        <w:spacing w:before="80" w:after="80" w:line="264" w:lineRule="auto"/>
        <w:ind w:firstLine="709"/>
        <w:rPr>
          <w:sz w:val="28"/>
          <w:szCs w:val="28"/>
          <w:lang w:val="vi-VN"/>
        </w:rPr>
      </w:pPr>
      <w:r w:rsidRPr="00180F17">
        <w:rPr>
          <w:sz w:val="28"/>
          <w:szCs w:val="28"/>
          <w:lang w:val="vi-VN"/>
        </w:rPr>
        <w:t xml:space="preserve">- Tính hợp lý và hiệu quả kinh tế của các giải pháp kỹ thuật, biện pháp tổ chức cung cấp, lắp đặt </w:t>
      </w:r>
      <w:r>
        <w:rPr>
          <w:sz w:val="28"/>
          <w:szCs w:val="28"/>
          <w:lang w:val="vi-VN"/>
        </w:rPr>
        <w:t>hàng hóa</w:t>
      </w:r>
      <w:r w:rsidRPr="00180F17">
        <w:rPr>
          <w:sz w:val="28"/>
          <w:szCs w:val="28"/>
          <w:lang w:val="vi-VN"/>
        </w:rPr>
        <w:t>;</w:t>
      </w:r>
    </w:p>
    <w:p w:rsidR="007326B9" w:rsidRPr="00180F17" w:rsidRDefault="007326B9" w:rsidP="007326B9">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7326B9" w:rsidRPr="00180F17" w:rsidRDefault="007326B9" w:rsidP="007326B9">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w:t>
      </w:r>
      <w:r>
        <w:rPr>
          <w:sz w:val="28"/>
          <w:szCs w:val="28"/>
          <w:lang w:val="vi-VN"/>
        </w:rPr>
        <w:t>hàng hóa</w:t>
      </w:r>
      <w:r w:rsidRPr="00180F17">
        <w:rPr>
          <w:sz w:val="28"/>
          <w:szCs w:val="28"/>
          <w:lang w:val="vi-VN"/>
        </w:rPr>
        <w:t xml:space="preserve">. </w:t>
      </w:r>
    </w:p>
    <w:p w:rsidR="007326B9" w:rsidRPr="00180F17" w:rsidRDefault="007326B9" w:rsidP="007326B9">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7326B9" w:rsidRPr="00180F17" w:rsidRDefault="007326B9" w:rsidP="007326B9">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7326B9" w:rsidRPr="00180F17" w:rsidRDefault="007326B9" w:rsidP="007326B9">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7326B9" w:rsidRPr="00180F17" w:rsidRDefault="007326B9" w:rsidP="007326B9">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7326B9" w:rsidRPr="00180F17" w:rsidRDefault="007326B9" w:rsidP="007326B9">
      <w:pPr>
        <w:widowControl w:val="0"/>
        <w:tabs>
          <w:tab w:val="left" w:pos="851"/>
        </w:tabs>
        <w:spacing w:before="80" w:after="80" w:line="264" w:lineRule="auto"/>
        <w:ind w:firstLine="709"/>
        <w:rPr>
          <w:sz w:val="28"/>
          <w:szCs w:val="28"/>
        </w:rPr>
      </w:pPr>
      <w:r w:rsidRPr="00180F17">
        <w:rPr>
          <w:sz w:val="28"/>
          <w:szCs w:val="28"/>
          <w:lang w:val="vi-VN"/>
        </w:rPr>
        <w:t xml:space="preserve">- Tiến độ cung cấp </w:t>
      </w:r>
      <w:r>
        <w:rPr>
          <w:sz w:val="28"/>
          <w:szCs w:val="28"/>
          <w:lang w:val="vi-VN"/>
        </w:rPr>
        <w:t>hàng hóa</w:t>
      </w:r>
      <w:r w:rsidRPr="00180F17">
        <w:rPr>
          <w:sz w:val="28"/>
          <w:szCs w:val="28"/>
          <w:lang w:val="vi-VN"/>
        </w:rPr>
        <w:t>;</w:t>
      </w:r>
    </w:p>
    <w:p w:rsidR="007326B9" w:rsidRPr="00180F17" w:rsidRDefault="007326B9" w:rsidP="007326B9">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7326B9" w:rsidRPr="00180F17" w:rsidRDefault="007326B9" w:rsidP="007326B9">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w:t>
      </w:r>
      <w:r>
        <w:rPr>
          <w:sz w:val="28"/>
          <w:szCs w:val="28"/>
          <w:lang w:val="vi-VN"/>
        </w:rPr>
        <w:t>hàng hóa</w:t>
      </w:r>
      <w:r w:rsidRPr="00180F17">
        <w:rPr>
          <w:sz w:val="28"/>
          <w:szCs w:val="28"/>
          <w:lang w:val="vi-VN"/>
        </w:rPr>
        <w:t xml:space="preserve">,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w:t>
      </w:r>
      <w:r>
        <w:rPr>
          <w:sz w:val="28"/>
          <w:szCs w:val="28"/>
          <w:lang w:val="vi-VN"/>
        </w:rPr>
        <w:t>hàng hóa</w:t>
      </w:r>
      <w:r w:rsidRPr="00180F17">
        <w:rPr>
          <w:sz w:val="28"/>
          <w:szCs w:val="28"/>
          <w:lang w:val="vi-VN"/>
        </w:rPr>
        <w:t xml:space="preserve">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7326B9" w:rsidRPr="00180F17" w:rsidRDefault="007326B9" w:rsidP="007326B9">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7326B9" w:rsidRPr="00180F17" w:rsidRDefault="007326B9" w:rsidP="007326B9">
      <w:pPr>
        <w:spacing w:before="80" w:after="80" w:line="264" w:lineRule="auto"/>
        <w:ind w:firstLine="709"/>
        <w:rPr>
          <w:sz w:val="28"/>
          <w:szCs w:val="28"/>
          <w:lang w:val="es-ES"/>
        </w:rPr>
      </w:pPr>
      <w:r>
        <w:rPr>
          <w:b/>
          <w:iCs/>
          <w:sz w:val="28"/>
          <w:szCs w:val="28"/>
          <w:lang w:val="es-ES"/>
        </w:rPr>
        <w:t>3.1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7326B9" w:rsidRPr="00180F17" w:rsidRDefault="007326B9" w:rsidP="007326B9">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180F17">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326B9" w:rsidRPr="00180F17" w:rsidRDefault="007326B9" w:rsidP="007326B9">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326B9" w:rsidRDefault="007326B9" w:rsidP="007326B9">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rsidR="007326B9" w:rsidRPr="00491A1E" w:rsidRDefault="007326B9" w:rsidP="007326B9">
      <w:pPr>
        <w:jc w:val="center"/>
        <w:rPr>
          <w:b/>
          <w:sz w:val="28"/>
          <w:szCs w:val="26"/>
        </w:rPr>
      </w:pPr>
      <w:r w:rsidRPr="00491A1E">
        <w:rPr>
          <w:b/>
          <w:sz w:val="28"/>
          <w:szCs w:val="26"/>
        </w:rPr>
        <w:t>Bảng tiêu chuẩn đánh giá về kỹ thuật theo tiêu chí đạt, không đạt</w:t>
      </w:r>
    </w:p>
    <w:p w:rsidR="007326B9" w:rsidRPr="00491A1E" w:rsidRDefault="007326B9" w:rsidP="007326B9">
      <w:pPr>
        <w:jc w:val="center"/>
        <w:rPr>
          <w:b/>
          <w:sz w:val="28"/>
          <w:szCs w:val="26"/>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4490"/>
        <w:gridCol w:w="2266"/>
        <w:gridCol w:w="1199"/>
      </w:tblGrid>
      <w:tr w:rsidR="007326B9" w:rsidRPr="00491A1E" w:rsidTr="006F3151">
        <w:trPr>
          <w:trHeight w:val="413"/>
          <w:tblHeader/>
          <w:jc w:val="center"/>
        </w:trPr>
        <w:tc>
          <w:tcPr>
            <w:tcW w:w="3191" w:type="pct"/>
            <w:gridSpan w:val="2"/>
            <w:vMerge w:val="restart"/>
            <w:vAlign w:val="center"/>
          </w:tcPr>
          <w:p w:rsidR="007326B9" w:rsidRPr="00491A1E" w:rsidRDefault="007326B9" w:rsidP="006F3151">
            <w:pPr>
              <w:widowControl w:val="0"/>
              <w:tabs>
                <w:tab w:val="left" w:pos="851"/>
              </w:tabs>
              <w:jc w:val="center"/>
              <w:rPr>
                <w:b/>
                <w:sz w:val="26"/>
                <w:szCs w:val="26"/>
              </w:rPr>
            </w:pPr>
            <w:r w:rsidRPr="00491A1E">
              <w:rPr>
                <w:b/>
                <w:sz w:val="26"/>
                <w:szCs w:val="26"/>
              </w:rPr>
              <w:t>Nội dung đánh giá</w:t>
            </w:r>
          </w:p>
        </w:tc>
        <w:tc>
          <w:tcPr>
            <w:tcW w:w="1809" w:type="pct"/>
            <w:gridSpan w:val="2"/>
            <w:vAlign w:val="center"/>
          </w:tcPr>
          <w:p w:rsidR="007326B9" w:rsidRPr="00491A1E" w:rsidRDefault="007326B9" w:rsidP="006F3151">
            <w:pPr>
              <w:widowControl w:val="0"/>
              <w:tabs>
                <w:tab w:val="left" w:pos="851"/>
              </w:tabs>
              <w:jc w:val="center"/>
              <w:rPr>
                <w:b/>
                <w:sz w:val="26"/>
                <w:szCs w:val="26"/>
              </w:rPr>
            </w:pPr>
            <w:r w:rsidRPr="00491A1E">
              <w:rPr>
                <w:b/>
                <w:sz w:val="26"/>
                <w:szCs w:val="26"/>
              </w:rPr>
              <w:t>Tiêu chí đánh giá</w:t>
            </w:r>
          </w:p>
        </w:tc>
      </w:tr>
      <w:tr w:rsidR="007326B9" w:rsidRPr="00491A1E" w:rsidTr="006F3151">
        <w:trPr>
          <w:trHeight w:val="413"/>
          <w:tblHeader/>
          <w:jc w:val="center"/>
        </w:trPr>
        <w:tc>
          <w:tcPr>
            <w:tcW w:w="3191" w:type="pct"/>
            <w:gridSpan w:val="2"/>
            <w:vMerge/>
            <w:vAlign w:val="center"/>
          </w:tcPr>
          <w:p w:rsidR="007326B9" w:rsidRPr="00491A1E" w:rsidRDefault="007326B9" w:rsidP="006F3151">
            <w:pPr>
              <w:widowControl w:val="0"/>
              <w:tabs>
                <w:tab w:val="left" w:pos="851"/>
              </w:tabs>
              <w:jc w:val="center"/>
              <w:rPr>
                <w:b/>
                <w:sz w:val="26"/>
                <w:szCs w:val="26"/>
              </w:rPr>
            </w:pPr>
          </w:p>
        </w:tc>
        <w:tc>
          <w:tcPr>
            <w:tcW w:w="1183" w:type="pct"/>
            <w:vAlign w:val="center"/>
          </w:tcPr>
          <w:p w:rsidR="007326B9" w:rsidRPr="00491A1E" w:rsidRDefault="007326B9" w:rsidP="006F3151">
            <w:pPr>
              <w:widowControl w:val="0"/>
              <w:tabs>
                <w:tab w:val="left" w:pos="851"/>
              </w:tabs>
              <w:jc w:val="center"/>
              <w:rPr>
                <w:b/>
                <w:sz w:val="26"/>
                <w:szCs w:val="26"/>
              </w:rPr>
            </w:pPr>
            <w:r w:rsidRPr="00491A1E">
              <w:rPr>
                <w:b/>
                <w:sz w:val="26"/>
                <w:szCs w:val="26"/>
              </w:rPr>
              <w:t>Không đạt</w:t>
            </w:r>
          </w:p>
        </w:tc>
        <w:tc>
          <w:tcPr>
            <w:tcW w:w="626" w:type="pct"/>
          </w:tcPr>
          <w:p w:rsidR="007326B9" w:rsidRPr="00491A1E" w:rsidRDefault="007326B9" w:rsidP="006F3151">
            <w:pPr>
              <w:widowControl w:val="0"/>
              <w:tabs>
                <w:tab w:val="left" w:pos="851"/>
              </w:tabs>
              <w:jc w:val="center"/>
              <w:rPr>
                <w:b/>
                <w:sz w:val="26"/>
                <w:szCs w:val="26"/>
              </w:rPr>
            </w:pPr>
            <w:r w:rsidRPr="00491A1E">
              <w:rPr>
                <w:b/>
                <w:sz w:val="26"/>
                <w:szCs w:val="26"/>
              </w:rPr>
              <w:t>Đạt</w:t>
            </w:r>
          </w:p>
        </w:tc>
      </w:tr>
      <w:tr w:rsidR="007326B9" w:rsidRPr="00491A1E" w:rsidTr="006F3151">
        <w:trPr>
          <w:trHeight w:val="70"/>
          <w:jc w:val="center"/>
        </w:trPr>
        <w:tc>
          <w:tcPr>
            <w:tcW w:w="3191" w:type="pct"/>
            <w:gridSpan w:val="2"/>
            <w:vAlign w:val="center"/>
          </w:tcPr>
          <w:p w:rsidR="007326B9" w:rsidRPr="00491A1E" w:rsidRDefault="007326B9" w:rsidP="006F3151">
            <w:pPr>
              <w:spacing w:before="120" w:after="120"/>
              <w:ind w:right="45"/>
              <w:jc w:val="left"/>
              <w:rPr>
                <w:szCs w:val="24"/>
              </w:rPr>
            </w:pPr>
            <w:r w:rsidRPr="00491A1E">
              <w:rPr>
                <w:b/>
                <w:sz w:val="26"/>
                <w:szCs w:val="26"/>
              </w:rPr>
              <w:t xml:space="preserve">1. Tính hợp lệ của </w:t>
            </w:r>
            <w:r>
              <w:rPr>
                <w:b/>
                <w:sz w:val="26"/>
                <w:szCs w:val="26"/>
              </w:rPr>
              <w:t>hàng hóa</w:t>
            </w:r>
          </w:p>
        </w:tc>
        <w:tc>
          <w:tcPr>
            <w:tcW w:w="1183" w:type="pct"/>
            <w:vAlign w:val="center"/>
          </w:tcPr>
          <w:p w:rsidR="007326B9" w:rsidRPr="00491A1E" w:rsidRDefault="007326B9" w:rsidP="006F3151">
            <w:pPr>
              <w:widowControl w:val="0"/>
              <w:tabs>
                <w:tab w:val="left" w:pos="851"/>
              </w:tabs>
              <w:jc w:val="center"/>
              <w:rPr>
                <w:szCs w:val="24"/>
              </w:rPr>
            </w:pPr>
          </w:p>
        </w:tc>
        <w:tc>
          <w:tcPr>
            <w:tcW w:w="626" w:type="pct"/>
            <w:vAlign w:val="center"/>
          </w:tcPr>
          <w:p w:rsidR="007326B9" w:rsidRPr="00491A1E" w:rsidRDefault="007326B9" w:rsidP="006F3151">
            <w:pPr>
              <w:widowControl w:val="0"/>
              <w:tabs>
                <w:tab w:val="left" w:pos="851"/>
              </w:tabs>
              <w:jc w:val="center"/>
              <w:rPr>
                <w:szCs w:val="24"/>
              </w:rPr>
            </w:pPr>
          </w:p>
        </w:tc>
      </w:tr>
      <w:tr w:rsidR="007326B9" w:rsidRPr="00491A1E" w:rsidTr="006F3151">
        <w:trPr>
          <w:trHeight w:val="70"/>
          <w:jc w:val="center"/>
        </w:trPr>
        <w:tc>
          <w:tcPr>
            <w:tcW w:w="847" w:type="pct"/>
            <w:vAlign w:val="center"/>
          </w:tcPr>
          <w:p w:rsidR="007326B9" w:rsidRPr="00491A1E" w:rsidRDefault="007326B9" w:rsidP="006F3151">
            <w:pPr>
              <w:widowControl w:val="0"/>
              <w:tabs>
                <w:tab w:val="left" w:pos="851"/>
              </w:tabs>
              <w:jc w:val="center"/>
              <w:rPr>
                <w:b/>
                <w:szCs w:val="24"/>
              </w:rPr>
            </w:pPr>
            <w:r w:rsidRPr="00491A1E">
              <w:rPr>
                <w:b/>
                <w:szCs w:val="24"/>
                <w:lang w:val="pl-PL"/>
              </w:rPr>
              <w:t xml:space="preserve">1.1 Cung cấp các thông tin của </w:t>
            </w:r>
            <w:r>
              <w:rPr>
                <w:b/>
                <w:szCs w:val="24"/>
                <w:lang w:val="pl-PL"/>
              </w:rPr>
              <w:t>hàng hóa</w:t>
            </w:r>
            <w:r w:rsidRPr="00491A1E">
              <w:rPr>
                <w:b/>
                <w:szCs w:val="24"/>
                <w:lang w:val="pl-PL"/>
              </w:rPr>
              <w:t xml:space="preserve"> dự thầu theo mẫu</w:t>
            </w:r>
          </w:p>
        </w:tc>
        <w:tc>
          <w:tcPr>
            <w:tcW w:w="2344" w:type="pct"/>
            <w:vAlign w:val="center"/>
          </w:tcPr>
          <w:p w:rsidR="007326B9" w:rsidRPr="00491A1E" w:rsidRDefault="007326B9" w:rsidP="006F3151">
            <w:pPr>
              <w:spacing w:after="120"/>
              <w:rPr>
                <w:szCs w:val="24"/>
                <w:lang w:val="pl-PL"/>
              </w:rPr>
            </w:pPr>
            <w:r w:rsidRPr="00491A1E">
              <w:rPr>
                <w:szCs w:val="24"/>
                <w:lang w:val="pl-PL"/>
              </w:rPr>
              <w:t xml:space="preserve"> Nhà thầu phải cung cấp các thông tin của </w:t>
            </w:r>
            <w:r>
              <w:rPr>
                <w:szCs w:val="24"/>
                <w:lang w:val="pl-PL"/>
              </w:rPr>
              <w:t>hàng hóa</w:t>
            </w:r>
            <w:r w:rsidRPr="00491A1E">
              <w:rPr>
                <w:szCs w:val="24"/>
                <w:lang w:val="pl-PL"/>
              </w:rPr>
              <w:t xml:space="preserve"> dự thầu theo mẫu danh mục </w:t>
            </w:r>
            <w:r>
              <w:rPr>
                <w:szCs w:val="24"/>
                <w:lang w:val="pl-PL"/>
              </w:rPr>
              <w:t>hàng hóa</w:t>
            </w:r>
            <w:r w:rsidRPr="00491A1E">
              <w:rPr>
                <w:szCs w:val="24"/>
                <w:lang w:val="pl-PL"/>
              </w:rPr>
              <w:t xml:space="preserve"> dự thầu quy định tại chương V.</w:t>
            </w:r>
          </w:p>
        </w:tc>
        <w:tc>
          <w:tcPr>
            <w:tcW w:w="1183" w:type="pct"/>
            <w:vAlign w:val="center"/>
          </w:tcPr>
          <w:p w:rsidR="007326B9" w:rsidRPr="00491A1E" w:rsidRDefault="007326B9" w:rsidP="006F3151">
            <w:pPr>
              <w:widowControl w:val="0"/>
              <w:tabs>
                <w:tab w:val="left" w:pos="851"/>
              </w:tabs>
              <w:jc w:val="center"/>
              <w:rPr>
                <w:szCs w:val="24"/>
              </w:rPr>
            </w:pPr>
            <w:r w:rsidRPr="00491A1E">
              <w:rPr>
                <w:szCs w:val="24"/>
              </w:rPr>
              <w:t>Không có tài liệu chứng minh hoặc tài liệu chứng minh không phù hợp hoặc không đầy đủ</w:t>
            </w:r>
          </w:p>
        </w:tc>
        <w:tc>
          <w:tcPr>
            <w:tcW w:w="626" w:type="pct"/>
            <w:vAlign w:val="center"/>
          </w:tcPr>
          <w:p w:rsidR="007326B9" w:rsidRPr="00491A1E" w:rsidRDefault="007326B9" w:rsidP="006F3151">
            <w:pPr>
              <w:widowControl w:val="0"/>
              <w:tabs>
                <w:tab w:val="left" w:pos="851"/>
              </w:tabs>
              <w:jc w:val="center"/>
              <w:rPr>
                <w:szCs w:val="24"/>
              </w:rPr>
            </w:pPr>
            <w:r w:rsidRPr="00491A1E">
              <w:rPr>
                <w:szCs w:val="24"/>
              </w:rPr>
              <w:t>Có đủ tài liệu chứng minh phù hợp</w:t>
            </w:r>
          </w:p>
        </w:tc>
      </w:tr>
      <w:tr w:rsidR="007326B9" w:rsidRPr="00491A1E" w:rsidTr="006F3151">
        <w:trPr>
          <w:trHeight w:val="974"/>
          <w:jc w:val="center"/>
        </w:trPr>
        <w:tc>
          <w:tcPr>
            <w:tcW w:w="847" w:type="pct"/>
            <w:vAlign w:val="center"/>
          </w:tcPr>
          <w:p w:rsidR="007326B9" w:rsidRPr="00491A1E" w:rsidRDefault="007326B9" w:rsidP="006F3151">
            <w:pPr>
              <w:pStyle w:val="ListParagraph"/>
              <w:widowControl w:val="0"/>
              <w:ind w:left="-120" w:right="-170"/>
              <w:jc w:val="center"/>
              <w:rPr>
                <w:b/>
                <w:szCs w:val="24"/>
              </w:rPr>
            </w:pPr>
            <w:r w:rsidRPr="00491A1E">
              <w:rPr>
                <w:b/>
                <w:szCs w:val="24"/>
                <w:lang w:val="pl-PL"/>
              </w:rPr>
              <w:t>1.</w:t>
            </w:r>
            <w:r w:rsidRPr="00491A1E">
              <w:rPr>
                <w:b/>
                <w:szCs w:val="24"/>
              </w:rPr>
              <w:t xml:space="preserve">2 Điều kiện lưu hành đối với </w:t>
            </w:r>
            <w:r>
              <w:rPr>
                <w:b/>
                <w:szCs w:val="24"/>
              </w:rPr>
              <w:t>hàng hóa dự thầu</w:t>
            </w:r>
          </w:p>
        </w:tc>
        <w:tc>
          <w:tcPr>
            <w:tcW w:w="2344" w:type="pct"/>
            <w:vAlign w:val="center"/>
          </w:tcPr>
          <w:p w:rsidR="007326B9" w:rsidRPr="00491A1E" w:rsidRDefault="007326B9" w:rsidP="006F3151">
            <w:pPr>
              <w:spacing w:after="120"/>
              <w:rPr>
                <w:szCs w:val="24"/>
                <w:lang w:val="pl-PL"/>
              </w:rPr>
            </w:pPr>
            <w:r>
              <w:rPr>
                <w:szCs w:val="24"/>
                <w:lang w:val="pl-PL"/>
              </w:rPr>
              <w:t>Hàng hóa</w:t>
            </w:r>
            <w:r w:rsidRPr="00491A1E">
              <w:rPr>
                <w:szCs w:val="24"/>
                <w:lang w:val="pl-PL"/>
              </w:rPr>
              <w:t xml:space="preserve"> khi tham gia dự thầu phải đáp ứng </w:t>
            </w:r>
            <w:r>
              <w:rPr>
                <w:szCs w:val="24"/>
                <w:lang w:val="pl-PL"/>
              </w:rPr>
              <w:t xml:space="preserve">điều kiện lưu hành đối với </w:t>
            </w:r>
            <w:r w:rsidRPr="00491A1E">
              <w:rPr>
                <w:szCs w:val="24"/>
                <w:lang w:val="pl-PL"/>
              </w:rPr>
              <w:t xml:space="preserve">thiết bị y tế quy định tại </w:t>
            </w:r>
            <w:r w:rsidRPr="00491A1E">
              <w:rPr>
                <w:bCs/>
                <w:color w:val="000000" w:themeColor="text1"/>
                <w:szCs w:val="24"/>
                <w:lang w:val="es-ES"/>
              </w:rPr>
              <w:t>Điều 22 Nghị định số 07/2023/NĐ-CP ngày 03/3/2023 về việc sửa đổi, bổ sung một số điều của Nghị định số 98/NĐ-CP ngày 08 tháng 11 năm 2021 của Chính phủ về quản lý trang thiết bị y tế</w:t>
            </w:r>
            <w:r w:rsidRPr="00491A1E">
              <w:rPr>
                <w:szCs w:val="24"/>
                <w:lang w:val="pl-PL"/>
              </w:rPr>
              <w:t>.</w:t>
            </w:r>
          </w:p>
        </w:tc>
        <w:tc>
          <w:tcPr>
            <w:tcW w:w="1183" w:type="pct"/>
            <w:vAlign w:val="center"/>
          </w:tcPr>
          <w:p w:rsidR="007326B9" w:rsidRPr="00491A1E" w:rsidRDefault="007326B9" w:rsidP="006F3151">
            <w:pPr>
              <w:widowControl w:val="0"/>
              <w:tabs>
                <w:tab w:val="left" w:pos="851"/>
              </w:tabs>
              <w:jc w:val="center"/>
              <w:rPr>
                <w:szCs w:val="24"/>
              </w:rPr>
            </w:pPr>
            <w:r w:rsidRPr="00491A1E">
              <w:rPr>
                <w:szCs w:val="24"/>
              </w:rPr>
              <w:t>Không có tài liệu chứng minh hoặc tài liệu chứng minh không phù hợp hoặc không đầy đủ</w:t>
            </w:r>
          </w:p>
        </w:tc>
        <w:tc>
          <w:tcPr>
            <w:tcW w:w="626" w:type="pct"/>
            <w:vAlign w:val="center"/>
          </w:tcPr>
          <w:p w:rsidR="007326B9" w:rsidRPr="00491A1E" w:rsidRDefault="007326B9" w:rsidP="006F3151">
            <w:pPr>
              <w:widowControl w:val="0"/>
              <w:tabs>
                <w:tab w:val="left" w:pos="851"/>
              </w:tabs>
              <w:jc w:val="center"/>
              <w:rPr>
                <w:szCs w:val="24"/>
              </w:rPr>
            </w:pPr>
            <w:r w:rsidRPr="00491A1E">
              <w:rPr>
                <w:szCs w:val="24"/>
              </w:rPr>
              <w:t>Có đủ tài liệu chứng minh phù hợp</w:t>
            </w:r>
          </w:p>
        </w:tc>
      </w:tr>
      <w:tr w:rsidR="007326B9" w:rsidRPr="00491A1E" w:rsidTr="006F3151">
        <w:trPr>
          <w:trHeight w:val="974"/>
          <w:jc w:val="center"/>
        </w:trPr>
        <w:tc>
          <w:tcPr>
            <w:tcW w:w="847" w:type="pct"/>
            <w:vAlign w:val="center"/>
          </w:tcPr>
          <w:p w:rsidR="007326B9" w:rsidRPr="000C1990" w:rsidRDefault="007326B9" w:rsidP="006F3151">
            <w:pPr>
              <w:pStyle w:val="ListParagraph"/>
              <w:widowControl w:val="0"/>
              <w:ind w:left="-120" w:right="-170"/>
              <w:jc w:val="center"/>
              <w:rPr>
                <w:b/>
                <w:szCs w:val="24"/>
              </w:rPr>
            </w:pPr>
            <w:r w:rsidRPr="00D3691C">
              <w:rPr>
                <w:b/>
                <w:szCs w:val="24"/>
              </w:rPr>
              <w:t xml:space="preserve">1.3 Tiêu chuẩn chất lượng của </w:t>
            </w:r>
            <w:r>
              <w:rPr>
                <w:b/>
                <w:szCs w:val="24"/>
              </w:rPr>
              <w:t>hàng hóa</w:t>
            </w:r>
            <w:r w:rsidRPr="00D3691C">
              <w:rPr>
                <w:b/>
                <w:szCs w:val="24"/>
              </w:rPr>
              <w:t xml:space="preserve"> dự thầu</w:t>
            </w:r>
            <w:r w:rsidRPr="000C1990">
              <w:rPr>
                <w:rFonts w:asciiTheme="majorHAnsi" w:hAnsiTheme="majorHAnsi" w:cstheme="majorHAnsi"/>
                <w:b/>
                <w:szCs w:val="24"/>
              </w:rPr>
              <w:t xml:space="preserve"> </w:t>
            </w:r>
          </w:p>
        </w:tc>
        <w:tc>
          <w:tcPr>
            <w:tcW w:w="2344" w:type="pct"/>
            <w:vAlign w:val="center"/>
          </w:tcPr>
          <w:p w:rsidR="007326B9" w:rsidRPr="00D3691C" w:rsidRDefault="007326B9" w:rsidP="006F3151">
            <w:pPr>
              <w:spacing w:after="120"/>
              <w:rPr>
                <w:szCs w:val="24"/>
                <w:lang w:val="vi-VN"/>
              </w:rPr>
            </w:pPr>
            <w:r w:rsidRPr="00D3691C">
              <w:rPr>
                <w:szCs w:val="24"/>
                <w:lang w:val="vi-VN"/>
              </w:rPr>
              <w:t xml:space="preserve">Có Giấy chứng nhận </w:t>
            </w:r>
            <w:r w:rsidRPr="00F72213">
              <w:rPr>
                <w:szCs w:val="24"/>
                <w:lang w:val="vi-VN"/>
              </w:rPr>
              <w:t>Đạt tiêu chuẩn hệ thống quản lý chất lượng ISO</w:t>
            </w:r>
            <w:r w:rsidRPr="00D3691C">
              <w:rPr>
                <w:szCs w:val="24"/>
                <w:lang w:val="vi-VN"/>
              </w:rPr>
              <w:t xml:space="preserve"> 13485 còn hiệu lực</w:t>
            </w:r>
          </w:p>
          <w:p w:rsidR="007326B9" w:rsidRPr="00D3691C" w:rsidRDefault="007326B9" w:rsidP="006F3151">
            <w:pPr>
              <w:widowControl w:val="0"/>
              <w:spacing w:before="120"/>
              <w:ind w:left="-113"/>
              <w:rPr>
                <w:szCs w:val="24"/>
                <w:lang w:val="vi-VN"/>
              </w:rPr>
            </w:pPr>
            <w:r w:rsidRPr="00D3691C">
              <w:rPr>
                <w:szCs w:val="24"/>
                <w:lang w:val="vi-VN"/>
              </w:rPr>
              <w:t xml:space="preserve"> Đối với </w:t>
            </w:r>
            <w:r>
              <w:rPr>
                <w:szCs w:val="24"/>
                <w:lang w:val="vi-VN"/>
              </w:rPr>
              <w:t>hàng hóa</w:t>
            </w:r>
            <w:r w:rsidRPr="00D3691C">
              <w:rPr>
                <w:szCs w:val="24"/>
                <w:lang w:val="vi-VN"/>
              </w:rPr>
              <w:t xml:space="preserve"> là các hóa chất, chế phẩm được quy định tại Danh mục được ban hành tại Thông tư số 09/2018/TT-BYT ngày 27/4/2018 và được quy định tại Khoản 6, Điều 3, Nghị định 98/2021/NĐ-CP ngày 08/11/2021 thì không yêu cầu ISO 13485 mà chỉ cần giấy chứng nhận đạt tiêu chuẩn hệ thống quản lý chất lượng còn hiệu lực.</w:t>
            </w:r>
          </w:p>
          <w:p w:rsidR="007326B9" w:rsidRPr="00D3691C" w:rsidRDefault="007326B9" w:rsidP="006F3151">
            <w:pPr>
              <w:spacing w:after="120"/>
              <w:rPr>
                <w:szCs w:val="24"/>
                <w:lang w:val="vi-VN"/>
              </w:rPr>
            </w:pPr>
          </w:p>
        </w:tc>
        <w:tc>
          <w:tcPr>
            <w:tcW w:w="1183" w:type="pct"/>
            <w:vAlign w:val="center"/>
          </w:tcPr>
          <w:p w:rsidR="007326B9" w:rsidRPr="000C1990" w:rsidRDefault="007326B9" w:rsidP="006F3151">
            <w:pPr>
              <w:widowControl w:val="0"/>
              <w:tabs>
                <w:tab w:val="left" w:pos="851"/>
              </w:tabs>
              <w:jc w:val="center"/>
              <w:rPr>
                <w:szCs w:val="24"/>
              </w:rPr>
            </w:pPr>
            <w:r w:rsidRPr="000C1990">
              <w:rPr>
                <w:szCs w:val="24"/>
              </w:rPr>
              <w:t>Không có tài liệu chứng minh hoặc tài liệu chứng minh không phù hợp hoặc không đầy đủ</w:t>
            </w:r>
          </w:p>
        </w:tc>
        <w:tc>
          <w:tcPr>
            <w:tcW w:w="626" w:type="pct"/>
            <w:vAlign w:val="center"/>
          </w:tcPr>
          <w:p w:rsidR="007326B9" w:rsidRPr="000C1990" w:rsidRDefault="007326B9" w:rsidP="006F3151">
            <w:pPr>
              <w:widowControl w:val="0"/>
              <w:tabs>
                <w:tab w:val="left" w:pos="851"/>
              </w:tabs>
              <w:jc w:val="center"/>
              <w:rPr>
                <w:szCs w:val="24"/>
              </w:rPr>
            </w:pPr>
            <w:r w:rsidRPr="000C1990">
              <w:rPr>
                <w:szCs w:val="24"/>
              </w:rPr>
              <w:t>Có đủ tài liệu chứng minh phù hợp</w:t>
            </w:r>
          </w:p>
        </w:tc>
      </w:tr>
      <w:tr w:rsidR="007326B9" w:rsidRPr="00491A1E" w:rsidTr="006F3151">
        <w:trPr>
          <w:trHeight w:val="974"/>
          <w:jc w:val="center"/>
        </w:trPr>
        <w:tc>
          <w:tcPr>
            <w:tcW w:w="847" w:type="pct"/>
            <w:vAlign w:val="center"/>
          </w:tcPr>
          <w:p w:rsidR="007326B9" w:rsidRPr="00491A1E" w:rsidRDefault="007326B9" w:rsidP="006F3151">
            <w:pPr>
              <w:spacing w:before="120" w:after="280" w:afterAutospacing="1"/>
              <w:jc w:val="center"/>
              <w:rPr>
                <w:b/>
                <w:szCs w:val="24"/>
                <w:lang w:eastAsia="x-none"/>
              </w:rPr>
            </w:pPr>
            <w:r w:rsidRPr="00491A1E">
              <w:rPr>
                <w:b/>
                <w:szCs w:val="24"/>
                <w:lang w:val="pl-PL"/>
              </w:rPr>
              <w:t xml:space="preserve">1.4. </w:t>
            </w:r>
            <w:r w:rsidRPr="00491A1E">
              <w:rPr>
                <w:b/>
                <w:szCs w:val="24"/>
              </w:rPr>
              <w:t xml:space="preserve">Bảng phân loại </w:t>
            </w:r>
            <w:r>
              <w:rPr>
                <w:b/>
                <w:szCs w:val="24"/>
              </w:rPr>
              <w:t>hàng hóa</w:t>
            </w:r>
            <w:r w:rsidRPr="00491A1E">
              <w:rPr>
                <w:b/>
                <w:szCs w:val="24"/>
              </w:rPr>
              <w:t xml:space="preserve"> theo quy định.</w:t>
            </w:r>
          </w:p>
        </w:tc>
        <w:tc>
          <w:tcPr>
            <w:tcW w:w="2344" w:type="pct"/>
            <w:vAlign w:val="center"/>
          </w:tcPr>
          <w:p w:rsidR="007326B9" w:rsidRPr="00D3691C" w:rsidRDefault="007326B9" w:rsidP="006F3151">
            <w:pPr>
              <w:spacing w:after="120"/>
              <w:rPr>
                <w:szCs w:val="24"/>
                <w:lang w:val="vi-VN"/>
              </w:rPr>
            </w:pPr>
            <w:r w:rsidRPr="00D3691C">
              <w:rPr>
                <w:szCs w:val="24"/>
                <w:lang w:val="vi-VN"/>
              </w:rPr>
              <w:t xml:space="preserve">Nhà thầu phải cung cấp bảng phân loại </w:t>
            </w:r>
            <w:r>
              <w:rPr>
                <w:szCs w:val="24"/>
                <w:lang w:val="vi-VN"/>
              </w:rPr>
              <w:t>hàng hóa</w:t>
            </w:r>
            <w:r w:rsidRPr="00D3691C">
              <w:rPr>
                <w:szCs w:val="24"/>
                <w:lang w:val="vi-VN"/>
              </w:rPr>
              <w:t xml:space="preserve"> theo đúng quy định (nếu có).</w:t>
            </w:r>
          </w:p>
          <w:p w:rsidR="007326B9" w:rsidRPr="00D3691C" w:rsidRDefault="007326B9" w:rsidP="006F3151">
            <w:pPr>
              <w:widowControl w:val="0"/>
              <w:spacing w:before="120"/>
              <w:ind w:left="-113"/>
              <w:rPr>
                <w:szCs w:val="24"/>
                <w:lang w:val="vi-VN"/>
              </w:rPr>
            </w:pPr>
            <w:r w:rsidRPr="00D3691C">
              <w:rPr>
                <w:szCs w:val="24"/>
                <w:lang w:val="vi-VN"/>
              </w:rPr>
              <w:t xml:space="preserve">(Không áp dụng đối với </w:t>
            </w:r>
            <w:r>
              <w:rPr>
                <w:szCs w:val="24"/>
                <w:lang w:val="vi-VN"/>
              </w:rPr>
              <w:t>hàng hóa</w:t>
            </w:r>
            <w:r w:rsidRPr="00D3691C">
              <w:rPr>
                <w:szCs w:val="24"/>
                <w:lang w:val="vi-VN"/>
              </w:rPr>
              <w:t xml:space="preserve"> là các hóa chất, chế phẩm được quy định tại Danh mục được ban hành tại Thông tư số 09/2018/TT-BYT ngày 27/4/2018 và được quy định tại Khoản 6, Điều 3, Nghị định 98/2021/NĐ-CP </w:t>
            </w:r>
            <w:r w:rsidRPr="00D3691C">
              <w:rPr>
                <w:szCs w:val="24"/>
                <w:lang w:val="vi-VN"/>
              </w:rPr>
              <w:lastRenderedPageBreak/>
              <w:t>ngày 08/11/2021.)</w:t>
            </w:r>
          </w:p>
          <w:p w:rsidR="007326B9" w:rsidRPr="00D3691C" w:rsidRDefault="007326B9" w:rsidP="006F3151">
            <w:pPr>
              <w:spacing w:before="120" w:after="280" w:afterAutospacing="1"/>
              <w:ind w:firstLine="567"/>
              <w:rPr>
                <w:szCs w:val="24"/>
                <w:lang w:val="vi-VN"/>
              </w:rPr>
            </w:pPr>
          </w:p>
        </w:tc>
        <w:tc>
          <w:tcPr>
            <w:tcW w:w="1183" w:type="pct"/>
            <w:vAlign w:val="center"/>
          </w:tcPr>
          <w:p w:rsidR="007326B9" w:rsidRPr="00491A1E" w:rsidRDefault="007326B9" w:rsidP="006F3151">
            <w:pPr>
              <w:widowControl w:val="0"/>
              <w:tabs>
                <w:tab w:val="left" w:pos="851"/>
              </w:tabs>
              <w:jc w:val="center"/>
              <w:rPr>
                <w:szCs w:val="24"/>
              </w:rPr>
            </w:pPr>
            <w:r w:rsidRPr="00491A1E">
              <w:rPr>
                <w:szCs w:val="24"/>
              </w:rPr>
              <w:lastRenderedPageBreak/>
              <w:t>Không có tài liệu chứng minh hoặc tài liệu chứng minh không phù hợp hoặc không đầy đủ</w:t>
            </w:r>
          </w:p>
        </w:tc>
        <w:tc>
          <w:tcPr>
            <w:tcW w:w="626" w:type="pct"/>
            <w:vAlign w:val="center"/>
          </w:tcPr>
          <w:p w:rsidR="007326B9" w:rsidRPr="00491A1E" w:rsidRDefault="007326B9" w:rsidP="006F3151">
            <w:pPr>
              <w:widowControl w:val="0"/>
              <w:tabs>
                <w:tab w:val="left" w:pos="851"/>
              </w:tabs>
              <w:jc w:val="center"/>
              <w:rPr>
                <w:szCs w:val="24"/>
              </w:rPr>
            </w:pPr>
            <w:r w:rsidRPr="00491A1E">
              <w:rPr>
                <w:szCs w:val="24"/>
              </w:rPr>
              <w:t>Có đủ tài liệu chứng minh phù hợp</w:t>
            </w:r>
          </w:p>
        </w:tc>
      </w:tr>
      <w:tr w:rsidR="007326B9" w:rsidRPr="00491A1E" w:rsidTr="006F3151">
        <w:trPr>
          <w:trHeight w:val="974"/>
          <w:jc w:val="center"/>
        </w:trPr>
        <w:tc>
          <w:tcPr>
            <w:tcW w:w="847" w:type="pct"/>
            <w:vAlign w:val="center"/>
          </w:tcPr>
          <w:p w:rsidR="007326B9" w:rsidRPr="00025A1D" w:rsidRDefault="007326B9" w:rsidP="006F3151">
            <w:pPr>
              <w:spacing w:before="120" w:after="280" w:afterAutospacing="1"/>
              <w:jc w:val="center"/>
              <w:rPr>
                <w:b/>
                <w:szCs w:val="24"/>
                <w:lang w:val="pl-PL"/>
              </w:rPr>
            </w:pPr>
            <w:r w:rsidRPr="00025A1D">
              <w:rPr>
                <w:b/>
                <w:szCs w:val="24"/>
                <w:lang w:val="pl-PL"/>
              </w:rPr>
              <w:lastRenderedPageBreak/>
              <w:t>1.5  Điều kiện của nhà thầu khi dự thầu thiết bị y tế loại B, C, D.</w:t>
            </w:r>
          </w:p>
          <w:p w:rsidR="007326B9" w:rsidRPr="00491A1E" w:rsidRDefault="007326B9" w:rsidP="006F3151">
            <w:pPr>
              <w:widowControl w:val="0"/>
              <w:tabs>
                <w:tab w:val="left" w:pos="851"/>
              </w:tabs>
              <w:jc w:val="center"/>
              <w:rPr>
                <w:b/>
                <w:szCs w:val="24"/>
              </w:rPr>
            </w:pPr>
          </w:p>
        </w:tc>
        <w:tc>
          <w:tcPr>
            <w:tcW w:w="2344" w:type="pct"/>
            <w:vAlign w:val="center"/>
          </w:tcPr>
          <w:p w:rsidR="007326B9" w:rsidRPr="00D3691C" w:rsidRDefault="007326B9" w:rsidP="006F3151">
            <w:pPr>
              <w:spacing w:before="120" w:after="280" w:afterAutospacing="1"/>
              <w:ind w:hanging="14"/>
              <w:rPr>
                <w:szCs w:val="24"/>
                <w:lang w:val="vi-VN"/>
              </w:rPr>
            </w:pPr>
            <w:r w:rsidRPr="00D3691C">
              <w:rPr>
                <w:szCs w:val="24"/>
                <w:lang w:val="vi-VN"/>
              </w:rPr>
              <w:t>Đối với tổ chức, các nhân khi mua bán thiết bị y tế loại B, C, D phải có giấy chứng nhận đủ điều kiện mua bán thiết bị y tế loại B, C, D theo đúng quy định hoặc giấy chứng nhận đã được công khai trên các trang chính thống của Bộ Y tế.</w:t>
            </w:r>
          </w:p>
          <w:p w:rsidR="007326B9" w:rsidRPr="00D3691C" w:rsidRDefault="007326B9" w:rsidP="006F3151">
            <w:pPr>
              <w:spacing w:before="120" w:after="280" w:afterAutospacing="1"/>
              <w:ind w:hanging="14"/>
              <w:rPr>
                <w:szCs w:val="24"/>
                <w:lang w:val="vi-VN"/>
              </w:rPr>
            </w:pPr>
            <w:r w:rsidRPr="00D3691C">
              <w:rPr>
                <w:szCs w:val="24"/>
                <w:lang w:val="vi-VN"/>
              </w:rPr>
              <w:t xml:space="preserve"> (Đối với thiết bị y tế mà không phải đáp ứng điều kiện và không phải thực hiện thủ tục công bố đủ điều kiện mua bán gồm:  </w:t>
            </w:r>
            <w:r w:rsidRPr="00491A1E">
              <w:rPr>
                <w:szCs w:val="24"/>
                <w:lang w:val="vi-VN"/>
              </w:rPr>
              <w:t>thiết bị y tế thu</w:t>
            </w:r>
            <w:r>
              <w:rPr>
                <w:szCs w:val="24"/>
                <w:lang w:val="vi-VN"/>
              </w:rPr>
              <w:t xml:space="preserve">ộc loại B, C, D thuộc danh mục </w:t>
            </w:r>
            <w:r w:rsidRPr="00491A1E">
              <w:rPr>
                <w:szCs w:val="24"/>
                <w:lang w:val="vi-VN"/>
              </w:rPr>
              <w:t xml:space="preserve">thiết bị y tế do Bộ trưởng Bộ Y tế ban hành được mua, bán như các </w:t>
            </w:r>
            <w:r>
              <w:rPr>
                <w:szCs w:val="24"/>
                <w:lang w:val="vi-VN"/>
              </w:rPr>
              <w:t>hàng hóa</w:t>
            </w:r>
            <w:r w:rsidRPr="00491A1E">
              <w:rPr>
                <w:szCs w:val="24"/>
                <w:lang w:val="vi-VN"/>
              </w:rPr>
              <w:t xml:space="preserve"> thông thường nhưng vẫn phải đáp ứng các điều kiện về bảo quản, lưu giữ, vận chuy</w:t>
            </w:r>
            <w:r w:rsidRPr="00D3691C">
              <w:rPr>
                <w:szCs w:val="24"/>
                <w:lang w:val="vi-VN"/>
              </w:rPr>
              <w:t>ể</w:t>
            </w:r>
            <w:r w:rsidRPr="00491A1E">
              <w:rPr>
                <w:szCs w:val="24"/>
                <w:lang w:val="vi-VN"/>
              </w:rPr>
              <w:t>n the</w:t>
            </w:r>
            <w:r>
              <w:rPr>
                <w:szCs w:val="24"/>
                <w:lang w:val="vi-VN"/>
              </w:rPr>
              <w:t xml:space="preserve">o quy định của chủ sở hữu </w:t>
            </w:r>
            <w:r w:rsidRPr="00491A1E">
              <w:rPr>
                <w:szCs w:val="24"/>
                <w:lang w:val="vi-VN"/>
              </w:rPr>
              <w:t>thiết bị y tế.</w:t>
            </w:r>
            <w:r w:rsidRPr="00D3691C">
              <w:rPr>
                <w:szCs w:val="24"/>
                <w:lang w:val="vi-VN"/>
              </w:rPr>
              <w:t>)</w:t>
            </w:r>
          </w:p>
        </w:tc>
        <w:tc>
          <w:tcPr>
            <w:tcW w:w="1183" w:type="pct"/>
            <w:vAlign w:val="center"/>
          </w:tcPr>
          <w:p w:rsidR="007326B9" w:rsidRPr="00491A1E" w:rsidRDefault="007326B9" w:rsidP="006F3151">
            <w:pPr>
              <w:widowControl w:val="0"/>
              <w:tabs>
                <w:tab w:val="left" w:pos="851"/>
              </w:tabs>
              <w:jc w:val="center"/>
              <w:rPr>
                <w:szCs w:val="24"/>
              </w:rPr>
            </w:pPr>
            <w:r w:rsidRPr="00491A1E">
              <w:rPr>
                <w:szCs w:val="24"/>
              </w:rPr>
              <w:t>Không có tài liệu chứng minh hoặc tài liệu chứng minh không phù hợp hoặc không đầy đủ</w:t>
            </w:r>
          </w:p>
        </w:tc>
        <w:tc>
          <w:tcPr>
            <w:tcW w:w="626" w:type="pct"/>
            <w:vAlign w:val="center"/>
          </w:tcPr>
          <w:p w:rsidR="007326B9" w:rsidRPr="00491A1E" w:rsidRDefault="007326B9" w:rsidP="006F3151">
            <w:pPr>
              <w:widowControl w:val="0"/>
              <w:tabs>
                <w:tab w:val="left" w:pos="851"/>
              </w:tabs>
              <w:jc w:val="center"/>
              <w:rPr>
                <w:szCs w:val="24"/>
              </w:rPr>
            </w:pPr>
            <w:r w:rsidRPr="00491A1E">
              <w:rPr>
                <w:szCs w:val="24"/>
              </w:rPr>
              <w:t>Có đủ tài liệu chứng minh phù hợp</w:t>
            </w:r>
          </w:p>
        </w:tc>
      </w:tr>
      <w:tr w:rsidR="007326B9" w:rsidRPr="00491A1E" w:rsidTr="006F3151">
        <w:trPr>
          <w:trHeight w:val="1259"/>
          <w:jc w:val="center"/>
        </w:trPr>
        <w:tc>
          <w:tcPr>
            <w:tcW w:w="847" w:type="pct"/>
            <w:vAlign w:val="center"/>
          </w:tcPr>
          <w:p w:rsidR="007326B9" w:rsidRPr="00491A1E" w:rsidRDefault="007326B9" w:rsidP="006F3151">
            <w:pPr>
              <w:spacing w:before="120" w:after="280" w:afterAutospacing="1"/>
              <w:jc w:val="center"/>
              <w:rPr>
                <w:b/>
                <w:szCs w:val="24"/>
              </w:rPr>
            </w:pPr>
            <w:r w:rsidRPr="00025A1D">
              <w:rPr>
                <w:b/>
                <w:szCs w:val="24"/>
                <w:lang w:val="pl-PL"/>
              </w:rPr>
              <w:t>1.6. Tài liệu chứng minh đặc tính, thông số kỹ</w:t>
            </w:r>
            <w:r>
              <w:rPr>
                <w:b/>
                <w:szCs w:val="24"/>
                <w:lang w:val="pl-PL"/>
              </w:rPr>
              <w:t xml:space="preserve"> thuật của hàng hóa dự thầu:</w:t>
            </w:r>
          </w:p>
        </w:tc>
        <w:tc>
          <w:tcPr>
            <w:tcW w:w="2344" w:type="pct"/>
            <w:vAlign w:val="center"/>
          </w:tcPr>
          <w:p w:rsidR="007326B9" w:rsidRPr="00491A1E" w:rsidRDefault="007326B9" w:rsidP="006F3151">
            <w:pPr>
              <w:spacing w:before="120"/>
              <w:ind w:right="45"/>
              <w:rPr>
                <w:szCs w:val="24"/>
              </w:rPr>
            </w:pPr>
            <w:r w:rsidRPr="00196981">
              <w:rPr>
                <w:szCs w:val="24"/>
              </w:rPr>
              <w:t xml:space="preserve">Nhà thầu phải cung cấp Catalog/Tài liệu kỹ thuật có đầy đủ nội dung chứng minh các đặc tính, thông số kỹ thuật đối với </w:t>
            </w:r>
            <w:r>
              <w:rPr>
                <w:szCs w:val="24"/>
              </w:rPr>
              <w:t>hàng hóa</w:t>
            </w:r>
            <w:r w:rsidRPr="00196981">
              <w:rPr>
                <w:szCs w:val="24"/>
              </w:rPr>
              <w:t xml:space="preserve"> dự thầu theo yêu cầu của E-HSMT (nếu có).</w:t>
            </w:r>
          </w:p>
        </w:tc>
        <w:tc>
          <w:tcPr>
            <w:tcW w:w="1183" w:type="pct"/>
            <w:vAlign w:val="center"/>
          </w:tcPr>
          <w:p w:rsidR="007326B9" w:rsidRPr="00491A1E" w:rsidRDefault="007326B9" w:rsidP="006F3151">
            <w:pPr>
              <w:widowControl w:val="0"/>
              <w:tabs>
                <w:tab w:val="left" w:pos="851"/>
              </w:tabs>
              <w:rPr>
                <w:szCs w:val="24"/>
              </w:rPr>
            </w:pPr>
            <w:r w:rsidRPr="00491A1E">
              <w:rPr>
                <w:szCs w:val="24"/>
              </w:rPr>
              <w:t>Không có tài liệu chứng minh hoặc tài liệu chứng minh không phù hợp hoặc không đầy đủ.</w:t>
            </w:r>
          </w:p>
        </w:tc>
        <w:tc>
          <w:tcPr>
            <w:tcW w:w="626" w:type="pct"/>
            <w:vAlign w:val="center"/>
          </w:tcPr>
          <w:p w:rsidR="007326B9" w:rsidRPr="00491A1E" w:rsidRDefault="007326B9" w:rsidP="006F3151">
            <w:pPr>
              <w:widowControl w:val="0"/>
              <w:tabs>
                <w:tab w:val="left" w:pos="851"/>
              </w:tabs>
              <w:rPr>
                <w:szCs w:val="24"/>
              </w:rPr>
            </w:pPr>
            <w:r w:rsidRPr="00491A1E">
              <w:rPr>
                <w:szCs w:val="24"/>
              </w:rPr>
              <w:t>Đáp ứng tất cả</w:t>
            </w:r>
          </w:p>
        </w:tc>
      </w:tr>
      <w:tr w:rsidR="007326B9" w:rsidRPr="00491A1E" w:rsidTr="006F3151">
        <w:trPr>
          <w:trHeight w:val="1259"/>
          <w:jc w:val="center"/>
        </w:trPr>
        <w:tc>
          <w:tcPr>
            <w:tcW w:w="847" w:type="pct"/>
            <w:vAlign w:val="center"/>
          </w:tcPr>
          <w:p w:rsidR="007326B9" w:rsidRPr="00491A1E" w:rsidRDefault="007326B9" w:rsidP="006F3151">
            <w:pPr>
              <w:widowControl w:val="0"/>
              <w:tabs>
                <w:tab w:val="left" w:pos="851"/>
              </w:tabs>
              <w:jc w:val="center"/>
              <w:rPr>
                <w:b/>
                <w:szCs w:val="24"/>
              </w:rPr>
            </w:pPr>
            <w:r w:rsidRPr="00491A1E">
              <w:rPr>
                <w:b/>
                <w:szCs w:val="24"/>
                <w:lang w:val="pl-PL"/>
              </w:rPr>
              <w:t>1.</w:t>
            </w:r>
            <w:r>
              <w:rPr>
                <w:b/>
                <w:szCs w:val="24"/>
                <w:lang w:val="pl-PL"/>
              </w:rPr>
              <w:t>7</w:t>
            </w:r>
            <w:r w:rsidRPr="00491A1E">
              <w:rPr>
                <w:b/>
                <w:szCs w:val="24"/>
                <w:lang w:val="pl-PL"/>
              </w:rPr>
              <w:t xml:space="preserve"> Cung cấp các thông tin </w:t>
            </w:r>
            <w:r>
              <w:rPr>
                <w:b/>
                <w:szCs w:val="24"/>
                <w:lang w:val="pl-PL"/>
              </w:rPr>
              <w:t>về nhà thầu</w:t>
            </w:r>
          </w:p>
        </w:tc>
        <w:tc>
          <w:tcPr>
            <w:tcW w:w="2344" w:type="pct"/>
            <w:vAlign w:val="center"/>
          </w:tcPr>
          <w:p w:rsidR="007326B9" w:rsidRPr="00491A1E" w:rsidRDefault="007326B9" w:rsidP="006F3151">
            <w:pPr>
              <w:spacing w:after="120"/>
              <w:rPr>
                <w:szCs w:val="24"/>
                <w:lang w:val="pl-PL"/>
              </w:rPr>
            </w:pPr>
            <w:r w:rsidRPr="00491A1E">
              <w:rPr>
                <w:szCs w:val="24"/>
                <w:lang w:val="pl-PL"/>
              </w:rPr>
              <w:t xml:space="preserve"> Nhà thầu phải cung cấp các thông tin của </w:t>
            </w:r>
            <w:r>
              <w:rPr>
                <w:szCs w:val="24"/>
                <w:lang w:val="pl-PL"/>
              </w:rPr>
              <w:t>nhà thầu</w:t>
            </w:r>
            <w:r w:rsidRPr="00491A1E">
              <w:rPr>
                <w:szCs w:val="24"/>
                <w:lang w:val="pl-PL"/>
              </w:rPr>
              <w:t xml:space="preserve"> dự thầu theo mẫu quy định tại chương V.</w:t>
            </w:r>
          </w:p>
        </w:tc>
        <w:tc>
          <w:tcPr>
            <w:tcW w:w="1183" w:type="pct"/>
            <w:vAlign w:val="center"/>
          </w:tcPr>
          <w:p w:rsidR="007326B9" w:rsidRPr="00491A1E" w:rsidRDefault="007326B9" w:rsidP="006F3151">
            <w:pPr>
              <w:widowControl w:val="0"/>
              <w:tabs>
                <w:tab w:val="left" w:pos="851"/>
              </w:tabs>
              <w:jc w:val="center"/>
              <w:rPr>
                <w:szCs w:val="24"/>
              </w:rPr>
            </w:pPr>
            <w:r w:rsidRPr="00491A1E">
              <w:rPr>
                <w:szCs w:val="24"/>
              </w:rPr>
              <w:t>Không có tài liệu chứng minh hoặc tài liệu chứng minh không phù hợp hoặc không đầy đủ</w:t>
            </w:r>
          </w:p>
        </w:tc>
        <w:tc>
          <w:tcPr>
            <w:tcW w:w="626" w:type="pct"/>
            <w:vAlign w:val="center"/>
          </w:tcPr>
          <w:p w:rsidR="007326B9" w:rsidRPr="00491A1E" w:rsidRDefault="007326B9" w:rsidP="006F3151">
            <w:pPr>
              <w:widowControl w:val="0"/>
              <w:tabs>
                <w:tab w:val="left" w:pos="851"/>
              </w:tabs>
              <w:jc w:val="center"/>
              <w:rPr>
                <w:szCs w:val="24"/>
              </w:rPr>
            </w:pPr>
            <w:r w:rsidRPr="00491A1E">
              <w:rPr>
                <w:szCs w:val="24"/>
              </w:rPr>
              <w:t>Có đủ tài liệu chứng minh phù hợp</w:t>
            </w:r>
          </w:p>
        </w:tc>
      </w:tr>
      <w:tr w:rsidR="007326B9" w:rsidRPr="00491A1E" w:rsidTr="006F3151">
        <w:trPr>
          <w:trHeight w:val="1259"/>
          <w:jc w:val="center"/>
        </w:trPr>
        <w:tc>
          <w:tcPr>
            <w:tcW w:w="847" w:type="pct"/>
            <w:vAlign w:val="center"/>
          </w:tcPr>
          <w:p w:rsidR="007326B9" w:rsidRPr="00491A1E" w:rsidRDefault="007326B9" w:rsidP="006F3151">
            <w:pPr>
              <w:widowControl w:val="0"/>
              <w:tabs>
                <w:tab w:val="left" w:pos="851"/>
              </w:tabs>
              <w:jc w:val="left"/>
              <w:rPr>
                <w:szCs w:val="24"/>
              </w:rPr>
            </w:pPr>
            <w:r w:rsidRPr="00491A1E">
              <w:rPr>
                <w:b/>
                <w:szCs w:val="24"/>
                <w:lang w:val="pl-PL"/>
              </w:rPr>
              <w:t xml:space="preserve">2. Yêu cầu về tài liệu </w:t>
            </w:r>
          </w:p>
        </w:tc>
        <w:tc>
          <w:tcPr>
            <w:tcW w:w="2344" w:type="pct"/>
            <w:vAlign w:val="center"/>
          </w:tcPr>
          <w:p w:rsidR="007326B9" w:rsidRPr="00491A1E" w:rsidRDefault="007326B9" w:rsidP="006F3151">
            <w:pPr>
              <w:spacing w:after="120"/>
              <w:ind w:hanging="11"/>
              <w:rPr>
                <w:szCs w:val="24"/>
              </w:rPr>
            </w:pPr>
            <w:r w:rsidRPr="00491A1E">
              <w:rPr>
                <w:szCs w:val="24"/>
              </w:rPr>
              <w:t>Tất cả các t</w:t>
            </w:r>
            <w:r>
              <w:rPr>
                <w:szCs w:val="24"/>
              </w:rPr>
              <w:t>ài liệu về tính hợp lệ của</w:t>
            </w:r>
            <w:r w:rsidRPr="00491A1E">
              <w:rPr>
                <w:szCs w:val="24"/>
              </w:rPr>
              <w:t xml:space="preserve"> </w:t>
            </w:r>
            <w:r>
              <w:rPr>
                <w:szCs w:val="24"/>
              </w:rPr>
              <w:t>hàng hóa</w:t>
            </w:r>
            <w:r w:rsidRPr="00491A1E">
              <w:rPr>
                <w:szCs w:val="24"/>
              </w:rPr>
              <w:t xml:space="preserve"> phải được cơ quan có thẩm quyền cấp còn hiệu lực, </w:t>
            </w:r>
            <w:r>
              <w:rPr>
                <w:rFonts w:eastAsia="Calibri"/>
                <w:szCs w:val="24"/>
              </w:rPr>
              <w:t>c</w:t>
            </w:r>
            <w:r w:rsidRPr="00491A1E">
              <w:rPr>
                <w:rFonts w:eastAsia="Calibri"/>
                <w:szCs w:val="24"/>
              </w:rPr>
              <w:t>ác tài liệu bằng tiếng nước ngoài phải kèm theo bản dịch Tiếng Việt và cam kết bản dịch đúng với bản gốc.</w:t>
            </w:r>
            <w:r>
              <w:rPr>
                <w:rFonts w:eastAsia="Calibri"/>
                <w:szCs w:val="24"/>
              </w:rPr>
              <w:t xml:space="preserve"> Tất cả các tài liệu (trong nước và nước ngoài) đều phải</w:t>
            </w:r>
            <w:r w:rsidRPr="00491A1E">
              <w:rPr>
                <w:rFonts w:eastAsia="Calibri"/>
                <w:szCs w:val="24"/>
              </w:rPr>
              <w:t xml:space="preserve"> đóng dấu xác nhận của nhà thầu</w:t>
            </w:r>
            <w:r>
              <w:rPr>
                <w:rFonts w:eastAsia="Calibri"/>
                <w:szCs w:val="24"/>
              </w:rPr>
              <w:t xml:space="preserve">. </w:t>
            </w:r>
            <w:r w:rsidRPr="00491A1E">
              <w:rPr>
                <w:rFonts w:eastAsia="Calibri"/>
                <w:szCs w:val="24"/>
              </w:rPr>
              <w:t xml:space="preserve"> N</w:t>
            </w:r>
            <w:r w:rsidRPr="00491A1E">
              <w:rPr>
                <w:szCs w:val="24"/>
              </w:rPr>
              <w:t xml:space="preserve">hà thầu phải chịu trách nhiệm về tính chính </w:t>
            </w:r>
            <w:r>
              <w:rPr>
                <w:szCs w:val="24"/>
              </w:rPr>
              <w:t xml:space="preserve">xác </w:t>
            </w:r>
            <w:r w:rsidRPr="00491A1E">
              <w:rPr>
                <w:szCs w:val="24"/>
              </w:rPr>
              <w:t>và tính pháp lý của các tài liệu này.</w:t>
            </w:r>
            <w:r w:rsidRPr="00491A1E">
              <w:rPr>
                <w:rFonts w:eastAsia="Calibri"/>
                <w:szCs w:val="24"/>
              </w:rPr>
              <w:t xml:space="preserve"> </w:t>
            </w:r>
          </w:p>
          <w:p w:rsidR="007326B9" w:rsidRPr="00491A1E" w:rsidRDefault="007326B9" w:rsidP="006F3151">
            <w:pPr>
              <w:spacing w:before="120"/>
              <w:ind w:hanging="11"/>
              <w:rPr>
                <w:szCs w:val="24"/>
                <w:lang w:val="pl-PL"/>
              </w:rPr>
            </w:pPr>
            <w:r w:rsidRPr="00491A1E">
              <w:rPr>
                <w:szCs w:val="24"/>
                <w:lang w:val="pl-PL"/>
              </w:rPr>
              <w:t xml:space="preserve">Đối với trường hợp </w:t>
            </w:r>
            <w:r>
              <w:rPr>
                <w:szCs w:val="24"/>
                <w:lang w:val="pl-PL"/>
              </w:rPr>
              <w:t>hàng hóa</w:t>
            </w:r>
            <w:r w:rsidRPr="00491A1E">
              <w:rPr>
                <w:szCs w:val="24"/>
                <w:lang w:val="pl-PL"/>
              </w:rPr>
              <w:t xml:space="preserve"> tham dự thầu có tài liệu chứng minh nguồn gốc xuất xứ (lưu hành, giấy phép nhập khẩu) hoặc tiêu chuẩn chất lượng sản phẩm hết hiệu lực trước thời điểm đóng thầu, nhà thầu phải cung cấp bản cam kết đảm bảo đủ số lượng cung ứng theo số lượng tại </w:t>
            </w:r>
            <w:r>
              <w:rPr>
                <w:szCs w:val="24"/>
                <w:lang w:val="pl-PL"/>
              </w:rPr>
              <w:t>E-HSMT</w:t>
            </w:r>
            <w:r w:rsidRPr="00491A1E">
              <w:rPr>
                <w:szCs w:val="24"/>
                <w:lang w:val="pl-PL"/>
              </w:rPr>
              <w:t xml:space="preserve"> và </w:t>
            </w:r>
            <w:r w:rsidRPr="00491A1E">
              <w:rPr>
                <w:szCs w:val="24"/>
                <w:lang w:val="pl-PL"/>
              </w:rPr>
              <w:lastRenderedPageBreak/>
              <w:t>chứng minh bằng thẻ</w:t>
            </w:r>
            <w:r>
              <w:rPr>
                <w:szCs w:val="24"/>
                <w:lang w:val="pl-PL"/>
              </w:rPr>
              <w:t xml:space="preserve"> kho trước thời điểm đóng thầu.</w:t>
            </w:r>
          </w:p>
        </w:tc>
        <w:tc>
          <w:tcPr>
            <w:tcW w:w="1183" w:type="pct"/>
            <w:vAlign w:val="center"/>
          </w:tcPr>
          <w:p w:rsidR="007326B9" w:rsidRPr="00491A1E" w:rsidRDefault="007326B9" w:rsidP="006F3151">
            <w:pPr>
              <w:widowControl w:val="0"/>
              <w:tabs>
                <w:tab w:val="left" w:pos="851"/>
              </w:tabs>
              <w:rPr>
                <w:szCs w:val="24"/>
              </w:rPr>
            </w:pPr>
            <w:r w:rsidRPr="00491A1E">
              <w:rPr>
                <w:szCs w:val="24"/>
              </w:rPr>
              <w:lastRenderedPageBreak/>
              <w:t>Không có tài liệu chứng minh hoặc tài liệu chứng minh không phù hợp hoặc không đầy đủ</w:t>
            </w:r>
          </w:p>
        </w:tc>
        <w:tc>
          <w:tcPr>
            <w:tcW w:w="626" w:type="pct"/>
            <w:vAlign w:val="center"/>
          </w:tcPr>
          <w:p w:rsidR="007326B9" w:rsidRPr="00491A1E" w:rsidRDefault="007326B9" w:rsidP="006F3151">
            <w:pPr>
              <w:widowControl w:val="0"/>
              <w:tabs>
                <w:tab w:val="left" w:pos="851"/>
              </w:tabs>
              <w:rPr>
                <w:szCs w:val="24"/>
              </w:rPr>
            </w:pPr>
            <w:r w:rsidRPr="00491A1E">
              <w:rPr>
                <w:szCs w:val="24"/>
              </w:rPr>
              <w:t>Có đủ tài liệu chứng minh phù hợp</w:t>
            </w:r>
          </w:p>
        </w:tc>
      </w:tr>
      <w:tr w:rsidR="007326B9" w:rsidRPr="00491A1E" w:rsidTr="006F3151">
        <w:trPr>
          <w:trHeight w:val="537"/>
          <w:jc w:val="center"/>
        </w:trPr>
        <w:tc>
          <w:tcPr>
            <w:tcW w:w="3191" w:type="pct"/>
            <w:gridSpan w:val="2"/>
            <w:vAlign w:val="center"/>
          </w:tcPr>
          <w:p w:rsidR="007326B9" w:rsidRPr="00491A1E" w:rsidRDefault="007326B9" w:rsidP="006F3151">
            <w:pPr>
              <w:widowControl w:val="0"/>
              <w:tabs>
                <w:tab w:val="left" w:pos="851"/>
              </w:tabs>
              <w:jc w:val="center"/>
              <w:rPr>
                <w:b/>
                <w:sz w:val="26"/>
                <w:szCs w:val="26"/>
                <w:vertAlign w:val="superscript"/>
              </w:rPr>
            </w:pPr>
            <w:r w:rsidRPr="00491A1E">
              <w:rPr>
                <w:b/>
                <w:sz w:val="26"/>
                <w:szCs w:val="26"/>
              </w:rPr>
              <w:lastRenderedPageBreak/>
              <w:t xml:space="preserve">Kết luận </w:t>
            </w:r>
            <w:r w:rsidRPr="00491A1E">
              <w:rPr>
                <w:b/>
                <w:sz w:val="26"/>
                <w:szCs w:val="26"/>
                <w:vertAlign w:val="superscript"/>
              </w:rPr>
              <w:t>(1)</w:t>
            </w:r>
          </w:p>
        </w:tc>
        <w:tc>
          <w:tcPr>
            <w:tcW w:w="1809" w:type="pct"/>
            <w:gridSpan w:val="2"/>
          </w:tcPr>
          <w:p w:rsidR="007326B9" w:rsidRPr="00491A1E" w:rsidRDefault="007326B9" w:rsidP="006F3151">
            <w:pPr>
              <w:widowControl w:val="0"/>
              <w:tabs>
                <w:tab w:val="left" w:pos="851"/>
              </w:tabs>
              <w:jc w:val="center"/>
              <w:rPr>
                <w:sz w:val="26"/>
                <w:szCs w:val="26"/>
              </w:rPr>
            </w:pPr>
          </w:p>
        </w:tc>
      </w:tr>
    </w:tbl>
    <w:p w:rsidR="008E3BF8" w:rsidRDefault="008E3BF8">
      <w:bookmarkStart w:id="1" w:name="_GoBack"/>
      <w:bookmarkEnd w:id="1"/>
    </w:p>
    <w:sectPr w:rsidR="008E3BF8" w:rsidSect="00D52F4E">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4B" w:rsidRDefault="00B6154B" w:rsidP="007326B9">
      <w:r>
        <w:separator/>
      </w:r>
    </w:p>
  </w:endnote>
  <w:endnote w:type="continuationSeparator" w:id="0">
    <w:p w:rsidR="00B6154B" w:rsidRDefault="00B6154B" w:rsidP="0073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4B" w:rsidRDefault="00B6154B" w:rsidP="007326B9">
      <w:r>
        <w:separator/>
      </w:r>
    </w:p>
  </w:footnote>
  <w:footnote w:type="continuationSeparator" w:id="0">
    <w:p w:rsidR="00B6154B" w:rsidRDefault="00B6154B" w:rsidP="007326B9">
      <w:r>
        <w:continuationSeparator/>
      </w:r>
    </w:p>
  </w:footnote>
  <w:footnote w:id="1">
    <w:p w:rsidR="007326B9" w:rsidRPr="00E951D2" w:rsidRDefault="007326B9" w:rsidP="007326B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7A"/>
    <w:rsid w:val="0003467A"/>
    <w:rsid w:val="007326B9"/>
    <w:rsid w:val="008E3BF8"/>
    <w:rsid w:val="00B6154B"/>
    <w:rsid w:val="00D5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6B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326B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7326B9"/>
    <w:pPr>
      <w:tabs>
        <w:tab w:val="left" w:pos="360"/>
      </w:tabs>
      <w:ind w:left="360" w:hanging="360"/>
    </w:pPr>
    <w:rPr>
      <w:sz w:val="20"/>
    </w:rPr>
  </w:style>
  <w:style w:type="character" w:customStyle="1" w:styleId="FootnoteTextChar">
    <w:name w:val="Footnote Text Char"/>
    <w:basedOn w:val="DefaultParagraphFont"/>
    <w:link w:val="FootnoteText"/>
    <w:rsid w:val="007326B9"/>
    <w:rPr>
      <w:rFonts w:ascii="Times New Roman" w:eastAsia="Times New Roman" w:hAnsi="Times New Roman" w:cs="Times New Roman"/>
      <w:sz w:val="20"/>
      <w:szCs w:val="20"/>
    </w:rPr>
  </w:style>
  <w:style w:type="character" w:styleId="FootnoteReference">
    <w:name w:val="footnote reference"/>
    <w:aliases w:val="callout"/>
    <w:uiPriority w:val="99"/>
    <w:rsid w:val="007326B9"/>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326B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26B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6B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326B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7326B9"/>
    <w:pPr>
      <w:tabs>
        <w:tab w:val="left" w:pos="360"/>
      </w:tabs>
      <w:ind w:left="360" w:hanging="360"/>
    </w:pPr>
    <w:rPr>
      <w:sz w:val="20"/>
    </w:rPr>
  </w:style>
  <w:style w:type="character" w:customStyle="1" w:styleId="FootnoteTextChar">
    <w:name w:val="Footnote Text Char"/>
    <w:basedOn w:val="DefaultParagraphFont"/>
    <w:link w:val="FootnoteText"/>
    <w:rsid w:val="007326B9"/>
    <w:rPr>
      <w:rFonts w:ascii="Times New Roman" w:eastAsia="Times New Roman" w:hAnsi="Times New Roman" w:cs="Times New Roman"/>
      <w:sz w:val="20"/>
      <w:szCs w:val="20"/>
    </w:rPr>
  </w:style>
  <w:style w:type="character" w:styleId="FootnoteReference">
    <w:name w:val="footnote reference"/>
    <w:aliases w:val="callout"/>
    <w:uiPriority w:val="99"/>
    <w:rsid w:val="007326B9"/>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326B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26B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2025-11-25T07:15:00Z</dcterms:created>
  <dcterms:modified xsi:type="dcterms:W3CDTF">2025-11-25T07:15:00Z</dcterms:modified>
</cp:coreProperties>
</file>