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1D51" w14:textId="77777777" w:rsidR="003A18F7" w:rsidRPr="003A18F7" w:rsidRDefault="003A18F7" w:rsidP="003A18F7">
      <w:pPr>
        <w:widowControl w:val="0"/>
        <w:spacing w:before="120" w:after="120" w:line="264" w:lineRule="auto"/>
        <w:jc w:val="center"/>
        <w:outlineLvl w:val="1"/>
        <w:rPr>
          <w:sz w:val="26"/>
          <w:szCs w:val="26"/>
          <w:lang w:val="nl-NL"/>
        </w:rPr>
      </w:pPr>
      <w:bookmarkStart w:id="0" w:name="_Hlk208136236"/>
      <w:r w:rsidRPr="003A18F7">
        <w:rPr>
          <w:b/>
          <w:sz w:val="26"/>
          <w:szCs w:val="26"/>
          <w:lang w:val="nl-NL"/>
        </w:rPr>
        <w:t>Chương V. YÊU CẦU VỀ KỸ THUẬT</w:t>
      </w:r>
    </w:p>
    <w:p w14:paraId="196CA37D" w14:textId="77777777" w:rsidR="003A18F7" w:rsidRPr="003A18F7" w:rsidRDefault="003A18F7" w:rsidP="003A18F7">
      <w:pPr>
        <w:pStyle w:val="Subtitle"/>
        <w:rPr>
          <w:sz w:val="26"/>
          <w:szCs w:val="26"/>
          <w:lang w:val="nl-NL"/>
        </w:rPr>
      </w:pPr>
    </w:p>
    <w:p w14:paraId="77C8BE02" w14:textId="77777777" w:rsidR="003A18F7" w:rsidRPr="003A18F7" w:rsidRDefault="003A18F7" w:rsidP="003A18F7">
      <w:pPr>
        <w:pStyle w:val="SectionVIHeader"/>
        <w:widowControl w:val="0"/>
        <w:spacing w:after="120" w:line="264" w:lineRule="auto"/>
        <w:ind w:firstLine="709"/>
        <w:jc w:val="both"/>
        <w:rPr>
          <w:sz w:val="26"/>
          <w:szCs w:val="26"/>
          <w:lang w:val="nl-NL"/>
        </w:rPr>
      </w:pPr>
      <w:r w:rsidRPr="003A18F7">
        <w:rPr>
          <w:sz w:val="26"/>
          <w:szCs w:val="26"/>
          <w:lang w:val="nl-NL"/>
        </w:rPr>
        <w:t>Mục 1. Yêu cầu về kỹ thuật</w:t>
      </w:r>
    </w:p>
    <w:p w14:paraId="6B2E5D7E" w14:textId="77777777" w:rsidR="003A18F7" w:rsidRPr="003A18F7" w:rsidRDefault="003A18F7" w:rsidP="003A18F7">
      <w:pPr>
        <w:widowControl w:val="0"/>
        <w:spacing w:before="120" w:after="120" w:line="264" w:lineRule="auto"/>
        <w:ind w:firstLine="709"/>
        <w:rPr>
          <w:b/>
          <w:i/>
          <w:sz w:val="26"/>
          <w:szCs w:val="26"/>
          <w:lang w:val="nl-NL"/>
        </w:rPr>
      </w:pPr>
      <w:r w:rsidRPr="003A18F7">
        <w:rPr>
          <w:b/>
          <w:i/>
          <w:sz w:val="26"/>
          <w:szCs w:val="26"/>
          <w:lang w:val="nl-NL"/>
        </w:rPr>
        <w:t>1.1. Giới thiệu chung về dự án/</w:t>
      </w:r>
      <w:r w:rsidRPr="003A18F7">
        <w:rPr>
          <w:b/>
          <w:i/>
          <w:sz w:val="26"/>
          <w:szCs w:val="26"/>
        </w:rPr>
        <w:t>dự toán mua sắm</w:t>
      </w:r>
      <w:r w:rsidRPr="003A18F7">
        <w:rPr>
          <w:b/>
          <w:i/>
          <w:sz w:val="26"/>
          <w:szCs w:val="26"/>
          <w:lang w:val="nl-NL"/>
        </w:rPr>
        <w:t>, gói thầu</w:t>
      </w:r>
    </w:p>
    <w:p w14:paraId="6CC593E5" w14:textId="77777777" w:rsidR="003A18F7" w:rsidRPr="003A18F7" w:rsidRDefault="003A18F7" w:rsidP="003A18F7">
      <w:pPr>
        <w:autoSpaceDE w:val="0"/>
        <w:autoSpaceDN w:val="0"/>
        <w:adjustRightInd w:val="0"/>
        <w:spacing w:before="120"/>
        <w:ind w:firstLine="567"/>
        <w:rPr>
          <w:spacing w:val="-4"/>
          <w:sz w:val="26"/>
          <w:szCs w:val="26"/>
        </w:rPr>
      </w:pPr>
      <w:r w:rsidRPr="003A18F7">
        <w:rPr>
          <w:spacing w:val="-4"/>
          <w:sz w:val="26"/>
          <w:szCs w:val="26"/>
        </w:rPr>
        <w:t>- Chủ đầu tư: Bệnh viện Đa khoa Thái Bình</w:t>
      </w:r>
    </w:p>
    <w:p w14:paraId="72C7B266" w14:textId="77777777" w:rsidR="003A18F7" w:rsidRPr="003A18F7" w:rsidRDefault="003A18F7" w:rsidP="003A18F7">
      <w:pPr>
        <w:autoSpaceDE w:val="0"/>
        <w:autoSpaceDN w:val="0"/>
        <w:adjustRightInd w:val="0"/>
        <w:spacing w:before="120"/>
        <w:ind w:firstLine="567"/>
        <w:rPr>
          <w:sz w:val="26"/>
          <w:szCs w:val="26"/>
          <w:lang w:eastAsia="vi-VN"/>
        </w:rPr>
      </w:pPr>
      <w:r w:rsidRPr="003A18F7">
        <w:rPr>
          <w:sz w:val="26"/>
          <w:szCs w:val="26"/>
        </w:rPr>
        <w:t xml:space="preserve">- Tên </w:t>
      </w:r>
      <w:r w:rsidRPr="003A18F7">
        <w:rPr>
          <w:sz w:val="26"/>
          <w:szCs w:val="26"/>
          <w:lang w:eastAsia="vi-VN"/>
        </w:rPr>
        <w:t>dự toán mua sắm: Mua sắm linh kiện sửa chữa ống nội soi đại tràng tại khoa nội siêu hóa</w:t>
      </w:r>
    </w:p>
    <w:p w14:paraId="7213D6C8" w14:textId="77777777" w:rsidR="003A18F7" w:rsidRPr="003A18F7" w:rsidRDefault="003A18F7" w:rsidP="003A18F7">
      <w:pPr>
        <w:autoSpaceDE w:val="0"/>
        <w:autoSpaceDN w:val="0"/>
        <w:adjustRightInd w:val="0"/>
        <w:spacing w:before="120"/>
        <w:ind w:firstLine="567"/>
        <w:rPr>
          <w:sz w:val="26"/>
          <w:szCs w:val="26"/>
          <w:lang w:val="sv-SE" w:eastAsia="vi-VN"/>
        </w:rPr>
      </w:pPr>
      <w:r w:rsidRPr="003A18F7">
        <w:rPr>
          <w:sz w:val="26"/>
          <w:szCs w:val="26"/>
          <w:lang w:val="sv-SE"/>
        </w:rPr>
        <w:t xml:space="preserve">- </w:t>
      </w:r>
      <w:r w:rsidRPr="003A18F7">
        <w:rPr>
          <w:sz w:val="26"/>
          <w:szCs w:val="26"/>
          <w:lang w:val="sv-SE" w:eastAsia="vi-VN"/>
        </w:rPr>
        <w:t xml:space="preserve">Tên gói thầu: </w:t>
      </w:r>
      <w:r w:rsidRPr="003A18F7">
        <w:rPr>
          <w:sz w:val="26"/>
          <w:szCs w:val="26"/>
        </w:rPr>
        <w:t>Mua sắm linh kiện sửa chữa ống nội soi đại tràng tại khoa nội siêu hóa</w:t>
      </w:r>
    </w:p>
    <w:p w14:paraId="7E23ADDD" w14:textId="77777777" w:rsidR="003A18F7" w:rsidRPr="003A18F7" w:rsidRDefault="003A18F7" w:rsidP="003A18F7">
      <w:pPr>
        <w:autoSpaceDE w:val="0"/>
        <w:autoSpaceDN w:val="0"/>
        <w:adjustRightInd w:val="0"/>
        <w:spacing w:before="120"/>
        <w:ind w:firstLine="567"/>
        <w:rPr>
          <w:sz w:val="26"/>
          <w:szCs w:val="26"/>
          <w:lang w:val="sv-SE"/>
        </w:rPr>
      </w:pPr>
      <w:r w:rsidRPr="003A18F7">
        <w:rPr>
          <w:bCs/>
          <w:sz w:val="26"/>
          <w:szCs w:val="26"/>
          <w:lang w:val="sv-SE"/>
        </w:rPr>
        <w:t xml:space="preserve">- Nguồn vốn: </w:t>
      </w:r>
      <w:r w:rsidRPr="003A18F7">
        <w:rPr>
          <w:sz w:val="26"/>
          <w:szCs w:val="26"/>
          <w:lang w:val="sv-SE"/>
        </w:rPr>
        <w:t>Nguồn thu giá dịch vụ khám bệnh, chữa bệnh của Bệnh viện.</w:t>
      </w:r>
    </w:p>
    <w:p w14:paraId="39D1F730" w14:textId="77777777" w:rsidR="003A18F7" w:rsidRPr="003A18F7" w:rsidRDefault="003A18F7" w:rsidP="003A18F7">
      <w:pPr>
        <w:autoSpaceDE w:val="0"/>
        <w:autoSpaceDN w:val="0"/>
        <w:adjustRightInd w:val="0"/>
        <w:spacing w:before="120"/>
        <w:ind w:firstLine="567"/>
        <w:rPr>
          <w:bCs/>
          <w:sz w:val="26"/>
          <w:szCs w:val="26"/>
          <w:lang w:val="sv-SE"/>
        </w:rPr>
      </w:pPr>
      <w:r w:rsidRPr="003A18F7">
        <w:rPr>
          <w:sz w:val="26"/>
          <w:szCs w:val="26"/>
          <w:lang w:val="sv-SE" w:eastAsia="vi-VN"/>
        </w:rPr>
        <w:t xml:space="preserve">- Địa điểm thực hiện: </w:t>
      </w:r>
      <w:r w:rsidRPr="003A18F7">
        <w:rPr>
          <w:spacing w:val="-4"/>
          <w:sz w:val="26"/>
          <w:szCs w:val="26"/>
        </w:rPr>
        <w:t>Bệnh viện Đa khoa Thái Bình</w:t>
      </w:r>
    </w:p>
    <w:p w14:paraId="4704C8AD" w14:textId="77777777" w:rsidR="003A18F7" w:rsidRPr="003A18F7" w:rsidRDefault="003A18F7" w:rsidP="003A18F7">
      <w:pPr>
        <w:autoSpaceDE w:val="0"/>
        <w:autoSpaceDN w:val="0"/>
        <w:adjustRightInd w:val="0"/>
        <w:spacing w:before="120"/>
        <w:ind w:firstLine="567"/>
        <w:rPr>
          <w:bCs/>
          <w:sz w:val="26"/>
          <w:szCs w:val="26"/>
          <w:lang w:val="sv-SE"/>
        </w:rPr>
      </w:pPr>
      <w:r w:rsidRPr="003A18F7">
        <w:rPr>
          <w:bCs/>
          <w:sz w:val="26"/>
          <w:szCs w:val="26"/>
          <w:lang w:val="sv-SE"/>
        </w:rPr>
        <w:t>- Hình thức lựa chọn nhà thầu: Chào hàng cạnh tranh trong nước, qua mạng</w:t>
      </w:r>
    </w:p>
    <w:p w14:paraId="1D935F54" w14:textId="77777777" w:rsidR="003A18F7" w:rsidRPr="003A18F7" w:rsidRDefault="003A18F7" w:rsidP="003A18F7">
      <w:pPr>
        <w:autoSpaceDE w:val="0"/>
        <w:autoSpaceDN w:val="0"/>
        <w:adjustRightInd w:val="0"/>
        <w:spacing w:before="120"/>
        <w:ind w:firstLine="567"/>
        <w:rPr>
          <w:bCs/>
          <w:sz w:val="26"/>
          <w:szCs w:val="26"/>
          <w:lang w:val="sv-SE"/>
        </w:rPr>
      </w:pPr>
      <w:r w:rsidRPr="003A18F7">
        <w:rPr>
          <w:bCs/>
          <w:sz w:val="26"/>
          <w:szCs w:val="26"/>
          <w:lang w:val="sv-SE"/>
        </w:rPr>
        <w:t>- Phương thức lựa chọn nhà thầu: Một giai đoạn một túi hồ sơ</w:t>
      </w:r>
    </w:p>
    <w:p w14:paraId="39BCE21F" w14:textId="77777777" w:rsidR="003A18F7" w:rsidRPr="003A18F7" w:rsidRDefault="003A18F7" w:rsidP="003A18F7">
      <w:pPr>
        <w:autoSpaceDE w:val="0"/>
        <w:autoSpaceDN w:val="0"/>
        <w:adjustRightInd w:val="0"/>
        <w:spacing w:before="120"/>
        <w:ind w:firstLine="567"/>
        <w:rPr>
          <w:bCs/>
          <w:sz w:val="26"/>
          <w:szCs w:val="26"/>
          <w:lang w:val="sv-SE"/>
        </w:rPr>
      </w:pPr>
      <w:r w:rsidRPr="003A18F7">
        <w:rPr>
          <w:bCs/>
          <w:sz w:val="26"/>
          <w:szCs w:val="26"/>
          <w:lang w:val="sv-SE"/>
        </w:rPr>
        <w:t>- Thời gian bắt đầu tổ chức lựa chọn nhà thầu: Tháng 11 năm 2025</w:t>
      </w:r>
    </w:p>
    <w:p w14:paraId="1E3B997A" w14:textId="77777777" w:rsidR="003A18F7" w:rsidRPr="003A18F7" w:rsidRDefault="003A18F7" w:rsidP="003A18F7">
      <w:pPr>
        <w:autoSpaceDE w:val="0"/>
        <w:autoSpaceDN w:val="0"/>
        <w:adjustRightInd w:val="0"/>
        <w:spacing w:before="120"/>
        <w:ind w:firstLine="567"/>
        <w:rPr>
          <w:spacing w:val="-4"/>
          <w:sz w:val="26"/>
          <w:szCs w:val="26"/>
          <w:lang w:val="sv-SE"/>
        </w:rPr>
      </w:pPr>
      <w:r w:rsidRPr="003A18F7">
        <w:rPr>
          <w:bCs/>
          <w:sz w:val="26"/>
          <w:szCs w:val="26"/>
          <w:lang w:val="sv-SE"/>
        </w:rPr>
        <w:t xml:space="preserve">- </w:t>
      </w:r>
      <w:r w:rsidRPr="003A18F7">
        <w:rPr>
          <w:spacing w:val="-4"/>
          <w:sz w:val="26"/>
          <w:szCs w:val="26"/>
          <w:lang w:val="sv-SE"/>
        </w:rPr>
        <w:t>Loại hợp đồng: Trọn gói</w:t>
      </w:r>
    </w:p>
    <w:p w14:paraId="6F7BAB78" w14:textId="77777777" w:rsidR="003A18F7" w:rsidRPr="003A18F7" w:rsidRDefault="003A18F7" w:rsidP="003A18F7">
      <w:pPr>
        <w:widowControl w:val="0"/>
        <w:spacing w:before="120" w:after="120" w:line="264" w:lineRule="auto"/>
        <w:ind w:firstLine="567"/>
        <w:rPr>
          <w:bCs/>
          <w:sz w:val="26"/>
          <w:szCs w:val="26"/>
          <w:lang w:val="sv-SE"/>
        </w:rPr>
      </w:pPr>
      <w:r w:rsidRPr="003A18F7">
        <w:rPr>
          <w:bCs/>
          <w:sz w:val="26"/>
          <w:szCs w:val="26"/>
          <w:lang w:val="sv-SE"/>
        </w:rPr>
        <w:t>- Thời gian thực hiện gói thầu: 60 ngày</w:t>
      </w:r>
    </w:p>
    <w:p w14:paraId="766E05BD" w14:textId="77777777" w:rsidR="003A18F7" w:rsidRPr="003A18F7" w:rsidRDefault="003A18F7" w:rsidP="003A18F7">
      <w:pPr>
        <w:widowControl w:val="0"/>
        <w:spacing w:before="120" w:after="120" w:line="264" w:lineRule="auto"/>
        <w:ind w:firstLine="709"/>
        <w:rPr>
          <w:b/>
          <w:i/>
          <w:sz w:val="26"/>
          <w:szCs w:val="26"/>
          <w:lang w:val="nl-NL"/>
        </w:rPr>
      </w:pPr>
      <w:r w:rsidRPr="003A18F7">
        <w:rPr>
          <w:b/>
          <w:i/>
          <w:sz w:val="26"/>
          <w:szCs w:val="26"/>
          <w:lang w:val="nl-NL"/>
        </w:rPr>
        <w:t>1.2. Yêu cầu về kỹ thuật</w:t>
      </w:r>
    </w:p>
    <w:p w14:paraId="75DF1A45" w14:textId="77777777" w:rsidR="003A18F7" w:rsidRPr="003A18F7" w:rsidRDefault="003A18F7" w:rsidP="003A18F7">
      <w:pPr>
        <w:suppressAutoHyphens/>
        <w:spacing w:before="120" w:after="120"/>
        <w:ind w:firstLine="567"/>
        <w:outlineLvl w:val="0"/>
        <w:rPr>
          <w:sz w:val="26"/>
          <w:szCs w:val="26"/>
          <w:lang w:val="sv-SE"/>
        </w:rPr>
      </w:pPr>
      <w:r w:rsidRPr="003A18F7">
        <w:rPr>
          <w:sz w:val="26"/>
          <w:szCs w:val="26"/>
          <w:lang w:val="sv-SE"/>
        </w:rPr>
        <w:t>1.2.1. Yêu cầu chung: Nhà thầu cam kết trong E-HSDT các nội dung sau:</w:t>
      </w:r>
    </w:p>
    <w:p w14:paraId="0AFFB797" w14:textId="77777777" w:rsidR="003A18F7" w:rsidRPr="003A18F7" w:rsidRDefault="003A18F7" w:rsidP="003A18F7">
      <w:pPr>
        <w:suppressAutoHyphens/>
        <w:spacing w:before="120" w:after="120"/>
        <w:ind w:firstLine="567"/>
        <w:outlineLvl w:val="0"/>
        <w:rPr>
          <w:strike/>
          <w:sz w:val="26"/>
          <w:szCs w:val="26"/>
          <w:lang w:val="sv-SE"/>
        </w:rPr>
      </w:pPr>
      <w:r w:rsidRPr="003A18F7">
        <w:rPr>
          <w:sz w:val="26"/>
          <w:szCs w:val="26"/>
          <w:lang w:val="sv-SE"/>
        </w:rPr>
        <w:t>- Toàn bộ hàng hóa, dịch vụ mới 100% chưa sử dụng</w:t>
      </w:r>
    </w:p>
    <w:p w14:paraId="0F32CC56" w14:textId="77777777" w:rsidR="003A18F7" w:rsidRPr="003A18F7" w:rsidRDefault="003A18F7" w:rsidP="003A18F7">
      <w:pPr>
        <w:suppressAutoHyphens/>
        <w:spacing w:before="120" w:after="120"/>
        <w:ind w:firstLine="567"/>
        <w:outlineLvl w:val="0"/>
        <w:rPr>
          <w:sz w:val="26"/>
          <w:szCs w:val="26"/>
          <w:lang w:val="sv-SE"/>
        </w:rPr>
      </w:pPr>
      <w:r w:rsidRPr="003A18F7">
        <w:rPr>
          <w:sz w:val="26"/>
          <w:szCs w:val="26"/>
          <w:lang w:val="sv-SE"/>
        </w:rPr>
        <w:t>- Bảo hành tối thiểu 06 tháng đối với vật tư, linh kiện, phụ kiện thay thế kể từ ngày nghiệm thu, bàn giao và đưa vào sử dụng.</w:t>
      </w:r>
    </w:p>
    <w:p w14:paraId="2AD5C6BA" w14:textId="5CBAAA54" w:rsidR="003A18F7" w:rsidRDefault="003A18F7" w:rsidP="003A18F7">
      <w:pPr>
        <w:suppressAutoHyphens/>
        <w:spacing w:before="120" w:after="120"/>
        <w:ind w:firstLine="567"/>
        <w:outlineLvl w:val="0"/>
        <w:rPr>
          <w:sz w:val="26"/>
          <w:szCs w:val="26"/>
          <w:lang w:val="sv-SE"/>
        </w:rPr>
      </w:pPr>
      <w:r w:rsidRPr="003A18F7">
        <w:rPr>
          <w:sz w:val="26"/>
          <w:szCs w:val="26"/>
          <w:lang w:val="sv-SE"/>
        </w:rPr>
        <w:t xml:space="preserve"> - Hàng hóa dùng tương thích với ống nội soi đại tràng model: EC-530WL3, hãng sản xuất: Fujifilm tại Bệnh viện</w:t>
      </w:r>
    </w:p>
    <w:p w14:paraId="01C1BAB7" w14:textId="00254D68" w:rsidR="00B2303D" w:rsidRPr="003A18F7" w:rsidRDefault="00B2303D" w:rsidP="003A18F7">
      <w:pPr>
        <w:suppressAutoHyphens/>
        <w:spacing w:before="120" w:after="120"/>
        <w:ind w:firstLine="567"/>
        <w:outlineLvl w:val="0"/>
        <w:rPr>
          <w:sz w:val="26"/>
          <w:szCs w:val="26"/>
          <w:lang w:val="sv-SE"/>
        </w:rPr>
      </w:pPr>
      <w:r>
        <w:rPr>
          <w:sz w:val="26"/>
          <w:szCs w:val="26"/>
          <w:lang w:val="sv-SE"/>
        </w:rPr>
        <w:t xml:space="preserve">- </w:t>
      </w:r>
      <w:r w:rsidRPr="00B2303D">
        <w:rPr>
          <w:sz w:val="26"/>
          <w:szCs w:val="26"/>
          <w:lang w:val="sv-SE"/>
        </w:rPr>
        <w:t>Cung cấp giấy tờ chứng minh nguồn gốc, xuất xứ của các hàng hóa khi có yêu cầu của chủ đầu tư</w:t>
      </w:r>
      <w:r w:rsidR="005B3C31">
        <w:rPr>
          <w:sz w:val="26"/>
          <w:szCs w:val="26"/>
          <w:lang w:val="sv-SE"/>
        </w:rPr>
        <w:t>.</w:t>
      </w:r>
    </w:p>
    <w:p w14:paraId="66358BFC" w14:textId="77777777" w:rsidR="003A18F7" w:rsidRPr="003A18F7" w:rsidRDefault="003A18F7" w:rsidP="003A18F7">
      <w:pPr>
        <w:suppressAutoHyphens/>
        <w:spacing w:before="120" w:after="120"/>
        <w:ind w:firstLine="567"/>
        <w:outlineLvl w:val="0"/>
        <w:rPr>
          <w:sz w:val="26"/>
          <w:szCs w:val="26"/>
          <w:lang w:val="sv-SE"/>
        </w:rPr>
      </w:pPr>
      <w:r w:rsidRPr="003A18F7">
        <w:rPr>
          <w:sz w:val="26"/>
          <w:szCs w:val="26"/>
          <w:lang w:val="sv-SE"/>
        </w:rPr>
        <w:t xml:space="preserve">1.2.2. Yêu cầu kỹ thuật chi tiết </w:t>
      </w:r>
    </w:p>
    <w:tbl>
      <w:tblPr>
        <w:tblStyle w:val="TableGrid"/>
        <w:tblW w:w="0" w:type="auto"/>
        <w:tblLook w:val="04A0" w:firstRow="1" w:lastRow="0" w:firstColumn="1" w:lastColumn="0" w:noHBand="0" w:noVBand="1"/>
      </w:tblPr>
      <w:tblGrid>
        <w:gridCol w:w="708"/>
        <w:gridCol w:w="1444"/>
        <w:gridCol w:w="4303"/>
        <w:gridCol w:w="1518"/>
        <w:gridCol w:w="1088"/>
      </w:tblGrid>
      <w:tr w:rsidR="003A18F7" w:rsidRPr="003A18F7" w14:paraId="4987AC9F" w14:textId="77777777" w:rsidTr="00897016">
        <w:tc>
          <w:tcPr>
            <w:tcW w:w="679" w:type="dxa"/>
            <w:vAlign w:val="center"/>
          </w:tcPr>
          <w:p w14:paraId="2F482827" w14:textId="77777777" w:rsidR="003A18F7" w:rsidRPr="003A18F7" w:rsidRDefault="003A18F7" w:rsidP="00897016">
            <w:pPr>
              <w:suppressAutoHyphens/>
              <w:spacing w:before="120" w:after="120"/>
              <w:jc w:val="center"/>
              <w:outlineLvl w:val="0"/>
              <w:rPr>
                <w:b/>
                <w:bCs/>
                <w:sz w:val="26"/>
                <w:szCs w:val="26"/>
                <w:lang w:val="sv-SE"/>
              </w:rPr>
            </w:pPr>
            <w:r w:rsidRPr="003A18F7">
              <w:rPr>
                <w:b/>
                <w:bCs/>
                <w:sz w:val="26"/>
                <w:szCs w:val="26"/>
                <w:lang w:val="sv-SE"/>
              </w:rPr>
              <w:t>STT</w:t>
            </w:r>
          </w:p>
        </w:tc>
        <w:tc>
          <w:tcPr>
            <w:tcW w:w="1478" w:type="dxa"/>
            <w:vAlign w:val="center"/>
          </w:tcPr>
          <w:p w14:paraId="7E391F54" w14:textId="77777777" w:rsidR="003A18F7" w:rsidRPr="003A18F7" w:rsidRDefault="003A18F7" w:rsidP="00897016">
            <w:pPr>
              <w:suppressAutoHyphens/>
              <w:spacing w:before="120" w:after="120"/>
              <w:jc w:val="center"/>
              <w:outlineLvl w:val="0"/>
              <w:rPr>
                <w:b/>
                <w:bCs/>
                <w:sz w:val="26"/>
                <w:szCs w:val="26"/>
                <w:lang w:val="sv-SE"/>
              </w:rPr>
            </w:pPr>
            <w:r w:rsidRPr="003A18F7">
              <w:rPr>
                <w:b/>
                <w:bCs/>
                <w:sz w:val="26"/>
                <w:szCs w:val="26"/>
                <w:lang w:val="sv-SE"/>
              </w:rPr>
              <w:t>Tên hàng hóa</w:t>
            </w:r>
          </w:p>
        </w:tc>
        <w:tc>
          <w:tcPr>
            <w:tcW w:w="4472" w:type="dxa"/>
            <w:vAlign w:val="center"/>
          </w:tcPr>
          <w:p w14:paraId="7073DE70" w14:textId="77777777" w:rsidR="003A18F7" w:rsidRPr="003A18F7" w:rsidRDefault="003A18F7" w:rsidP="00897016">
            <w:pPr>
              <w:suppressAutoHyphens/>
              <w:spacing w:before="120" w:after="120"/>
              <w:jc w:val="center"/>
              <w:outlineLvl w:val="0"/>
              <w:rPr>
                <w:b/>
                <w:bCs/>
                <w:sz w:val="26"/>
                <w:szCs w:val="26"/>
                <w:lang w:val="sv-SE"/>
              </w:rPr>
            </w:pPr>
            <w:r w:rsidRPr="003A18F7">
              <w:rPr>
                <w:b/>
                <w:bCs/>
                <w:sz w:val="26"/>
                <w:szCs w:val="26"/>
                <w:lang w:val="sv-SE"/>
              </w:rPr>
              <w:t>Tính năng kỹ thuật tương đương</w:t>
            </w:r>
          </w:p>
        </w:tc>
        <w:tc>
          <w:tcPr>
            <w:tcW w:w="1559" w:type="dxa"/>
            <w:vAlign w:val="center"/>
          </w:tcPr>
          <w:p w14:paraId="28295185" w14:textId="77777777" w:rsidR="003A18F7" w:rsidRPr="003A18F7" w:rsidRDefault="003A18F7" w:rsidP="00897016">
            <w:pPr>
              <w:suppressAutoHyphens/>
              <w:spacing w:before="120" w:after="120"/>
              <w:jc w:val="center"/>
              <w:outlineLvl w:val="0"/>
              <w:rPr>
                <w:b/>
                <w:bCs/>
                <w:sz w:val="26"/>
                <w:szCs w:val="26"/>
                <w:lang w:val="sv-SE"/>
              </w:rPr>
            </w:pPr>
            <w:r w:rsidRPr="003A18F7">
              <w:rPr>
                <w:b/>
                <w:bCs/>
                <w:sz w:val="26"/>
                <w:szCs w:val="26"/>
                <w:lang w:val="sv-SE"/>
              </w:rPr>
              <w:t>Đơn vị tính</w:t>
            </w:r>
          </w:p>
        </w:tc>
        <w:tc>
          <w:tcPr>
            <w:tcW w:w="1099" w:type="dxa"/>
            <w:vAlign w:val="center"/>
          </w:tcPr>
          <w:p w14:paraId="54292545" w14:textId="77777777" w:rsidR="003A18F7" w:rsidRPr="003A18F7" w:rsidRDefault="003A18F7" w:rsidP="00897016">
            <w:pPr>
              <w:suppressAutoHyphens/>
              <w:spacing w:before="120" w:after="120"/>
              <w:jc w:val="center"/>
              <w:outlineLvl w:val="0"/>
              <w:rPr>
                <w:b/>
                <w:bCs/>
                <w:sz w:val="26"/>
                <w:szCs w:val="26"/>
                <w:lang w:val="sv-SE"/>
              </w:rPr>
            </w:pPr>
            <w:r w:rsidRPr="003A18F7">
              <w:rPr>
                <w:b/>
                <w:bCs/>
                <w:sz w:val="26"/>
                <w:szCs w:val="26"/>
                <w:lang w:val="sv-SE"/>
              </w:rPr>
              <w:t>Số lượng</w:t>
            </w:r>
          </w:p>
        </w:tc>
      </w:tr>
      <w:tr w:rsidR="003A18F7" w:rsidRPr="003A18F7" w14:paraId="4BBDADFD" w14:textId="77777777" w:rsidTr="00897016">
        <w:tc>
          <w:tcPr>
            <w:tcW w:w="679" w:type="dxa"/>
            <w:vAlign w:val="center"/>
          </w:tcPr>
          <w:p w14:paraId="74F62075" w14:textId="77777777" w:rsidR="003A18F7" w:rsidRPr="003A18F7" w:rsidRDefault="003A18F7" w:rsidP="00897016">
            <w:pPr>
              <w:suppressAutoHyphens/>
              <w:spacing w:before="120" w:after="120"/>
              <w:jc w:val="center"/>
              <w:outlineLvl w:val="0"/>
              <w:rPr>
                <w:sz w:val="26"/>
                <w:szCs w:val="26"/>
                <w:lang w:val="sv-SE"/>
              </w:rPr>
            </w:pPr>
            <w:r w:rsidRPr="003A18F7">
              <w:rPr>
                <w:sz w:val="26"/>
                <w:szCs w:val="26"/>
              </w:rPr>
              <w:t>1</w:t>
            </w:r>
          </w:p>
        </w:tc>
        <w:tc>
          <w:tcPr>
            <w:tcW w:w="1478" w:type="dxa"/>
            <w:vAlign w:val="center"/>
          </w:tcPr>
          <w:p w14:paraId="21481A66" w14:textId="77777777" w:rsidR="003A18F7" w:rsidRPr="003A18F7" w:rsidRDefault="003A18F7" w:rsidP="00897016">
            <w:pPr>
              <w:suppressAutoHyphens/>
              <w:spacing w:before="120" w:after="120"/>
              <w:jc w:val="center"/>
              <w:outlineLvl w:val="0"/>
              <w:rPr>
                <w:sz w:val="26"/>
                <w:szCs w:val="26"/>
                <w:lang w:val="sv-SE"/>
              </w:rPr>
            </w:pPr>
            <w:r w:rsidRPr="003A18F7">
              <w:rPr>
                <w:color w:val="000000"/>
                <w:sz w:val="26"/>
                <w:szCs w:val="26"/>
              </w:rPr>
              <w:t>Bộ phận uốn cong</w:t>
            </w:r>
          </w:p>
        </w:tc>
        <w:tc>
          <w:tcPr>
            <w:tcW w:w="4472" w:type="dxa"/>
            <w:vAlign w:val="center"/>
          </w:tcPr>
          <w:p w14:paraId="66297220" w14:textId="77777777" w:rsidR="003A18F7" w:rsidRPr="003A18F7" w:rsidRDefault="003A18F7" w:rsidP="00897016">
            <w:pPr>
              <w:suppressAutoHyphens/>
              <w:spacing w:before="120" w:after="120"/>
              <w:outlineLvl w:val="0"/>
              <w:rPr>
                <w:color w:val="000000"/>
                <w:sz w:val="26"/>
                <w:szCs w:val="26"/>
              </w:rPr>
            </w:pPr>
            <w:r w:rsidRPr="003A18F7">
              <w:rPr>
                <w:color w:val="000000"/>
                <w:sz w:val="26"/>
                <w:szCs w:val="26"/>
              </w:rPr>
              <w:t>Điều hướng góc nhìn của ống soi</w:t>
            </w:r>
          </w:p>
        </w:tc>
        <w:tc>
          <w:tcPr>
            <w:tcW w:w="1559" w:type="dxa"/>
            <w:vAlign w:val="center"/>
          </w:tcPr>
          <w:p w14:paraId="5F0C22DE" w14:textId="77777777" w:rsidR="003A18F7" w:rsidRPr="003A18F7" w:rsidRDefault="003A18F7" w:rsidP="00897016">
            <w:pPr>
              <w:suppressAutoHyphens/>
              <w:spacing w:before="120" w:after="120"/>
              <w:jc w:val="center"/>
              <w:outlineLvl w:val="0"/>
              <w:rPr>
                <w:sz w:val="26"/>
                <w:szCs w:val="26"/>
                <w:lang w:val="sv-SE"/>
              </w:rPr>
            </w:pPr>
            <w:r w:rsidRPr="003A18F7">
              <w:rPr>
                <w:color w:val="000000"/>
                <w:sz w:val="26"/>
                <w:szCs w:val="26"/>
              </w:rPr>
              <w:t>Cái</w:t>
            </w:r>
          </w:p>
        </w:tc>
        <w:tc>
          <w:tcPr>
            <w:tcW w:w="1099" w:type="dxa"/>
            <w:vAlign w:val="center"/>
          </w:tcPr>
          <w:p w14:paraId="6FA29868" w14:textId="77777777" w:rsidR="003A18F7" w:rsidRPr="003A18F7" w:rsidRDefault="003A18F7" w:rsidP="00897016">
            <w:pPr>
              <w:suppressAutoHyphens/>
              <w:spacing w:before="120" w:after="120"/>
              <w:jc w:val="center"/>
              <w:outlineLvl w:val="0"/>
              <w:rPr>
                <w:sz w:val="26"/>
                <w:szCs w:val="26"/>
                <w:lang w:val="sv-SE"/>
              </w:rPr>
            </w:pPr>
            <w:r w:rsidRPr="003A18F7">
              <w:rPr>
                <w:sz w:val="26"/>
                <w:szCs w:val="26"/>
              </w:rPr>
              <w:t>01</w:t>
            </w:r>
          </w:p>
        </w:tc>
      </w:tr>
      <w:tr w:rsidR="003A18F7" w:rsidRPr="003A18F7" w14:paraId="510863E7" w14:textId="77777777" w:rsidTr="00897016">
        <w:tc>
          <w:tcPr>
            <w:tcW w:w="679" w:type="dxa"/>
            <w:vAlign w:val="center"/>
          </w:tcPr>
          <w:p w14:paraId="46C8A571" w14:textId="77777777" w:rsidR="003A18F7" w:rsidRPr="003A18F7" w:rsidRDefault="003A18F7" w:rsidP="00897016">
            <w:pPr>
              <w:suppressAutoHyphens/>
              <w:spacing w:before="120" w:after="120"/>
              <w:jc w:val="center"/>
              <w:outlineLvl w:val="0"/>
              <w:rPr>
                <w:sz w:val="26"/>
                <w:szCs w:val="26"/>
                <w:lang w:val="sv-SE"/>
              </w:rPr>
            </w:pPr>
            <w:r w:rsidRPr="003A18F7">
              <w:rPr>
                <w:sz w:val="26"/>
                <w:szCs w:val="26"/>
              </w:rPr>
              <w:t>2</w:t>
            </w:r>
          </w:p>
        </w:tc>
        <w:tc>
          <w:tcPr>
            <w:tcW w:w="1478" w:type="dxa"/>
            <w:vAlign w:val="center"/>
          </w:tcPr>
          <w:p w14:paraId="1A7FB46C" w14:textId="77777777" w:rsidR="003A18F7" w:rsidRPr="003A18F7" w:rsidRDefault="003A18F7" w:rsidP="00897016">
            <w:pPr>
              <w:suppressAutoHyphens/>
              <w:spacing w:before="120" w:after="120"/>
              <w:jc w:val="center"/>
              <w:outlineLvl w:val="0"/>
              <w:rPr>
                <w:sz w:val="26"/>
                <w:szCs w:val="26"/>
                <w:lang w:val="sv-SE"/>
              </w:rPr>
            </w:pPr>
            <w:r w:rsidRPr="003A18F7">
              <w:rPr>
                <w:color w:val="000000"/>
                <w:sz w:val="26"/>
                <w:szCs w:val="26"/>
              </w:rPr>
              <w:t>Vỏ cao su</w:t>
            </w:r>
          </w:p>
        </w:tc>
        <w:tc>
          <w:tcPr>
            <w:tcW w:w="4472" w:type="dxa"/>
            <w:vAlign w:val="center"/>
          </w:tcPr>
          <w:p w14:paraId="30395AF1" w14:textId="77777777" w:rsidR="003A18F7" w:rsidRPr="003A18F7" w:rsidRDefault="003A18F7" w:rsidP="00897016">
            <w:pPr>
              <w:suppressAutoHyphens/>
              <w:spacing w:before="120" w:after="120"/>
              <w:outlineLvl w:val="0"/>
              <w:rPr>
                <w:color w:val="000000"/>
                <w:sz w:val="26"/>
                <w:szCs w:val="26"/>
              </w:rPr>
            </w:pPr>
            <w:r w:rsidRPr="003A18F7">
              <w:rPr>
                <w:color w:val="000000"/>
                <w:sz w:val="26"/>
                <w:szCs w:val="26"/>
              </w:rPr>
              <w:t>Bảo vệ các bộ phận bên trong của đầu ống soi</w:t>
            </w:r>
          </w:p>
        </w:tc>
        <w:tc>
          <w:tcPr>
            <w:tcW w:w="1559" w:type="dxa"/>
            <w:vAlign w:val="center"/>
          </w:tcPr>
          <w:p w14:paraId="2362A2E0" w14:textId="77777777" w:rsidR="003A18F7" w:rsidRPr="003A18F7" w:rsidRDefault="003A18F7" w:rsidP="00897016">
            <w:pPr>
              <w:suppressAutoHyphens/>
              <w:spacing w:before="120" w:after="120"/>
              <w:jc w:val="center"/>
              <w:outlineLvl w:val="0"/>
              <w:rPr>
                <w:sz w:val="26"/>
                <w:szCs w:val="26"/>
                <w:lang w:val="sv-SE"/>
              </w:rPr>
            </w:pPr>
            <w:r w:rsidRPr="003A18F7">
              <w:rPr>
                <w:color w:val="000000"/>
                <w:sz w:val="26"/>
                <w:szCs w:val="26"/>
              </w:rPr>
              <w:t>Cái</w:t>
            </w:r>
          </w:p>
        </w:tc>
        <w:tc>
          <w:tcPr>
            <w:tcW w:w="1099" w:type="dxa"/>
            <w:vAlign w:val="center"/>
          </w:tcPr>
          <w:p w14:paraId="1A0F1E41" w14:textId="77777777" w:rsidR="003A18F7" w:rsidRPr="003A18F7" w:rsidRDefault="003A18F7" w:rsidP="00897016">
            <w:pPr>
              <w:suppressAutoHyphens/>
              <w:spacing w:before="120" w:after="120"/>
              <w:jc w:val="center"/>
              <w:outlineLvl w:val="0"/>
              <w:rPr>
                <w:sz w:val="26"/>
                <w:szCs w:val="26"/>
                <w:lang w:val="sv-SE"/>
              </w:rPr>
            </w:pPr>
            <w:r w:rsidRPr="003A18F7">
              <w:rPr>
                <w:sz w:val="26"/>
                <w:szCs w:val="26"/>
              </w:rPr>
              <w:t>01</w:t>
            </w:r>
          </w:p>
        </w:tc>
      </w:tr>
      <w:tr w:rsidR="003A18F7" w:rsidRPr="003A18F7" w14:paraId="263B53A6" w14:textId="77777777" w:rsidTr="00897016">
        <w:tc>
          <w:tcPr>
            <w:tcW w:w="679" w:type="dxa"/>
            <w:vAlign w:val="center"/>
          </w:tcPr>
          <w:p w14:paraId="49ED68EA" w14:textId="77777777" w:rsidR="003A18F7" w:rsidRPr="003A18F7" w:rsidRDefault="003A18F7" w:rsidP="00897016">
            <w:pPr>
              <w:suppressAutoHyphens/>
              <w:spacing w:before="120" w:after="120"/>
              <w:jc w:val="center"/>
              <w:outlineLvl w:val="0"/>
              <w:rPr>
                <w:sz w:val="26"/>
                <w:szCs w:val="26"/>
                <w:lang w:val="sv-SE"/>
              </w:rPr>
            </w:pPr>
            <w:r w:rsidRPr="003A18F7">
              <w:rPr>
                <w:sz w:val="26"/>
                <w:szCs w:val="26"/>
              </w:rPr>
              <w:t>3</w:t>
            </w:r>
          </w:p>
        </w:tc>
        <w:tc>
          <w:tcPr>
            <w:tcW w:w="1478" w:type="dxa"/>
            <w:vAlign w:val="center"/>
          </w:tcPr>
          <w:p w14:paraId="33DEA43D" w14:textId="77777777" w:rsidR="003A18F7" w:rsidRPr="003A18F7" w:rsidRDefault="003A18F7" w:rsidP="00897016">
            <w:pPr>
              <w:suppressAutoHyphens/>
              <w:spacing w:before="120" w:after="120"/>
              <w:jc w:val="center"/>
              <w:outlineLvl w:val="0"/>
              <w:rPr>
                <w:sz w:val="26"/>
                <w:szCs w:val="26"/>
                <w:lang w:val="sv-SE"/>
              </w:rPr>
            </w:pPr>
            <w:r w:rsidRPr="003A18F7">
              <w:rPr>
                <w:color w:val="000000"/>
                <w:sz w:val="26"/>
                <w:szCs w:val="26"/>
              </w:rPr>
              <w:t>Ống nối</w:t>
            </w:r>
          </w:p>
        </w:tc>
        <w:tc>
          <w:tcPr>
            <w:tcW w:w="4472" w:type="dxa"/>
            <w:vAlign w:val="center"/>
          </w:tcPr>
          <w:p w14:paraId="7F4F79B8" w14:textId="77777777" w:rsidR="003A18F7" w:rsidRPr="003A18F7" w:rsidRDefault="003A18F7" w:rsidP="00897016">
            <w:pPr>
              <w:suppressAutoHyphens/>
              <w:spacing w:before="120" w:after="120"/>
              <w:outlineLvl w:val="0"/>
              <w:rPr>
                <w:color w:val="000000"/>
                <w:sz w:val="26"/>
                <w:szCs w:val="26"/>
              </w:rPr>
            </w:pPr>
            <w:r w:rsidRPr="003A18F7">
              <w:rPr>
                <w:color w:val="000000"/>
                <w:sz w:val="26"/>
                <w:szCs w:val="26"/>
              </w:rPr>
              <w:t>Kết nối bộ phận điều khiển và bộ phận uốn cong của ống soi</w:t>
            </w:r>
          </w:p>
        </w:tc>
        <w:tc>
          <w:tcPr>
            <w:tcW w:w="1559" w:type="dxa"/>
            <w:vAlign w:val="center"/>
          </w:tcPr>
          <w:p w14:paraId="26FD8593" w14:textId="77777777" w:rsidR="003A18F7" w:rsidRPr="003A18F7" w:rsidRDefault="003A18F7" w:rsidP="00897016">
            <w:pPr>
              <w:suppressAutoHyphens/>
              <w:spacing w:before="120" w:after="120"/>
              <w:jc w:val="center"/>
              <w:outlineLvl w:val="0"/>
              <w:rPr>
                <w:sz w:val="26"/>
                <w:szCs w:val="26"/>
                <w:lang w:val="sv-SE"/>
              </w:rPr>
            </w:pPr>
            <w:r w:rsidRPr="003A18F7">
              <w:rPr>
                <w:color w:val="000000"/>
                <w:sz w:val="26"/>
                <w:szCs w:val="26"/>
              </w:rPr>
              <w:t>Cái</w:t>
            </w:r>
          </w:p>
        </w:tc>
        <w:tc>
          <w:tcPr>
            <w:tcW w:w="1099" w:type="dxa"/>
            <w:vAlign w:val="center"/>
          </w:tcPr>
          <w:p w14:paraId="66FA2A72" w14:textId="77777777" w:rsidR="003A18F7" w:rsidRPr="003A18F7" w:rsidRDefault="003A18F7" w:rsidP="00897016">
            <w:pPr>
              <w:suppressAutoHyphens/>
              <w:spacing w:before="120" w:after="120"/>
              <w:jc w:val="center"/>
              <w:outlineLvl w:val="0"/>
              <w:rPr>
                <w:sz w:val="26"/>
                <w:szCs w:val="26"/>
                <w:lang w:val="sv-SE"/>
              </w:rPr>
            </w:pPr>
            <w:r w:rsidRPr="003A18F7">
              <w:rPr>
                <w:sz w:val="26"/>
                <w:szCs w:val="26"/>
              </w:rPr>
              <w:t>04</w:t>
            </w:r>
          </w:p>
        </w:tc>
      </w:tr>
      <w:tr w:rsidR="003A18F7" w:rsidRPr="003A18F7" w14:paraId="10992E7E" w14:textId="77777777" w:rsidTr="00897016">
        <w:tc>
          <w:tcPr>
            <w:tcW w:w="679" w:type="dxa"/>
            <w:vAlign w:val="center"/>
          </w:tcPr>
          <w:p w14:paraId="4D04C0ED" w14:textId="77777777" w:rsidR="003A18F7" w:rsidRPr="003A18F7" w:rsidRDefault="003A18F7" w:rsidP="00897016">
            <w:pPr>
              <w:suppressAutoHyphens/>
              <w:spacing w:before="120" w:after="120"/>
              <w:jc w:val="center"/>
              <w:outlineLvl w:val="0"/>
              <w:rPr>
                <w:sz w:val="26"/>
                <w:szCs w:val="26"/>
                <w:lang w:val="sv-SE"/>
              </w:rPr>
            </w:pPr>
            <w:r w:rsidRPr="003A18F7">
              <w:rPr>
                <w:sz w:val="26"/>
                <w:szCs w:val="26"/>
              </w:rPr>
              <w:lastRenderedPageBreak/>
              <w:t>4</w:t>
            </w:r>
          </w:p>
        </w:tc>
        <w:tc>
          <w:tcPr>
            <w:tcW w:w="1478" w:type="dxa"/>
            <w:vAlign w:val="center"/>
          </w:tcPr>
          <w:p w14:paraId="4A6A11B9" w14:textId="77777777" w:rsidR="003A18F7" w:rsidRPr="003A18F7" w:rsidRDefault="003A18F7" w:rsidP="00897016">
            <w:pPr>
              <w:suppressAutoHyphens/>
              <w:spacing w:before="120" w:after="120"/>
              <w:jc w:val="center"/>
              <w:outlineLvl w:val="0"/>
              <w:rPr>
                <w:sz w:val="26"/>
                <w:szCs w:val="26"/>
                <w:lang w:val="sv-SE"/>
              </w:rPr>
            </w:pPr>
            <w:r w:rsidRPr="003A18F7">
              <w:rPr>
                <w:color w:val="000000"/>
                <w:sz w:val="26"/>
                <w:szCs w:val="26"/>
              </w:rPr>
              <w:t>Đai ốc</w:t>
            </w:r>
          </w:p>
        </w:tc>
        <w:tc>
          <w:tcPr>
            <w:tcW w:w="4472" w:type="dxa"/>
            <w:vAlign w:val="center"/>
          </w:tcPr>
          <w:p w14:paraId="6236C6F0" w14:textId="77777777" w:rsidR="003A18F7" w:rsidRPr="003A18F7" w:rsidRDefault="003A18F7" w:rsidP="00897016">
            <w:pPr>
              <w:suppressAutoHyphens/>
              <w:spacing w:before="120" w:after="120"/>
              <w:outlineLvl w:val="0"/>
              <w:rPr>
                <w:color w:val="000000"/>
                <w:sz w:val="26"/>
                <w:szCs w:val="26"/>
              </w:rPr>
            </w:pPr>
            <w:r w:rsidRPr="003A18F7">
              <w:rPr>
                <w:color w:val="000000"/>
                <w:sz w:val="26"/>
                <w:szCs w:val="26"/>
              </w:rPr>
              <w:t>Kết nối bộ phận điều khiển và bộ phận uốn cong của ống soi</w:t>
            </w:r>
          </w:p>
        </w:tc>
        <w:tc>
          <w:tcPr>
            <w:tcW w:w="1559" w:type="dxa"/>
            <w:vAlign w:val="center"/>
          </w:tcPr>
          <w:p w14:paraId="6A7AD222" w14:textId="77777777" w:rsidR="003A18F7" w:rsidRPr="003A18F7" w:rsidRDefault="003A18F7" w:rsidP="00897016">
            <w:pPr>
              <w:suppressAutoHyphens/>
              <w:spacing w:before="120" w:after="120"/>
              <w:jc w:val="center"/>
              <w:outlineLvl w:val="0"/>
              <w:rPr>
                <w:sz w:val="26"/>
                <w:szCs w:val="26"/>
                <w:lang w:val="sv-SE"/>
              </w:rPr>
            </w:pPr>
            <w:r w:rsidRPr="003A18F7">
              <w:rPr>
                <w:color w:val="000000"/>
                <w:sz w:val="26"/>
                <w:szCs w:val="26"/>
              </w:rPr>
              <w:t>Cái</w:t>
            </w:r>
          </w:p>
        </w:tc>
        <w:tc>
          <w:tcPr>
            <w:tcW w:w="1099" w:type="dxa"/>
            <w:vAlign w:val="center"/>
          </w:tcPr>
          <w:p w14:paraId="04DC403E" w14:textId="77777777" w:rsidR="003A18F7" w:rsidRPr="003A18F7" w:rsidRDefault="003A18F7" w:rsidP="00897016">
            <w:pPr>
              <w:suppressAutoHyphens/>
              <w:spacing w:before="120" w:after="120"/>
              <w:jc w:val="center"/>
              <w:outlineLvl w:val="0"/>
              <w:rPr>
                <w:sz w:val="26"/>
                <w:szCs w:val="26"/>
                <w:lang w:val="sv-SE"/>
              </w:rPr>
            </w:pPr>
            <w:r w:rsidRPr="003A18F7">
              <w:rPr>
                <w:sz w:val="26"/>
                <w:szCs w:val="26"/>
              </w:rPr>
              <w:t>04</w:t>
            </w:r>
          </w:p>
        </w:tc>
      </w:tr>
      <w:tr w:rsidR="003A18F7" w:rsidRPr="003A18F7" w14:paraId="7D62B645" w14:textId="77777777" w:rsidTr="00897016">
        <w:tc>
          <w:tcPr>
            <w:tcW w:w="679" w:type="dxa"/>
            <w:vAlign w:val="center"/>
          </w:tcPr>
          <w:p w14:paraId="5F995271" w14:textId="77777777" w:rsidR="003A18F7" w:rsidRPr="003A18F7" w:rsidRDefault="003A18F7" w:rsidP="00897016">
            <w:pPr>
              <w:suppressAutoHyphens/>
              <w:spacing w:before="120" w:after="120"/>
              <w:jc w:val="center"/>
              <w:outlineLvl w:val="0"/>
              <w:rPr>
                <w:sz w:val="26"/>
                <w:szCs w:val="26"/>
                <w:lang w:val="sv-SE"/>
              </w:rPr>
            </w:pPr>
            <w:r w:rsidRPr="003A18F7">
              <w:rPr>
                <w:sz w:val="26"/>
                <w:szCs w:val="26"/>
              </w:rPr>
              <w:t>5</w:t>
            </w:r>
          </w:p>
        </w:tc>
        <w:tc>
          <w:tcPr>
            <w:tcW w:w="1478" w:type="dxa"/>
            <w:vAlign w:val="center"/>
          </w:tcPr>
          <w:p w14:paraId="17FC9B82" w14:textId="77777777" w:rsidR="003A18F7" w:rsidRPr="003A18F7" w:rsidRDefault="003A18F7" w:rsidP="00897016">
            <w:pPr>
              <w:suppressAutoHyphens/>
              <w:spacing w:before="120" w:after="120"/>
              <w:jc w:val="center"/>
              <w:outlineLvl w:val="0"/>
              <w:rPr>
                <w:sz w:val="26"/>
                <w:szCs w:val="26"/>
                <w:lang w:val="sv-SE"/>
              </w:rPr>
            </w:pPr>
            <w:r w:rsidRPr="003A18F7">
              <w:rPr>
                <w:color w:val="000000"/>
                <w:sz w:val="26"/>
                <w:szCs w:val="26"/>
              </w:rPr>
              <w:t>Kênh khí nước</w:t>
            </w:r>
          </w:p>
        </w:tc>
        <w:tc>
          <w:tcPr>
            <w:tcW w:w="4472" w:type="dxa"/>
            <w:vAlign w:val="center"/>
          </w:tcPr>
          <w:p w14:paraId="50E697A0" w14:textId="77777777" w:rsidR="003A18F7" w:rsidRPr="003A18F7" w:rsidRDefault="003A18F7" w:rsidP="00897016">
            <w:pPr>
              <w:suppressAutoHyphens/>
              <w:spacing w:before="120" w:after="120"/>
              <w:outlineLvl w:val="0"/>
              <w:rPr>
                <w:color w:val="000000"/>
                <w:sz w:val="26"/>
                <w:szCs w:val="26"/>
              </w:rPr>
            </w:pPr>
            <w:r w:rsidRPr="003A18F7">
              <w:rPr>
                <w:color w:val="000000"/>
                <w:sz w:val="26"/>
                <w:szCs w:val="26"/>
              </w:rPr>
              <w:t>Đường dẫn khí và nước</w:t>
            </w:r>
          </w:p>
        </w:tc>
        <w:tc>
          <w:tcPr>
            <w:tcW w:w="1559" w:type="dxa"/>
            <w:vAlign w:val="center"/>
          </w:tcPr>
          <w:p w14:paraId="3953C751" w14:textId="77777777" w:rsidR="003A18F7" w:rsidRPr="003A18F7" w:rsidRDefault="003A18F7" w:rsidP="00897016">
            <w:pPr>
              <w:suppressAutoHyphens/>
              <w:spacing w:before="120" w:after="120"/>
              <w:jc w:val="center"/>
              <w:outlineLvl w:val="0"/>
              <w:rPr>
                <w:sz w:val="26"/>
                <w:szCs w:val="26"/>
                <w:lang w:val="sv-SE"/>
              </w:rPr>
            </w:pPr>
            <w:r w:rsidRPr="003A18F7">
              <w:rPr>
                <w:color w:val="000000"/>
                <w:sz w:val="26"/>
                <w:szCs w:val="26"/>
              </w:rPr>
              <w:t>Cái</w:t>
            </w:r>
          </w:p>
        </w:tc>
        <w:tc>
          <w:tcPr>
            <w:tcW w:w="1099" w:type="dxa"/>
            <w:vAlign w:val="center"/>
          </w:tcPr>
          <w:p w14:paraId="5E12415F" w14:textId="77777777" w:rsidR="003A18F7" w:rsidRPr="003A18F7" w:rsidRDefault="003A18F7" w:rsidP="00897016">
            <w:pPr>
              <w:suppressAutoHyphens/>
              <w:spacing w:before="120" w:after="120"/>
              <w:jc w:val="center"/>
              <w:outlineLvl w:val="0"/>
              <w:rPr>
                <w:sz w:val="26"/>
                <w:szCs w:val="26"/>
                <w:lang w:val="sv-SE"/>
              </w:rPr>
            </w:pPr>
            <w:r w:rsidRPr="003A18F7">
              <w:rPr>
                <w:sz w:val="26"/>
                <w:szCs w:val="26"/>
              </w:rPr>
              <w:t>01</w:t>
            </w:r>
          </w:p>
        </w:tc>
      </w:tr>
      <w:tr w:rsidR="003A18F7" w:rsidRPr="003A18F7" w14:paraId="48BEA94C" w14:textId="77777777" w:rsidTr="00897016">
        <w:tc>
          <w:tcPr>
            <w:tcW w:w="679" w:type="dxa"/>
            <w:vAlign w:val="center"/>
          </w:tcPr>
          <w:p w14:paraId="4EF77053" w14:textId="77777777" w:rsidR="003A18F7" w:rsidRPr="003A18F7" w:rsidRDefault="003A18F7" w:rsidP="00897016">
            <w:pPr>
              <w:suppressAutoHyphens/>
              <w:spacing w:before="120" w:after="120"/>
              <w:jc w:val="center"/>
              <w:outlineLvl w:val="0"/>
              <w:rPr>
                <w:sz w:val="26"/>
                <w:szCs w:val="26"/>
              </w:rPr>
            </w:pPr>
            <w:r w:rsidRPr="003A18F7">
              <w:rPr>
                <w:sz w:val="26"/>
                <w:szCs w:val="26"/>
              </w:rPr>
              <w:t>6</w:t>
            </w:r>
          </w:p>
        </w:tc>
        <w:tc>
          <w:tcPr>
            <w:tcW w:w="1478" w:type="dxa"/>
            <w:vAlign w:val="center"/>
          </w:tcPr>
          <w:p w14:paraId="059CF25A" w14:textId="77777777" w:rsidR="003A18F7" w:rsidRPr="003A18F7" w:rsidRDefault="003A18F7" w:rsidP="00897016">
            <w:pPr>
              <w:suppressAutoHyphens/>
              <w:spacing w:before="120" w:after="120"/>
              <w:jc w:val="center"/>
              <w:outlineLvl w:val="0"/>
              <w:rPr>
                <w:color w:val="000000"/>
                <w:sz w:val="26"/>
                <w:szCs w:val="26"/>
              </w:rPr>
            </w:pPr>
            <w:r w:rsidRPr="003A18F7">
              <w:rPr>
                <w:color w:val="000000"/>
                <w:sz w:val="26"/>
                <w:szCs w:val="26"/>
              </w:rPr>
              <w:t>Kênh nước phụ</w:t>
            </w:r>
          </w:p>
        </w:tc>
        <w:tc>
          <w:tcPr>
            <w:tcW w:w="4472" w:type="dxa"/>
            <w:vAlign w:val="center"/>
          </w:tcPr>
          <w:p w14:paraId="710A2422" w14:textId="77777777" w:rsidR="003A18F7" w:rsidRPr="003A18F7" w:rsidRDefault="003A18F7" w:rsidP="00897016">
            <w:pPr>
              <w:suppressAutoHyphens/>
              <w:spacing w:before="120" w:after="120"/>
              <w:outlineLvl w:val="0"/>
              <w:rPr>
                <w:color w:val="000000"/>
                <w:sz w:val="26"/>
                <w:szCs w:val="26"/>
              </w:rPr>
            </w:pPr>
            <w:r w:rsidRPr="003A18F7">
              <w:rPr>
                <w:color w:val="000000"/>
                <w:sz w:val="26"/>
                <w:szCs w:val="26"/>
              </w:rPr>
              <w:t>Đường ống dẫn nước</w:t>
            </w:r>
          </w:p>
        </w:tc>
        <w:tc>
          <w:tcPr>
            <w:tcW w:w="1559" w:type="dxa"/>
            <w:vAlign w:val="center"/>
          </w:tcPr>
          <w:p w14:paraId="2D192A75" w14:textId="77777777" w:rsidR="003A18F7" w:rsidRPr="003A18F7" w:rsidRDefault="003A18F7" w:rsidP="00897016">
            <w:pPr>
              <w:suppressAutoHyphens/>
              <w:spacing w:before="120" w:after="120"/>
              <w:jc w:val="center"/>
              <w:outlineLvl w:val="0"/>
              <w:rPr>
                <w:color w:val="000000"/>
                <w:sz w:val="26"/>
                <w:szCs w:val="26"/>
              </w:rPr>
            </w:pPr>
            <w:r w:rsidRPr="003A18F7">
              <w:rPr>
                <w:color w:val="000000"/>
                <w:sz w:val="26"/>
                <w:szCs w:val="26"/>
              </w:rPr>
              <w:t>Cái</w:t>
            </w:r>
          </w:p>
        </w:tc>
        <w:tc>
          <w:tcPr>
            <w:tcW w:w="1099" w:type="dxa"/>
            <w:vAlign w:val="center"/>
          </w:tcPr>
          <w:p w14:paraId="397E98F4" w14:textId="77777777" w:rsidR="003A18F7" w:rsidRPr="003A18F7" w:rsidRDefault="003A18F7" w:rsidP="00897016">
            <w:pPr>
              <w:suppressAutoHyphens/>
              <w:spacing w:before="120" w:after="120"/>
              <w:jc w:val="center"/>
              <w:outlineLvl w:val="0"/>
              <w:rPr>
                <w:sz w:val="26"/>
                <w:szCs w:val="26"/>
              </w:rPr>
            </w:pPr>
            <w:r w:rsidRPr="003A18F7">
              <w:rPr>
                <w:sz w:val="26"/>
                <w:szCs w:val="26"/>
              </w:rPr>
              <w:t>01</w:t>
            </w:r>
          </w:p>
        </w:tc>
      </w:tr>
    </w:tbl>
    <w:p w14:paraId="05439281" w14:textId="77777777" w:rsidR="003A18F7" w:rsidRPr="003A18F7" w:rsidRDefault="003A18F7" w:rsidP="003A18F7">
      <w:pPr>
        <w:pStyle w:val="SectionVIHeader"/>
        <w:spacing w:after="120" w:line="264" w:lineRule="auto"/>
        <w:ind w:firstLine="709"/>
        <w:jc w:val="left"/>
        <w:rPr>
          <w:sz w:val="26"/>
          <w:szCs w:val="26"/>
        </w:rPr>
      </w:pPr>
      <w:r w:rsidRPr="003A18F7">
        <w:rPr>
          <w:sz w:val="26"/>
          <w:szCs w:val="26"/>
          <w:lang w:val="nl-NL"/>
        </w:rPr>
        <w:t xml:space="preserve">Mục 2. Bản vẽ: </w:t>
      </w:r>
      <w:r w:rsidRPr="003A18F7">
        <w:rPr>
          <w:sz w:val="26"/>
          <w:szCs w:val="26"/>
        </w:rPr>
        <w:t>Không có bản vẽ</w:t>
      </w:r>
    </w:p>
    <w:p w14:paraId="0C580275" w14:textId="77777777" w:rsidR="003A18F7" w:rsidRPr="003A18F7" w:rsidRDefault="003A18F7" w:rsidP="003A18F7">
      <w:pPr>
        <w:pStyle w:val="SectionVIHeader"/>
        <w:spacing w:after="120" w:line="264" w:lineRule="auto"/>
        <w:ind w:firstLine="709"/>
        <w:jc w:val="left"/>
        <w:rPr>
          <w:sz w:val="26"/>
          <w:szCs w:val="26"/>
          <w:lang w:val="nl-NL"/>
        </w:rPr>
      </w:pPr>
      <w:r w:rsidRPr="003A18F7">
        <w:rPr>
          <w:sz w:val="26"/>
          <w:szCs w:val="26"/>
        </w:rPr>
        <w:t>Mục 3. Kiểm tra và thử nghiệm</w:t>
      </w:r>
    </w:p>
    <w:p w14:paraId="276300B2" w14:textId="77777777" w:rsidR="003A18F7" w:rsidRPr="003A18F7" w:rsidRDefault="003A18F7" w:rsidP="003A18F7">
      <w:pPr>
        <w:widowControl w:val="0"/>
        <w:spacing w:after="60"/>
        <w:ind w:firstLine="720"/>
        <w:rPr>
          <w:sz w:val="26"/>
          <w:szCs w:val="26"/>
        </w:rPr>
      </w:pPr>
      <w:r w:rsidRPr="003A18F7">
        <w:rPr>
          <w:sz w:val="26"/>
          <w:szCs w:val="26"/>
        </w:rPr>
        <w:t>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1C1E7D5D" w14:textId="74156E1C" w:rsidR="003A18F7" w:rsidRPr="003A18F7" w:rsidRDefault="003A18F7" w:rsidP="003A18F7">
      <w:pPr>
        <w:widowControl w:val="0"/>
        <w:spacing w:after="60"/>
        <w:ind w:right="138"/>
        <w:rPr>
          <w:sz w:val="26"/>
          <w:szCs w:val="26"/>
        </w:rPr>
      </w:pPr>
      <w:r w:rsidRPr="003A18F7">
        <w:rPr>
          <w:sz w:val="26"/>
          <w:szCs w:val="26"/>
        </w:rPr>
        <w:tab/>
        <w:t xml:space="preserve">+ Địa điểm: </w:t>
      </w:r>
      <w:r w:rsidR="005B3C31" w:rsidRPr="005B3C31">
        <w:rPr>
          <w:sz w:val="26"/>
          <w:szCs w:val="26"/>
        </w:rPr>
        <w:t>Bệnh viện đa khoa Thái Bình</w:t>
      </w:r>
      <w:r w:rsidR="005B3C31">
        <w:rPr>
          <w:sz w:val="26"/>
          <w:szCs w:val="26"/>
        </w:rPr>
        <w:t xml:space="preserve"> và được tiến hành trước khi bàn giao nghiệm thu</w:t>
      </w:r>
      <w:r w:rsidRPr="003A18F7">
        <w:rPr>
          <w:sz w:val="26"/>
          <w:szCs w:val="26"/>
        </w:rPr>
        <w:t>.</w:t>
      </w:r>
    </w:p>
    <w:p w14:paraId="58BC2450" w14:textId="77777777" w:rsidR="003A18F7" w:rsidRPr="003A18F7" w:rsidRDefault="003A18F7" w:rsidP="003A18F7">
      <w:pPr>
        <w:widowControl w:val="0"/>
        <w:spacing w:after="60"/>
        <w:rPr>
          <w:sz w:val="26"/>
          <w:szCs w:val="26"/>
        </w:rPr>
      </w:pPr>
      <w:r w:rsidRPr="003A18F7">
        <w:rPr>
          <w:sz w:val="26"/>
          <w:szCs w:val="26"/>
        </w:rPr>
        <w:tab/>
        <w:t>+ Thời gian: do các bên thỏa thuận;</w:t>
      </w:r>
    </w:p>
    <w:p w14:paraId="44C9EE80" w14:textId="77777777" w:rsidR="003A18F7" w:rsidRPr="003A18F7" w:rsidRDefault="003A18F7" w:rsidP="003A18F7">
      <w:pPr>
        <w:widowControl w:val="0"/>
        <w:spacing w:after="60"/>
        <w:rPr>
          <w:sz w:val="26"/>
          <w:szCs w:val="26"/>
        </w:rPr>
      </w:pPr>
      <w:r w:rsidRPr="003A18F7">
        <w:rPr>
          <w:sz w:val="26"/>
          <w:szCs w:val="26"/>
        </w:rPr>
        <w:tab/>
        <w:t>+ Nội dung kiểm tra: kiểm tra toàn bộ hàng hóa theo yêu cầu của hợp đồng;</w:t>
      </w:r>
    </w:p>
    <w:p w14:paraId="11CF6B63" w14:textId="64CF5400" w:rsidR="003A18F7" w:rsidRDefault="003A18F7" w:rsidP="003A18F7">
      <w:pPr>
        <w:widowControl w:val="0"/>
        <w:spacing w:after="60"/>
        <w:rPr>
          <w:sz w:val="26"/>
          <w:szCs w:val="26"/>
        </w:rPr>
      </w:pPr>
      <w:r w:rsidRPr="003A18F7">
        <w:rPr>
          <w:sz w:val="26"/>
          <w:szCs w:val="26"/>
        </w:rPr>
        <w:tab/>
        <w:t>+ Chi phí tổ chức thực hiện: do nhà thầu chi trả.</w:t>
      </w:r>
    </w:p>
    <w:p w14:paraId="00D67958" w14:textId="461AB92A" w:rsidR="005B3C31" w:rsidRPr="003A18F7" w:rsidRDefault="005B3C31" w:rsidP="005B3C31">
      <w:pPr>
        <w:widowControl w:val="0"/>
        <w:spacing w:after="60"/>
        <w:ind w:firstLine="720"/>
        <w:rPr>
          <w:sz w:val="26"/>
          <w:szCs w:val="26"/>
        </w:rPr>
      </w:pPr>
      <w:r w:rsidRPr="005B3C31">
        <w:rPr>
          <w:sz w:val="26"/>
          <w:szCs w:val="26"/>
        </w:rPr>
        <w:t>+ Trường hợp hàng hóa không đạt yêu cầu qua kiểm tra, thử nghiệm thì nhà thầu phải thay mới và phải chịu mọi chi phí phát sinh cho việc thay thế. Nếu việc thay thế không thành công, nhà thầu phải hoàn trả lại toàn bộ tiền của các hàng hóa không đạt và phải bồi thường các thiệt hại cho chủ đầu tư theo đúng quy định.</w:t>
      </w:r>
    </w:p>
    <w:p w14:paraId="5D5761FF" w14:textId="77777777" w:rsidR="003A18F7" w:rsidRPr="003A18F7" w:rsidRDefault="003A18F7" w:rsidP="003A18F7">
      <w:pPr>
        <w:widowControl w:val="0"/>
        <w:spacing w:after="60"/>
        <w:rPr>
          <w:sz w:val="26"/>
          <w:szCs w:val="26"/>
        </w:rPr>
      </w:pPr>
      <w:r w:rsidRPr="003A18F7">
        <w:rPr>
          <w:sz w:val="26"/>
          <w:szCs w:val="26"/>
        </w:rPr>
        <w:tab/>
      </w:r>
      <w:bookmarkEnd w:id="0"/>
    </w:p>
    <w:p w14:paraId="78448B2E" w14:textId="77777777" w:rsidR="004104BA" w:rsidRPr="003A18F7" w:rsidRDefault="004104BA">
      <w:pPr>
        <w:rPr>
          <w:sz w:val="26"/>
          <w:szCs w:val="26"/>
        </w:rPr>
      </w:pPr>
    </w:p>
    <w:sectPr w:rsidR="004104BA" w:rsidRPr="003A18F7"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F7"/>
    <w:rsid w:val="002F6C45"/>
    <w:rsid w:val="003A18F7"/>
    <w:rsid w:val="004104BA"/>
    <w:rsid w:val="00503FBC"/>
    <w:rsid w:val="005B3C31"/>
    <w:rsid w:val="00B2303D"/>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F9D4"/>
  <w15:chartTrackingRefBased/>
  <w15:docId w15:val="{0A73624F-4AE3-4CC8-BF8D-CEA26720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8F7"/>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Subtitle">
    <w:name w:val="Subtitle"/>
    <w:basedOn w:val="Normal"/>
    <w:link w:val="SubtitleChar"/>
    <w:qFormat/>
    <w:rsid w:val="003A18F7"/>
    <w:pPr>
      <w:jc w:val="center"/>
    </w:pPr>
    <w:rPr>
      <w:b/>
      <w:sz w:val="44"/>
    </w:rPr>
  </w:style>
  <w:style w:type="character" w:customStyle="1" w:styleId="SubtitleChar">
    <w:name w:val="Subtitle Char"/>
    <w:basedOn w:val="DefaultParagraphFont"/>
    <w:link w:val="Subtitle"/>
    <w:rsid w:val="003A18F7"/>
    <w:rPr>
      <w:rFonts w:ascii="Times New Roman" w:eastAsia="Times New Roman" w:hAnsi="Times New Roman" w:cs="Times New Roman"/>
      <w:b/>
      <w:sz w:val="44"/>
      <w:szCs w:val="20"/>
    </w:rPr>
  </w:style>
  <w:style w:type="paragraph" w:customStyle="1" w:styleId="SectionVIHeader">
    <w:name w:val="Section VI. Header"/>
    <w:basedOn w:val="Normal"/>
    <w:rsid w:val="003A18F7"/>
    <w:pPr>
      <w:spacing w:before="120" w:after="240"/>
      <w:jc w:val="center"/>
    </w:pPr>
    <w:rPr>
      <w:b/>
      <w:sz w:val="3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3A18F7"/>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2025-11-25T06:16:00Z</dcterms:created>
  <dcterms:modified xsi:type="dcterms:W3CDTF">2025-11-27T05:40:00Z</dcterms:modified>
</cp:coreProperties>
</file>