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BC" w:rsidRPr="006B4E13" w:rsidRDefault="00E93CBC" w:rsidP="00E93CBC">
      <w:pPr>
        <w:spacing w:before="20" w:after="20" w:line="264" w:lineRule="auto"/>
        <w:ind w:firstLine="709"/>
        <w:outlineLvl w:val="1"/>
        <w:rPr>
          <w:rFonts w:eastAsia="MS Mincho"/>
          <w:b/>
          <w:sz w:val="26"/>
          <w:szCs w:val="26"/>
          <w:lang w:val="vi-VN" w:eastAsia="vi-VN"/>
        </w:rPr>
      </w:pPr>
      <w:r w:rsidRPr="006B4E13">
        <w:rPr>
          <w:b/>
          <w:bCs/>
          <w:sz w:val="26"/>
          <w:szCs w:val="26"/>
          <w:lang w:val="vi-VN"/>
        </w:rPr>
        <w:t xml:space="preserve">Mục </w:t>
      </w:r>
      <w:r w:rsidRPr="006B4E13">
        <w:rPr>
          <w:b/>
          <w:bCs/>
          <w:sz w:val="26"/>
          <w:szCs w:val="26"/>
          <w:lang w:val="pl-PL"/>
        </w:rPr>
        <w:t>3</w:t>
      </w:r>
      <w:r w:rsidRPr="006B4E13">
        <w:rPr>
          <w:b/>
          <w:bCs/>
          <w:sz w:val="26"/>
          <w:szCs w:val="26"/>
          <w:lang w:val="vi-VN"/>
        </w:rPr>
        <w:t>. Tiêu chuẩn đánh giá về kỹ thuật</w:t>
      </w:r>
      <w:r w:rsidRPr="006B4E13">
        <w:rPr>
          <w:rFonts w:eastAsia="MS Mincho"/>
          <w:b/>
          <w:sz w:val="26"/>
          <w:szCs w:val="26"/>
          <w:lang w:val="vi-VN" w:eastAsia="vi-VN"/>
        </w:rPr>
        <w:t xml:space="preserve"> </w:t>
      </w:r>
    </w:p>
    <w:p w:rsidR="00E93CBC" w:rsidRPr="006B4E13" w:rsidRDefault="00E93CBC" w:rsidP="00E93CBC">
      <w:pPr>
        <w:spacing w:before="20" w:after="20" w:line="264" w:lineRule="auto"/>
        <w:ind w:firstLine="709"/>
        <w:rPr>
          <w:spacing w:val="2"/>
          <w:sz w:val="26"/>
          <w:szCs w:val="26"/>
          <w:lang w:val="vi-VN"/>
        </w:rPr>
      </w:pPr>
      <w:r w:rsidRPr="006B4E13">
        <w:rPr>
          <w:spacing w:val="2"/>
          <w:sz w:val="26"/>
          <w:szCs w:val="26"/>
          <w:lang w:val="vi-VN"/>
        </w:rPr>
        <w:t xml:space="preserve">Sử dụng tiêu chí đạt/không đạt </w:t>
      </w:r>
    </w:p>
    <w:p w:rsidR="00E93CBC" w:rsidRPr="006B4E13" w:rsidRDefault="00E93CBC" w:rsidP="00E93CBC">
      <w:pPr>
        <w:spacing w:before="20" w:after="20" w:line="264" w:lineRule="auto"/>
        <w:ind w:firstLine="709"/>
        <w:rPr>
          <w:sz w:val="26"/>
          <w:szCs w:val="26"/>
          <w:lang w:val="vi-VN"/>
        </w:rPr>
      </w:pPr>
      <w:r w:rsidRPr="006B4E13">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E93CBC" w:rsidRPr="006B4E13" w:rsidRDefault="00E93CBC" w:rsidP="00E93CBC">
      <w:pPr>
        <w:spacing w:before="20" w:after="20" w:line="264" w:lineRule="auto"/>
        <w:ind w:firstLine="709"/>
        <w:rPr>
          <w:sz w:val="26"/>
          <w:szCs w:val="26"/>
          <w:lang w:val="vi-VN"/>
        </w:rPr>
      </w:pPr>
      <w:r w:rsidRPr="006B4E13">
        <w:rPr>
          <w:sz w:val="26"/>
          <w:szCs w:val="26"/>
          <w:lang w:val="vi-VN"/>
        </w:rPr>
        <w:t>E-HSDT được đánh giá là đáp ứng yêu cầu về kỹ thuật khi có tất cả các tiêu chí tổng quát đều được đánh giá là đạt.</w:t>
      </w:r>
    </w:p>
    <w:p w:rsidR="00E93CBC" w:rsidRPr="006B4E13" w:rsidRDefault="00E93CBC" w:rsidP="00E93CBC">
      <w:pPr>
        <w:spacing w:before="20" w:after="20" w:line="264" w:lineRule="auto"/>
        <w:ind w:firstLine="709"/>
        <w:rPr>
          <w:spacing w:val="2"/>
          <w:sz w:val="26"/>
          <w:szCs w:val="26"/>
          <w:lang w:val="vi-VN"/>
        </w:rPr>
      </w:pPr>
    </w:p>
    <w:tbl>
      <w:tblPr>
        <w:tblW w:w="99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3510"/>
        <w:gridCol w:w="4125"/>
      </w:tblGrid>
      <w:tr w:rsidR="006B4E13" w:rsidRPr="006B4E13" w:rsidTr="00AB6D0F">
        <w:trPr>
          <w:trHeight w:val="20"/>
          <w:tblHeader/>
        </w:trPr>
        <w:tc>
          <w:tcPr>
            <w:tcW w:w="2331" w:type="dxa"/>
            <w:vAlign w:val="center"/>
          </w:tcPr>
          <w:p w:rsidR="006B4E13" w:rsidRPr="006B4E13" w:rsidRDefault="006B4E13" w:rsidP="00AB6D0F">
            <w:pPr>
              <w:spacing w:before="40" w:after="40" w:line="276" w:lineRule="auto"/>
              <w:jc w:val="center"/>
              <w:rPr>
                <w:b/>
                <w:bCs/>
                <w:spacing w:val="-8"/>
                <w:sz w:val="26"/>
                <w:szCs w:val="26"/>
                <w:lang w:val="es-ES"/>
              </w:rPr>
            </w:pPr>
            <w:r w:rsidRPr="006B4E13">
              <w:rPr>
                <w:b/>
                <w:bCs/>
                <w:spacing w:val="-8"/>
                <w:sz w:val="26"/>
                <w:szCs w:val="26"/>
                <w:lang w:val="es-ES"/>
              </w:rPr>
              <w:t>Nội dung đánh giá</w:t>
            </w:r>
          </w:p>
        </w:tc>
        <w:tc>
          <w:tcPr>
            <w:tcW w:w="3510" w:type="dxa"/>
            <w:vAlign w:val="center"/>
          </w:tcPr>
          <w:p w:rsidR="006B4E13" w:rsidRPr="006B4E13" w:rsidRDefault="006B4E13" w:rsidP="00AB6D0F">
            <w:pPr>
              <w:spacing w:before="40" w:after="40" w:line="276" w:lineRule="auto"/>
              <w:jc w:val="center"/>
              <w:rPr>
                <w:b/>
                <w:bCs/>
                <w:spacing w:val="-8"/>
                <w:sz w:val="26"/>
                <w:szCs w:val="26"/>
              </w:rPr>
            </w:pPr>
            <w:r w:rsidRPr="006B4E13">
              <w:rPr>
                <w:b/>
                <w:bCs/>
                <w:spacing w:val="-8"/>
                <w:sz w:val="26"/>
                <w:szCs w:val="26"/>
              </w:rPr>
              <w:t>Đạt</w:t>
            </w:r>
          </w:p>
        </w:tc>
        <w:tc>
          <w:tcPr>
            <w:tcW w:w="4125" w:type="dxa"/>
          </w:tcPr>
          <w:p w:rsidR="006B4E13" w:rsidRPr="006B4E13" w:rsidRDefault="006B4E13" w:rsidP="00AB6D0F">
            <w:pPr>
              <w:spacing w:before="40" w:after="40" w:line="276" w:lineRule="auto"/>
              <w:jc w:val="center"/>
              <w:rPr>
                <w:b/>
                <w:bCs/>
                <w:spacing w:val="-8"/>
                <w:sz w:val="26"/>
                <w:szCs w:val="26"/>
              </w:rPr>
            </w:pPr>
            <w:r w:rsidRPr="006B4E13">
              <w:rPr>
                <w:b/>
                <w:bCs/>
                <w:spacing w:val="-8"/>
                <w:sz w:val="26"/>
                <w:szCs w:val="26"/>
              </w:rPr>
              <w:t>Không đạt</w:t>
            </w:r>
          </w:p>
        </w:tc>
      </w:tr>
      <w:tr w:rsidR="006B4E13" w:rsidRPr="006B4E13" w:rsidTr="00AB6D0F">
        <w:trPr>
          <w:trHeight w:val="20"/>
        </w:trPr>
        <w:tc>
          <w:tcPr>
            <w:tcW w:w="2331" w:type="dxa"/>
            <w:vAlign w:val="center"/>
          </w:tcPr>
          <w:p w:rsidR="006B4E13" w:rsidRPr="006B4E13" w:rsidRDefault="006B4E13" w:rsidP="00AB6D0F">
            <w:pPr>
              <w:ind w:right="66"/>
              <w:jc w:val="center"/>
              <w:rPr>
                <w:sz w:val="26"/>
                <w:szCs w:val="26"/>
              </w:rPr>
            </w:pPr>
            <w:r w:rsidRPr="006B4E13">
              <w:rPr>
                <w:b/>
                <w:sz w:val="26"/>
                <w:szCs w:val="26"/>
              </w:rPr>
              <w:t>1</w:t>
            </w:r>
          </w:p>
        </w:tc>
        <w:tc>
          <w:tcPr>
            <w:tcW w:w="3510" w:type="dxa"/>
            <w:vAlign w:val="center"/>
          </w:tcPr>
          <w:p w:rsidR="006B4E13" w:rsidRPr="006B4E13" w:rsidRDefault="006B4E13" w:rsidP="00AB6D0F">
            <w:pPr>
              <w:spacing w:after="52"/>
              <w:ind w:left="1"/>
              <w:rPr>
                <w:sz w:val="26"/>
                <w:szCs w:val="26"/>
              </w:rPr>
            </w:pPr>
            <w:r w:rsidRPr="006B4E13">
              <w:rPr>
                <w:b/>
                <w:sz w:val="26"/>
                <w:szCs w:val="26"/>
              </w:rPr>
              <w:t xml:space="preserve">Giải pháp và phương pháp luận thực hiện </w:t>
            </w:r>
          </w:p>
          <w:p w:rsidR="006B4E13" w:rsidRPr="006B4E13" w:rsidRDefault="006B4E13" w:rsidP="00AB6D0F">
            <w:pPr>
              <w:ind w:left="1"/>
              <w:rPr>
                <w:sz w:val="26"/>
                <w:szCs w:val="26"/>
              </w:rPr>
            </w:pPr>
            <w:r w:rsidRPr="006B4E13">
              <w:rPr>
                <w:b/>
                <w:sz w:val="26"/>
                <w:szCs w:val="26"/>
              </w:rPr>
              <w:t xml:space="preserve">gói thầu </w:t>
            </w:r>
          </w:p>
        </w:tc>
        <w:tc>
          <w:tcPr>
            <w:tcW w:w="4125" w:type="dxa"/>
            <w:vAlign w:val="center"/>
          </w:tcPr>
          <w:p w:rsidR="006B4E13" w:rsidRPr="006B4E13" w:rsidRDefault="006B4E13" w:rsidP="00AB6D0F">
            <w:pPr>
              <w:spacing w:before="20" w:after="20" w:line="264" w:lineRule="auto"/>
              <w:rPr>
                <w:sz w:val="26"/>
                <w:szCs w:val="26"/>
                <w:lang w:val="nl-NL"/>
              </w:rPr>
            </w:pPr>
          </w:p>
        </w:tc>
      </w:tr>
      <w:tr w:rsidR="006B4E13" w:rsidRPr="006B4E13" w:rsidTr="00AB6D0F">
        <w:trPr>
          <w:trHeight w:val="20"/>
        </w:trPr>
        <w:tc>
          <w:tcPr>
            <w:tcW w:w="2331" w:type="dxa"/>
            <w:vAlign w:val="center"/>
          </w:tcPr>
          <w:p w:rsidR="006B4E13" w:rsidRPr="006B4E13" w:rsidRDefault="006B4E13" w:rsidP="00AB6D0F">
            <w:pPr>
              <w:ind w:left="1" w:right="67"/>
              <w:rPr>
                <w:sz w:val="26"/>
                <w:szCs w:val="26"/>
              </w:rPr>
            </w:pPr>
            <w:r w:rsidRPr="006B4E13">
              <w:rPr>
                <w:sz w:val="26"/>
                <w:szCs w:val="26"/>
              </w:rPr>
              <w:t xml:space="preserve">1.1.Am hiểu chung về mục tiêu, quy mô và phạm vi của gói thầu </w:t>
            </w:r>
          </w:p>
        </w:tc>
        <w:tc>
          <w:tcPr>
            <w:tcW w:w="3510" w:type="dxa"/>
            <w:vAlign w:val="center"/>
          </w:tcPr>
          <w:p w:rsidR="006B4E13" w:rsidRPr="006B4E13" w:rsidRDefault="006B4E13" w:rsidP="00AB6D0F">
            <w:pPr>
              <w:ind w:right="69"/>
              <w:rPr>
                <w:sz w:val="26"/>
                <w:szCs w:val="26"/>
              </w:rPr>
            </w:pPr>
            <w:r w:rsidRPr="006B4E13">
              <w:rPr>
                <w:sz w:val="26"/>
                <w:szCs w:val="26"/>
              </w:rPr>
              <w:t xml:space="preserve">Nhà thầu trình bày được đầy đủ mục tiêu, quy mô và phạm vi của gói thầu </w:t>
            </w:r>
            <w:r w:rsidRPr="006B4E13">
              <w:rPr>
                <w:color w:val="000000" w:themeColor="text1"/>
                <w:sz w:val="26"/>
                <w:szCs w:val="26"/>
              </w:rPr>
              <w:t xml:space="preserve">đúng các yêu cầu kỹ thuật nêu tại Chương V của E-HSMT </w:t>
            </w:r>
          </w:p>
        </w:tc>
        <w:tc>
          <w:tcPr>
            <w:tcW w:w="4125" w:type="dxa"/>
            <w:vAlign w:val="center"/>
          </w:tcPr>
          <w:p w:rsidR="006B4E13" w:rsidRPr="006B4E13" w:rsidRDefault="006B4E13" w:rsidP="00AB6D0F">
            <w:pPr>
              <w:ind w:left="1" w:right="65"/>
              <w:rPr>
                <w:sz w:val="26"/>
                <w:szCs w:val="26"/>
              </w:rPr>
            </w:pPr>
            <w:r w:rsidRPr="006B4E13">
              <w:rPr>
                <w:sz w:val="26"/>
                <w:szCs w:val="26"/>
              </w:rPr>
              <w:t xml:space="preserve">Nhà thầu không trình bày hoặc trình bày nhưng không đầy đủ mục tiêu, quy mô và phạm vi của gói thầu </w:t>
            </w:r>
            <w:r w:rsidRPr="006B4E13">
              <w:rPr>
                <w:color w:val="000000" w:themeColor="text1"/>
                <w:sz w:val="26"/>
                <w:szCs w:val="26"/>
              </w:rPr>
              <w:t xml:space="preserve">đúng các yêu cầu kỹ thuật nêu tại Chương V của E-HSMT </w:t>
            </w:r>
          </w:p>
        </w:tc>
      </w:tr>
      <w:tr w:rsidR="006B4E13" w:rsidRPr="006B4E13" w:rsidTr="00AB6D0F">
        <w:trPr>
          <w:trHeight w:val="20"/>
        </w:trPr>
        <w:tc>
          <w:tcPr>
            <w:tcW w:w="2331" w:type="dxa"/>
            <w:vAlign w:val="center"/>
          </w:tcPr>
          <w:p w:rsidR="006B4E13" w:rsidRPr="006B4E13" w:rsidRDefault="006B4E13" w:rsidP="00AB6D0F">
            <w:pPr>
              <w:ind w:left="1"/>
              <w:rPr>
                <w:sz w:val="26"/>
                <w:szCs w:val="26"/>
              </w:rPr>
            </w:pPr>
            <w:r w:rsidRPr="006B4E13">
              <w:rPr>
                <w:sz w:val="26"/>
                <w:szCs w:val="26"/>
              </w:rPr>
              <w:t xml:space="preserve">1.2. Cách tiếp cận và phương pháp luận  </w:t>
            </w:r>
          </w:p>
        </w:tc>
        <w:tc>
          <w:tcPr>
            <w:tcW w:w="3510" w:type="dxa"/>
            <w:vAlign w:val="center"/>
          </w:tcPr>
          <w:p w:rsidR="006B4E13" w:rsidRPr="006B4E13" w:rsidRDefault="006B4E13" w:rsidP="00AB6D0F">
            <w:pPr>
              <w:spacing w:after="51" w:line="239" w:lineRule="auto"/>
              <w:ind w:right="70"/>
              <w:rPr>
                <w:sz w:val="26"/>
                <w:szCs w:val="26"/>
              </w:rPr>
            </w:pPr>
            <w:r w:rsidRPr="006B4E13">
              <w:rPr>
                <w:color w:val="000000" w:themeColor="text1"/>
                <w:sz w:val="26"/>
                <w:szCs w:val="26"/>
              </w:rPr>
              <w:t xml:space="preserve">Trên cơ sở am hiểu về quy mô, mục đích gói thầu, Nhà thầu đề xuất kế hoạch thực hiện gồm thời gian thực hiện từng hạng mục công việc đồng thời đáp ứng tiến độ các hạng mục công việc gói thầu đúng các yêu cầu kỹ thuật nêu tại Chương V của E-HSMT </w:t>
            </w:r>
          </w:p>
        </w:tc>
        <w:tc>
          <w:tcPr>
            <w:tcW w:w="4125" w:type="dxa"/>
            <w:vAlign w:val="center"/>
          </w:tcPr>
          <w:p w:rsidR="006B4E13" w:rsidRPr="006B4E13" w:rsidRDefault="006B4E13" w:rsidP="00AB6D0F">
            <w:pPr>
              <w:rPr>
                <w:color w:val="000000" w:themeColor="text1"/>
                <w:sz w:val="26"/>
                <w:szCs w:val="26"/>
              </w:rPr>
            </w:pPr>
            <w:r w:rsidRPr="006B4E13">
              <w:rPr>
                <w:color w:val="000000" w:themeColor="text1"/>
                <w:sz w:val="26"/>
                <w:szCs w:val="26"/>
              </w:rPr>
              <w:t>- Nhà thầu không có đề xuất kế hoạch thực hiện gồm thời gian thực hiện.</w:t>
            </w:r>
          </w:p>
          <w:p w:rsidR="006B4E13" w:rsidRPr="006B4E13" w:rsidRDefault="006B4E13" w:rsidP="00AB6D0F">
            <w:pPr>
              <w:spacing w:after="49" w:line="239" w:lineRule="auto"/>
              <w:ind w:left="1" w:right="62"/>
              <w:rPr>
                <w:sz w:val="26"/>
                <w:szCs w:val="26"/>
              </w:rPr>
            </w:pPr>
            <w:r w:rsidRPr="006B4E13">
              <w:rPr>
                <w:color w:val="000000" w:themeColor="text1"/>
                <w:sz w:val="26"/>
                <w:szCs w:val="26"/>
              </w:rPr>
              <w:t xml:space="preserve">- hoặc Nhà thầu có đề xuất kế hoạch thực hiện nhưng không đáp ứng trình tự thời gian phù hợp của các hạng mục hoặc không đáp ứng tiến độ các hạng mục gói thầu đúng các yêu cầu kỹ thuật nêu tại Chương V của E-HSMT </w:t>
            </w:r>
          </w:p>
        </w:tc>
      </w:tr>
      <w:tr w:rsidR="006B4E13" w:rsidRPr="006B4E13" w:rsidTr="00AB6D0F">
        <w:trPr>
          <w:trHeight w:val="20"/>
        </w:trPr>
        <w:tc>
          <w:tcPr>
            <w:tcW w:w="2331" w:type="dxa"/>
            <w:vAlign w:val="center"/>
          </w:tcPr>
          <w:p w:rsidR="006B4E13" w:rsidRPr="006B4E13" w:rsidRDefault="006B4E13" w:rsidP="00AB6D0F">
            <w:pPr>
              <w:ind w:left="1" w:right="67"/>
              <w:rPr>
                <w:sz w:val="26"/>
                <w:szCs w:val="26"/>
              </w:rPr>
            </w:pPr>
            <w:r w:rsidRPr="006B4E13">
              <w:rPr>
                <w:sz w:val="26"/>
                <w:szCs w:val="26"/>
              </w:rPr>
              <w:t xml:space="preserve">1.3. Kịch bản chi tiết sản xuất </w:t>
            </w:r>
          </w:p>
        </w:tc>
        <w:tc>
          <w:tcPr>
            <w:tcW w:w="3510" w:type="dxa"/>
            <w:vAlign w:val="center"/>
          </w:tcPr>
          <w:p w:rsidR="006B4E13" w:rsidRPr="006B4E13" w:rsidRDefault="006B4E13" w:rsidP="00AB6D0F">
            <w:pPr>
              <w:spacing w:line="259" w:lineRule="auto"/>
              <w:ind w:left="24" w:right="190"/>
              <w:rPr>
                <w:sz w:val="26"/>
                <w:szCs w:val="26"/>
              </w:rPr>
            </w:pPr>
            <w:r w:rsidRPr="006B4E13">
              <w:rPr>
                <w:color w:val="000000" w:themeColor="text1"/>
                <w:sz w:val="26"/>
                <w:szCs w:val="26"/>
              </w:rPr>
              <w:t xml:space="preserve">Trên cơ sở am hiểu về quy mô, mục đích gói thầu, Nhà thầu đề xuất 01 kịch bản cho 01 clip đúng các yêu cầu kỹ thuật nêu tại Chương V của E-HSMT </w:t>
            </w:r>
          </w:p>
        </w:tc>
        <w:tc>
          <w:tcPr>
            <w:tcW w:w="4125" w:type="dxa"/>
          </w:tcPr>
          <w:p w:rsidR="006B4E13" w:rsidRPr="006B4E13" w:rsidRDefault="006B4E13" w:rsidP="00AB6D0F">
            <w:pPr>
              <w:ind w:left="25" w:right="184"/>
              <w:rPr>
                <w:sz w:val="26"/>
                <w:szCs w:val="26"/>
              </w:rPr>
            </w:pPr>
            <w:r w:rsidRPr="006B4E13">
              <w:rPr>
                <w:color w:val="000000" w:themeColor="text1"/>
                <w:sz w:val="26"/>
                <w:szCs w:val="26"/>
              </w:rPr>
              <w:t>Nhà thầu không có đề xuất kịch bản hoặc có nhưng không đáp ứng các yêu cầu kỹ thuật nêu tại Chương V của E-HSMT</w:t>
            </w:r>
          </w:p>
        </w:tc>
      </w:tr>
      <w:tr w:rsidR="006B4E13" w:rsidRPr="006B4E13" w:rsidTr="00AB6D0F">
        <w:trPr>
          <w:trHeight w:val="20"/>
        </w:trPr>
        <w:tc>
          <w:tcPr>
            <w:tcW w:w="2331" w:type="dxa"/>
            <w:vAlign w:val="center"/>
          </w:tcPr>
          <w:p w:rsidR="006B4E13" w:rsidRPr="006B4E13" w:rsidRDefault="006B4E13" w:rsidP="00AB6D0F">
            <w:pPr>
              <w:ind w:left="1"/>
              <w:rPr>
                <w:sz w:val="26"/>
                <w:szCs w:val="26"/>
              </w:rPr>
            </w:pPr>
            <w:r w:rsidRPr="006B4E13">
              <w:rPr>
                <w:sz w:val="26"/>
                <w:szCs w:val="26"/>
              </w:rPr>
              <w:t xml:space="preserve">1.4. Kế hoạch chuẩn bị nhân sự </w:t>
            </w:r>
          </w:p>
        </w:tc>
        <w:tc>
          <w:tcPr>
            <w:tcW w:w="3510" w:type="dxa"/>
            <w:vAlign w:val="bottom"/>
          </w:tcPr>
          <w:p w:rsidR="006B4E13" w:rsidRPr="006B4E13" w:rsidRDefault="006B4E13" w:rsidP="00AB6D0F">
            <w:pPr>
              <w:spacing w:line="259" w:lineRule="auto"/>
              <w:ind w:left="24" w:right="190"/>
              <w:rPr>
                <w:sz w:val="26"/>
                <w:szCs w:val="26"/>
              </w:rPr>
            </w:pPr>
            <w:r w:rsidRPr="006B4E13">
              <w:rPr>
                <w:color w:val="000000" w:themeColor="text1"/>
                <w:sz w:val="26"/>
                <w:szCs w:val="26"/>
              </w:rPr>
              <w:t>Nhà thầu đề xuất</w:t>
            </w:r>
            <w:r w:rsidRPr="006B4E13">
              <w:rPr>
                <w:sz w:val="26"/>
                <w:szCs w:val="26"/>
              </w:rPr>
              <w:t xml:space="preserve"> số lượng nhân sự, phương án sắp sếp nhân sự thực hiện đáp ứng </w:t>
            </w:r>
            <w:r w:rsidRPr="006B4E13">
              <w:rPr>
                <w:color w:val="000000" w:themeColor="text1"/>
                <w:sz w:val="26"/>
                <w:szCs w:val="26"/>
              </w:rPr>
              <w:t xml:space="preserve">ứng tiến độ các hạng mục công việc gói thầu đúng các yêu cầu kỹ thuật nêu tại Chương V của E-HSMT </w:t>
            </w:r>
          </w:p>
        </w:tc>
        <w:tc>
          <w:tcPr>
            <w:tcW w:w="4125" w:type="dxa"/>
            <w:vAlign w:val="bottom"/>
          </w:tcPr>
          <w:p w:rsidR="006B4E13" w:rsidRPr="006B4E13" w:rsidRDefault="006B4E13" w:rsidP="00AB6D0F">
            <w:pPr>
              <w:ind w:left="1" w:right="67"/>
              <w:rPr>
                <w:sz w:val="26"/>
                <w:szCs w:val="26"/>
              </w:rPr>
            </w:pPr>
            <w:r w:rsidRPr="006B4E13">
              <w:rPr>
                <w:color w:val="000000" w:themeColor="text1"/>
                <w:sz w:val="26"/>
                <w:szCs w:val="26"/>
              </w:rPr>
              <w:t>Nhà thầu không đề xuất hoặc có nhưng</w:t>
            </w:r>
            <w:r w:rsidRPr="006B4E13">
              <w:rPr>
                <w:sz w:val="26"/>
                <w:szCs w:val="26"/>
              </w:rPr>
              <w:t xml:space="preserve"> số lượng nhân sự, phương án sắp xếp nhân sự thực hiện nhưng không phù hợp</w:t>
            </w:r>
            <w:r w:rsidRPr="006B4E13">
              <w:rPr>
                <w:color w:val="000000" w:themeColor="text1"/>
                <w:sz w:val="26"/>
                <w:szCs w:val="26"/>
              </w:rPr>
              <w:t xml:space="preserve"> tiến độ các hạng mục công việc gói thầu đúng các yêu cầu kỹ thuật nêu tại Chương V của E-HSMT </w:t>
            </w:r>
          </w:p>
        </w:tc>
      </w:tr>
      <w:tr w:rsidR="006B4E13" w:rsidRPr="006B4E13" w:rsidTr="00AB6D0F">
        <w:trPr>
          <w:trHeight w:val="20"/>
        </w:trPr>
        <w:tc>
          <w:tcPr>
            <w:tcW w:w="2331" w:type="dxa"/>
            <w:vAlign w:val="center"/>
          </w:tcPr>
          <w:p w:rsidR="006B4E13" w:rsidRPr="006B4E13" w:rsidRDefault="006B4E13" w:rsidP="00AB6D0F">
            <w:pPr>
              <w:ind w:left="1"/>
              <w:rPr>
                <w:b/>
                <w:bCs/>
                <w:spacing w:val="-8"/>
                <w:sz w:val="26"/>
                <w:szCs w:val="26"/>
                <w:lang w:val="nl-NL"/>
              </w:rPr>
            </w:pPr>
            <w:r w:rsidRPr="006B4E13">
              <w:rPr>
                <w:sz w:val="26"/>
                <w:szCs w:val="26"/>
              </w:rPr>
              <w:t>1.5. Quản lý chất lượng</w:t>
            </w:r>
          </w:p>
        </w:tc>
        <w:tc>
          <w:tcPr>
            <w:tcW w:w="3510" w:type="dxa"/>
            <w:vAlign w:val="center"/>
          </w:tcPr>
          <w:p w:rsidR="006B4E13" w:rsidRPr="006B4E13" w:rsidRDefault="006B4E13" w:rsidP="00AB6D0F">
            <w:pPr>
              <w:spacing w:before="20" w:after="20" w:line="264" w:lineRule="auto"/>
              <w:rPr>
                <w:b/>
                <w:sz w:val="26"/>
                <w:szCs w:val="26"/>
              </w:rPr>
            </w:pPr>
            <w:r w:rsidRPr="006B4E13">
              <w:rPr>
                <w:color w:val="000000" w:themeColor="text1"/>
                <w:sz w:val="26"/>
                <w:szCs w:val="26"/>
              </w:rPr>
              <w:t xml:space="preserve">Nhà thầu nêu phương án quản lý chất lượng các hạng mục công việc gói thầu đúng các yêu cầu kỹ thuật nêu tại Chương V của E-HSMT </w:t>
            </w:r>
          </w:p>
        </w:tc>
        <w:tc>
          <w:tcPr>
            <w:tcW w:w="4125" w:type="dxa"/>
            <w:vAlign w:val="center"/>
          </w:tcPr>
          <w:p w:rsidR="006B4E13" w:rsidRPr="006B4E13" w:rsidRDefault="006B4E13" w:rsidP="00AB6D0F">
            <w:pPr>
              <w:spacing w:before="20" w:after="20" w:line="264" w:lineRule="auto"/>
              <w:rPr>
                <w:sz w:val="26"/>
                <w:szCs w:val="26"/>
                <w:lang w:val="nl-NL"/>
              </w:rPr>
            </w:pPr>
            <w:r w:rsidRPr="006B4E13">
              <w:rPr>
                <w:color w:val="000000" w:themeColor="text1"/>
                <w:sz w:val="26"/>
                <w:szCs w:val="26"/>
              </w:rPr>
              <w:t>Nhà thầu không có phương án hoặc có nhưng</w:t>
            </w:r>
            <w:r w:rsidRPr="006B4E13">
              <w:rPr>
                <w:sz w:val="26"/>
                <w:szCs w:val="26"/>
              </w:rPr>
              <w:t xml:space="preserve"> không đáp ứng</w:t>
            </w:r>
            <w:r w:rsidRPr="006B4E13">
              <w:rPr>
                <w:color w:val="000000" w:themeColor="text1"/>
                <w:sz w:val="26"/>
                <w:szCs w:val="26"/>
              </w:rPr>
              <w:t xml:space="preserve"> các yêu cầu kỹ thuật nêu tại Chương V của E-HSMT </w:t>
            </w:r>
          </w:p>
        </w:tc>
      </w:tr>
      <w:tr w:rsidR="006B4E13" w:rsidRPr="006B4E13" w:rsidTr="00AB6D0F">
        <w:trPr>
          <w:trHeight w:val="20"/>
        </w:trPr>
        <w:tc>
          <w:tcPr>
            <w:tcW w:w="2331" w:type="dxa"/>
            <w:vAlign w:val="center"/>
          </w:tcPr>
          <w:p w:rsidR="006B4E13" w:rsidRPr="006B4E13" w:rsidRDefault="006B4E13" w:rsidP="00AB6D0F">
            <w:pPr>
              <w:ind w:right="64"/>
              <w:jc w:val="center"/>
              <w:rPr>
                <w:sz w:val="26"/>
                <w:szCs w:val="26"/>
              </w:rPr>
            </w:pPr>
            <w:r w:rsidRPr="006B4E13">
              <w:rPr>
                <w:b/>
                <w:sz w:val="26"/>
                <w:szCs w:val="26"/>
              </w:rPr>
              <w:lastRenderedPageBreak/>
              <w:t>2</w:t>
            </w:r>
          </w:p>
        </w:tc>
        <w:tc>
          <w:tcPr>
            <w:tcW w:w="3510" w:type="dxa"/>
            <w:vAlign w:val="center"/>
          </w:tcPr>
          <w:p w:rsidR="006B4E13" w:rsidRPr="006B4E13" w:rsidRDefault="006B4E13" w:rsidP="00AB6D0F">
            <w:pPr>
              <w:ind w:left="1"/>
              <w:rPr>
                <w:sz w:val="26"/>
                <w:szCs w:val="26"/>
              </w:rPr>
            </w:pPr>
            <w:r w:rsidRPr="006B4E13">
              <w:rPr>
                <w:b/>
                <w:sz w:val="26"/>
                <w:szCs w:val="26"/>
              </w:rPr>
              <w:t xml:space="preserve">Thời gian thực hiện hợp đồng </w:t>
            </w:r>
          </w:p>
        </w:tc>
        <w:tc>
          <w:tcPr>
            <w:tcW w:w="4125" w:type="dxa"/>
          </w:tcPr>
          <w:p w:rsidR="006B4E13" w:rsidRPr="006B4E13" w:rsidRDefault="006B4E13" w:rsidP="00AB6D0F">
            <w:pPr>
              <w:ind w:right="67"/>
              <w:rPr>
                <w:sz w:val="26"/>
                <w:szCs w:val="26"/>
              </w:rPr>
            </w:pPr>
          </w:p>
        </w:tc>
      </w:tr>
      <w:tr w:rsidR="006B4E13" w:rsidRPr="006B4E13" w:rsidTr="00AB6D0F">
        <w:trPr>
          <w:trHeight w:val="20"/>
        </w:trPr>
        <w:tc>
          <w:tcPr>
            <w:tcW w:w="2331" w:type="dxa"/>
            <w:vAlign w:val="center"/>
          </w:tcPr>
          <w:p w:rsidR="006B4E13" w:rsidRPr="006B4E13" w:rsidRDefault="006B4E13" w:rsidP="00AB6D0F">
            <w:pPr>
              <w:ind w:right="64"/>
              <w:jc w:val="left"/>
              <w:rPr>
                <w:sz w:val="26"/>
                <w:szCs w:val="26"/>
              </w:rPr>
            </w:pPr>
            <w:r w:rsidRPr="006B4E13">
              <w:rPr>
                <w:sz w:val="26"/>
                <w:szCs w:val="26"/>
              </w:rPr>
              <w:t>Thời gian thực hiện hợp đồng</w:t>
            </w:r>
          </w:p>
        </w:tc>
        <w:tc>
          <w:tcPr>
            <w:tcW w:w="3510" w:type="dxa"/>
          </w:tcPr>
          <w:p w:rsidR="006B4E13" w:rsidRPr="006B4E13" w:rsidRDefault="006B4E13" w:rsidP="00AB6D0F">
            <w:pPr>
              <w:ind w:right="67"/>
              <w:jc w:val="left"/>
              <w:rPr>
                <w:sz w:val="26"/>
                <w:szCs w:val="26"/>
              </w:rPr>
            </w:pPr>
            <w:r w:rsidRPr="006B4E13">
              <w:rPr>
                <w:sz w:val="26"/>
                <w:szCs w:val="26"/>
              </w:rPr>
              <w:t xml:space="preserve">Có cam kết thời gian thực hiện gói thầu đáp ứng yêu cầu của EHSMT </w:t>
            </w:r>
          </w:p>
        </w:tc>
        <w:tc>
          <w:tcPr>
            <w:tcW w:w="4125" w:type="dxa"/>
          </w:tcPr>
          <w:p w:rsidR="006B4E13" w:rsidRPr="006B4E13" w:rsidRDefault="006B4E13" w:rsidP="00AB6D0F">
            <w:pPr>
              <w:ind w:left="1" w:right="65"/>
              <w:jc w:val="left"/>
              <w:rPr>
                <w:sz w:val="26"/>
                <w:szCs w:val="26"/>
              </w:rPr>
            </w:pPr>
            <w:r w:rsidRPr="006B4E13">
              <w:rPr>
                <w:sz w:val="26"/>
                <w:szCs w:val="26"/>
              </w:rPr>
              <w:t xml:space="preserve">Không có cam kết thời gian thực hiện gói thầu đáp ứng yêu cầu của E-HSMT </w:t>
            </w:r>
          </w:p>
        </w:tc>
      </w:tr>
      <w:tr w:rsidR="006B4E13" w:rsidRPr="006B4E13" w:rsidTr="00AB6D0F">
        <w:trPr>
          <w:trHeight w:val="20"/>
        </w:trPr>
        <w:tc>
          <w:tcPr>
            <w:tcW w:w="2331" w:type="dxa"/>
            <w:vAlign w:val="center"/>
          </w:tcPr>
          <w:p w:rsidR="006B4E13" w:rsidRPr="006B4E13" w:rsidRDefault="006B4E13" w:rsidP="00AB6D0F">
            <w:pPr>
              <w:ind w:right="64"/>
              <w:jc w:val="center"/>
              <w:rPr>
                <w:sz w:val="26"/>
                <w:szCs w:val="26"/>
              </w:rPr>
            </w:pPr>
            <w:r w:rsidRPr="006B4E13">
              <w:rPr>
                <w:b/>
                <w:sz w:val="26"/>
                <w:szCs w:val="26"/>
              </w:rPr>
              <w:t>4</w:t>
            </w:r>
          </w:p>
        </w:tc>
        <w:tc>
          <w:tcPr>
            <w:tcW w:w="3510" w:type="dxa"/>
            <w:vAlign w:val="center"/>
          </w:tcPr>
          <w:p w:rsidR="006B4E13" w:rsidRPr="006B4E13" w:rsidRDefault="006B4E13" w:rsidP="00AB6D0F">
            <w:pPr>
              <w:spacing w:before="20" w:after="20" w:line="264" w:lineRule="auto"/>
              <w:rPr>
                <w:iCs/>
                <w:spacing w:val="-2"/>
                <w:sz w:val="26"/>
                <w:szCs w:val="26"/>
                <w:lang w:val="nl-NL"/>
              </w:rPr>
            </w:pPr>
            <w:r w:rsidRPr="006B4E13">
              <w:rPr>
                <w:b/>
                <w:sz w:val="26"/>
                <w:szCs w:val="26"/>
              </w:rPr>
              <w:t>Yêu cầu khác</w:t>
            </w:r>
          </w:p>
        </w:tc>
        <w:tc>
          <w:tcPr>
            <w:tcW w:w="4125" w:type="dxa"/>
            <w:vAlign w:val="center"/>
          </w:tcPr>
          <w:p w:rsidR="006B4E13" w:rsidRPr="006B4E13" w:rsidRDefault="006B4E13" w:rsidP="00AB6D0F">
            <w:pPr>
              <w:spacing w:before="20" w:after="20" w:line="264" w:lineRule="auto"/>
              <w:rPr>
                <w:sz w:val="26"/>
                <w:szCs w:val="26"/>
                <w:lang w:val="nl-NL"/>
              </w:rPr>
            </w:pPr>
          </w:p>
        </w:tc>
      </w:tr>
      <w:tr w:rsidR="006B4E13" w:rsidRPr="006B4E13" w:rsidTr="00AB6D0F">
        <w:trPr>
          <w:trHeight w:val="20"/>
        </w:trPr>
        <w:tc>
          <w:tcPr>
            <w:tcW w:w="2331" w:type="dxa"/>
            <w:vAlign w:val="center"/>
          </w:tcPr>
          <w:p w:rsidR="006B4E13" w:rsidRPr="006B4E13" w:rsidRDefault="006B4E13" w:rsidP="00AB6D0F">
            <w:pPr>
              <w:ind w:left="1" w:right="66"/>
              <w:rPr>
                <w:sz w:val="26"/>
                <w:szCs w:val="26"/>
              </w:rPr>
            </w:pPr>
            <w:r w:rsidRPr="006B4E13">
              <w:rPr>
                <w:sz w:val="26"/>
                <w:szCs w:val="26"/>
              </w:rPr>
              <w:t xml:space="preserve">4.2.Cam kết không vi phạm Luật Sở hữu trí tuệ, chính sách thuế và các chính sách liên quan do Nhà nước ban hành. </w:t>
            </w:r>
          </w:p>
        </w:tc>
        <w:tc>
          <w:tcPr>
            <w:tcW w:w="3510" w:type="dxa"/>
            <w:vAlign w:val="center"/>
          </w:tcPr>
          <w:p w:rsidR="006B4E13" w:rsidRPr="006B4E13" w:rsidRDefault="006B4E13" w:rsidP="00AB6D0F">
            <w:pPr>
              <w:rPr>
                <w:sz w:val="26"/>
                <w:szCs w:val="26"/>
              </w:rPr>
            </w:pPr>
            <w:r w:rsidRPr="006B4E13">
              <w:rPr>
                <w:sz w:val="26"/>
                <w:szCs w:val="26"/>
              </w:rPr>
              <w:t xml:space="preserve">Có cam kết và đáp ứng yêu cầu </w:t>
            </w:r>
          </w:p>
        </w:tc>
        <w:tc>
          <w:tcPr>
            <w:tcW w:w="4125" w:type="dxa"/>
            <w:vAlign w:val="center"/>
          </w:tcPr>
          <w:p w:rsidR="006B4E13" w:rsidRPr="006B4E13" w:rsidRDefault="006B4E13" w:rsidP="00AB6D0F">
            <w:pPr>
              <w:spacing w:after="49"/>
              <w:ind w:left="1"/>
              <w:rPr>
                <w:sz w:val="26"/>
                <w:szCs w:val="26"/>
              </w:rPr>
            </w:pPr>
            <w:r w:rsidRPr="006B4E13">
              <w:rPr>
                <w:sz w:val="26"/>
                <w:szCs w:val="26"/>
              </w:rPr>
              <w:t xml:space="preserve">Không có cam kết hoặc có nhưng không đáp ứng yêu cầu </w:t>
            </w:r>
          </w:p>
        </w:tc>
      </w:tr>
      <w:tr w:rsidR="006B4E13" w:rsidRPr="006B4E13" w:rsidTr="00AB6D0F">
        <w:trPr>
          <w:trHeight w:val="20"/>
        </w:trPr>
        <w:tc>
          <w:tcPr>
            <w:tcW w:w="2331" w:type="dxa"/>
            <w:vAlign w:val="center"/>
          </w:tcPr>
          <w:p w:rsidR="006B4E13" w:rsidRPr="006B4E13" w:rsidRDefault="006B4E13" w:rsidP="00AB6D0F">
            <w:pPr>
              <w:ind w:left="1" w:right="60"/>
              <w:rPr>
                <w:sz w:val="26"/>
                <w:szCs w:val="26"/>
              </w:rPr>
            </w:pPr>
            <w:r w:rsidRPr="006B4E13">
              <w:rPr>
                <w:sz w:val="26"/>
                <w:szCs w:val="26"/>
              </w:rPr>
              <w:t xml:space="preserve">4.3.Cam kết không tiết lộ bất kỳ thông tin cho bất cứ ai không phải là người có liên quan đến việc thực hiện hợp đồng. </w:t>
            </w:r>
          </w:p>
        </w:tc>
        <w:tc>
          <w:tcPr>
            <w:tcW w:w="3510" w:type="dxa"/>
            <w:vAlign w:val="center"/>
          </w:tcPr>
          <w:p w:rsidR="006B4E13" w:rsidRPr="006B4E13" w:rsidRDefault="006B4E13" w:rsidP="00AB6D0F">
            <w:pPr>
              <w:rPr>
                <w:sz w:val="26"/>
                <w:szCs w:val="26"/>
              </w:rPr>
            </w:pPr>
            <w:r w:rsidRPr="006B4E13">
              <w:rPr>
                <w:sz w:val="26"/>
                <w:szCs w:val="26"/>
              </w:rPr>
              <w:t xml:space="preserve">Có cam kết và đáp ứng yêu cầu </w:t>
            </w:r>
          </w:p>
        </w:tc>
        <w:tc>
          <w:tcPr>
            <w:tcW w:w="4125" w:type="dxa"/>
            <w:vAlign w:val="center"/>
          </w:tcPr>
          <w:p w:rsidR="006B4E13" w:rsidRPr="006B4E13" w:rsidRDefault="006B4E13" w:rsidP="00AB6D0F">
            <w:pPr>
              <w:spacing w:after="49"/>
              <w:ind w:left="1"/>
              <w:rPr>
                <w:sz w:val="26"/>
                <w:szCs w:val="26"/>
              </w:rPr>
            </w:pPr>
            <w:r w:rsidRPr="006B4E13">
              <w:rPr>
                <w:sz w:val="26"/>
                <w:szCs w:val="26"/>
              </w:rPr>
              <w:t xml:space="preserve">Không có cam kết hoặc có nhưng không đáp ứng yêu cầu </w:t>
            </w:r>
          </w:p>
        </w:tc>
      </w:tr>
      <w:tr w:rsidR="006B4E13" w:rsidRPr="006B4E13" w:rsidTr="00AB6D0F">
        <w:trPr>
          <w:trHeight w:val="20"/>
        </w:trPr>
        <w:tc>
          <w:tcPr>
            <w:tcW w:w="2331" w:type="dxa"/>
            <w:vAlign w:val="center"/>
          </w:tcPr>
          <w:p w:rsidR="006B4E13" w:rsidRPr="006B4E13" w:rsidRDefault="006B4E13" w:rsidP="00AB6D0F">
            <w:pPr>
              <w:spacing w:before="20" w:after="20" w:line="264" w:lineRule="auto"/>
              <w:jc w:val="center"/>
              <w:rPr>
                <w:b/>
                <w:bCs/>
                <w:spacing w:val="-8"/>
                <w:sz w:val="26"/>
                <w:szCs w:val="26"/>
                <w:lang w:val="nl-NL"/>
              </w:rPr>
            </w:pPr>
            <w:r w:rsidRPr="006B4E13">
              <w:rPr>
                <w:b/>
                <w:bCs/>
                <w:spacing w:val="-8"/>
                <w:sz w:val="26"/>
                <w:szCs w:val="26"/>
                <w:lang w:val="nl-NL"/>
              </w:rPr>
              <w:t>5</w:t>
            </w:r>
          </w:p>
        </w:tc>
        <w:tc>
          <w:tcPr>
            <w:tcW w:w="3510" w:type="dxa"/>
            <w:vAlign w:val="center"/>
          </w:tcPr>
          <w:p w:rsidR="006B4E13" w:rsidRPr="006B4E13" w:rsidRDefault="006B4E13" w:rsidP="00AB6D0F">
            <w:pPr>
              <w:spacing w:after="42" w:line="239" w:lineRule="auto"/>
              <w:ind w:left="1" w:right="60"/>
              <w:rPr>
                <w:sz w:val="26"/>
                <w:szCs w:val="26"/>
              </w:rPr>
            </w:pPr>
            <w:r w:rsidRPr="006B4E13">
              <w:rPr>
                <w:b/>
                <w:sz w:val="26"/>
                <w:szCs w:val="26"/>
              </w:rPr>
              <w:t xml:space="preserve">Thông tin về kết quả thực hiện hợp đồng của nhà thầu theo quy định tại Điều 19 và Điều 20 của Nghị định số </w:t>
            </w:r>
          </w:p>
          <w:p w:rsidR="006B4E13" w:rsidRPr="006B4E13" w:rsidRDefault="006B4E13" w:rsidP="00AB6D0F">
            <w:pPr>
              <w:spacing w:before="20" w:after="20" w:line="264" w:lineRule="auto"/>
              <w:rPr>
                <w:sz w:val="26"/>
                <w:szCs w:val="26"/>
                <w:lang w:val="nl-NL"/>
              </w:rPr>
            </w:pPr>
            <w:r w:rsidRPr="006B4E13">
              <w:rPr>
                <w:b/>
                <w:sz w:val="26"/>
                <w:szCs w:val="26"/>
              </w:rPr>
              <w:t>214</w:t>
            </w:r>
            <w:bookmarkStart w:id="0" w:name="_GoBack"/>
            <w:bookmarkEnd w:id="0"/>
            <w:r w:rsidRPr="006B4E13">
              <w:rPr>
                <w:b/>
                <w:sz w:val="26"/>
                <w:szCs w:val="26"/>
              </w:rPr>
              <w:t>/2025/NĐ-CP</w:t>
            </w:r>
          </w:p>
        </w:tc>
        <w:tc>
          <w:tcPr>
            <w:tcW w:w="4125" w:type="dxa"/>
            <w:vAlign w:val="center"/>
          </w:tcPr>
          <w:p w:rsidR="006B4E13" w:rsidRPr="006B4E13" w:rsidRDefault="006B4E13" w:rsidP="00AB6D0F">
            <w:pPr>
              <w:spacing w:before="20" w:after="20" w:line="264" w:lineRule="auto"/>
              <w:rPr>
                <w:sz w:val="26"/>
                <w:szCs w:val="26"/>
                <w:lang w:val="nl-NL"/>
              </w:rPr>
            </w:pPr>
          </w:p>
        </w:tc>
      </w:tr>
      <w:tr w:rsidR="006B4E13" w:rsidRPr="006B4E13" w:rsidTr="00AB6D0F">
        <w:trPr>
          <w:trHeight w:val="20"/>
        </w:trPr>
        <w:tc>
          <w:tcPr>
            <w:tcW w:w="2331" w:type="dxa"/>
            <w:vAlign w:val="center"/>
          </w:tcPr>
          <w:p w:rsidR="006B4E13" w:rsidRPr="006B4E13" w:rsidRDefault="006B4E13" w:rsidP="00AB6D0F">
            <w:pPr>
              <w:spacing w:after="33" w:line="239" w:lineRule="auto"/>
              <w:ind w:left="1" w:right="61"/>
              <w:jc w:val="left"/>
              <w:rPr>
                <w:sz w:val="26"/>
                <w:szCs w:val="26"/>
              </w:rPr>
            </w:pPr>
            <w:r w:rsidRPr="006B4E13">
              <w:rPr>
                <w:sz w:val="26"/>
                <w:szCs w:val="26"/>
              </w:rPr>
              <w:t xml:space="preserve">Thông tin về kết quả thực hiện hợp đồng của nhà thầu theo quy định tại Điều 19 và Điều 20 của Nghị định số 214/2025/NĐ-CP </w:t>
            </w:r>
          </w:p>
        </w:tc>
        <w:tc>
          <w:tcPr>
            <w:tcW w:w="3510" w:type="dxa"/>
            <w:vAlign w:val="center"/>
          </w:tcPr>
          <w:p w:rsidR="006B4E13" w:rsidRPr="006B4E13" w:rsidRDefault="006B4E13" w:rsidP="00AB6D0F">
            <w:pPr>
              <w:ind w:right="67"/>
              <w:jc w:val="left"/>
              <w:rPr>
                <w:sz w:val="26"/>
                <w:szCs w:val="26"/>
              </w:rPr>
            </w:pPr>
            <w:r w:rsidRPr="006B4E13">
              <w:rPr>
                <w:sz w:val="26"/>
                <w:szCs w:val="26"/>
              </w:rPr>
              <w:t xml:space="preserve">Nhà thầu không có tên trong “Danh sách tổ chức, cá nhân vi phạm” tại Hệ thống mạng đấu thầu Quốc gia về vi phạm về kết quả thực hiện hợp đồng theo quy định tại Điều 19 và Điều 20 của Nghị định số 214/2025/NĐ-CP </w:t>
            </w:r>
          </w:p>
        </w:tc>
        <w:tc>
          <w:tcPr>
            <w:tcW w:w="4125" w:type="dxa"/>
            <w:vAlign w:val="center"/>
          </w:tcPr>
          <w:p w:rsidR="006B4E13" w:rsidRPr="006B4E13" w:rsidRDefault="006B4E13" w:rsidP="00AB6D0F">
            <w:pPr>
              <w:spacing w:after="33" w:line="239" w:lineRule="auto"/>
              <w:ind w:left="1" w:right="65"/>
              <w:rPr>
                <w:sz w:val="26"/>
                <w:szCs w:val="26"/>
              </w:rPr>
            </w:pPr>
            <w:r w:rsidRPr="006B4E13">
              <w:rPr>
                <w:sz w:val="26"/>
                <w:szCs w:val="26"/>
              </w:rPr>
              <w:t xml:space="preserve">Nhà thầu có tên trong “Danh sách tổ chức, cá nhân vi phạm” tại Hệ thống mạng đấu thầu Quốc gia về vi phạm về kết quả thực hiện hợp đồng theo quy định tại Điều 19 và Điều 20 của </w:t>
            </w:r>
          </w:p>
          <w:p w:rsidR="006B4E13" w:rsidRPr="006B4E13" w:rsidRDefault="006B4E13" w:rsidP="00AB6D0F">
            <w:pPr>
              <w:tabs>
                <w:tab w:val="center" w:pos="1436"/>
                <w:tab w:val="right" w:pos="2650"/>
              </w:tabs>
              <w:spacing w:after="21"/>
              <w:jc w:val="left"/>
              <w:rPr>
                <w:sz w:val="26"/>
                <w:szCs w:val="26"/>
              </w:rPr>
            </w:pPr>
            <w:r w:rsidRPr="006B4E13">
              <w:rPr>
                <w:sz w:val="26"/>
                <w:szCs w:val="26"/>
              </w:rPr>
              <w:t xml:space="preserve">Nghị định </w:t>
            </w:r>
            <w:r w:rsidRPr="006B4E13">
              <w:rPr>
                <w:sz w:val="26"/>
                <w:szCs w:val="26"/>
              </w:rPr>
              <w:tab/>
              <w:t xml:space="preserve">số 214/2025/NĐ-CP </w:t>
            </w:r>
          </w:p>
        </w:tc>
      </w:tr>
      <w:tr w:rsidR="006B4E13" w:rsidRPr="006B4E13" w:rsidTr="00AB6D0F">
        <w:trPr>
          <w:trHeight w:val="549"/>
        </w:trPr>
        <w:tc>
          <w:tcPr>
            <w:tcW w:w="2331" w:type="dxa"/>
            <w:vMerge w:val="restart"/>
            <w:vAlign w:val="center"/>
          </w:tcPr>
          <w:p w:rsidR="006B4E13" w:rsidRPr="006B4E13" w:rsidRDefault="006B4E13" w:rsidP="00AB6D0F">
            <w:pPr>
              <w:spacing w:before="20" w:after="20" w:line="264" w:lineRule="auto"/>
              <w:jc w:val="center"/>
              <w:rPr>
                <w:b/>
                <w:bCs/>
                <w:sz w:val="26"/>
                <w:szCs w:val="26"/>
              </w:rPr>
            </w:pPr>
            <w:r w:rsidRPr="006B4E13">
              <w:rPr>
                <w:b/>
                <w:bCs/>
                <w:sz w:val="26"/>
                <w:szCs w:val="26"/>
              </w:rPr>
              <w:t>KẾT LUẬN</w:t>
            </w:r>
          </w:p>
        </w:tc>
        <w:tc>
          <w:tcPr>
            <w:tcW w:w="3510" w:type="dxa"/>
            <w:vAlign w:val="center"/>
          </w:tcPr>
          <w:p w:rsidR="006B4E13" w:rsidRPr="006B4E13" w:rsidRDefault="006B4E13" w:rsidP="00AB6D0F">
            <w:pPr>
              <w:spacing w:before="20" w:after="20" w:line="264" w:lineRule="auto"/>
              <w:jc w:val="center"/>
              <w:rPr>
                <w:b/>
                <w:bCs/>
                <w:i/>
                <w:sz w:val="26"/>
                <w:szCs w:val="26"/>
              </w:rPr>
            </w:pPr>
            <w:r w:rsidRPr="006B4E13">
              <w:rPr>
                <w:b/>
                <w:bCs/>
                <w:i/>
                <w:sz w:val="26"/>
                <w:szCs w:val="26"/>
              </w:rPr>
              <w:t>Đạt tất cả các nội dung nêu trên</w:t>
            </w:r>
          </w:p>
        </w:tc>
        <w:tc>
          <w:tcPr>
            <w:tcW w:w="4125" w:type="dxa"/>
            <w:vAlign w:val="center"/>
          </w:tcPr>
          <w:p w:rsidR="006B4E13" w:rsidRPr="006B4E13" w:rsidRDefault="006B4E13" w:rsidP="00AB6D0F">
            <w:pPr>
              <w:spacing w:before="20" w:after="20" w:line="264" w:lineRule="auto"/>
              <w:jc w:val="center"/>
              <w:rPr>
                <w:b/>
                <w:bCs/>
                <w:sz w:val="26"/>
                <w:szCs w:val="26"/>
              </w:rPr>
            </w:pPr>
            <w:r w:rsidRPr="006B4E13">
              <w:rPr>
                <w:b/>
                <w:bCs/>
                <w:sz w:val="26"/>
                <w:szCs w:val="26"/>
              </w:rPr>
              <w:t>ĐẠT</w:t>
            </w:r>
          </w:p>
        </w:tc>
      </w:tr>
      <w:tr w:rsidR="006B4E13" w:rsidRPr="006B4E13" w:rsidTr="00AB6D0F">
        <w:trPr>
          <w:trHeight w:val="20"/>
        </w:trPr>
        <w:tc>
          <w:tcPr>
            <w:tcW w:w="2331" w:type="dxa"/>
            <w:vMerge/>
            <w:vAlign w:val="center"/>
          </w:tcPr>
          <w:p w:rsidR="006B4E13" w:rsidRPr="006B4E13" w:rsidRDefault="006B4E13" w:rsidP="00AB6D0F">
            <w:pPr>
              <w:spacing w:before="20" w:after="20" w:line="264" w:lineRule="auto"/>
              <w:jc w:val="center"/>
              <w:rPr>
                <w:b/>
                <w:bCs/>
                <w:sz w:val="26"/>
                <w:szCs w:val="26"/>
              </w:rPr>
            </w:pPr>
          </w:p>
        </w:tc>
        <w:tc>
          <w:tcPr>
            <w:tcW w:w="3510" w:type="dxa"/>
            <w:vAlign w:val="center"/>
          </w:tcPr>
          <w:p w:rsidR="006B4E13" w:rsidRPr="006B4E13" w:rsidRDefault="006B4E13" w:rsidP="00AB6D0F">
            <w:pPr>
              <w:spacing w:before="20" w:after="20" w:line="264" w:lineRule="auto"/>
              <w:jc w:val="center"/>
              <w:rPr>
                <w:b/>
                <w:bCs/>
                <w:i/>
                <w:sz w:val="26"/>
                <w:szCs w:val="26"/>
              </w:rPr>
            </w:pPr>
            <w:r w:rsidRPr="006B4E13">
              <w:rPr>
                <w:b/>
                <w:bCs/>
                <w:i/>
                <w:sz w:val="26"/>
                <w:szCs w:val="26"/>
              </w:rPr>
              <w:t>Không đạt bất kỳ một nội dung nào nêu trên</w:t>
            </w:r>
          </w:p>
        </w:tc>
        <w:tc>
          <w:tcPr>
            <w:tcW w:w="4125" w:type="dxa"/>
            <w:vAlign w:val="center"/>
          </w:tcPr>
          <w:p w:rsidR="006B4E13" w:rsidRPr="006B4E13" w:rsidRDefault="006B4E13" w:rsidP="00AB6D0F">
            <w:pPr>
              <w:spacing w:before="20" w:after="20" w:line="264" w:lineRule="auto"/>
              <w:jc w:val="center"/>
              <w:rPr>
                <w:b/>
                <w:bCs/>
                <w:sz w:val="26"/>
                <w:szCs w:val="26"/>
              </w:rPr>
            </w:pPr>
            <w:r w:rsidRPr="006B4E13">
              <w:rPr>
                <w:b/>
                <w:bCs/>
                <w:sz w:val="26"/>
                <w:szCs w:val="26"/>
              </w:rPr>
              <w:t>KHÔNG ĐẠT</w:t>
            </w:r>
          </w:p>
        </w:tc>
      </w:tr>
    </w:tbl>
    <w:p w:rsidR="00FC28D9" w:rsidRPr="006B4E13" w:rsidRDefault="00FC28D9">
      <w:pPr>
        <w:rPr>
          <w:sz w:val="26"/>
          <w:szCs w:val="26"/>
        </w:rPr>
      </w:pPr>
    </w:p>
    <w:sectPr w:rsidR="00FC28D9" w:rsidRPr="006B4E13"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BC"/>
    <w:rsid w:val="006B4E13"/>
    <w:rsid w:val="007423F5"/>
    <w:rsid w:val="007A25AE"/>
    <w:rsid w:val="00D61556"/>
    <w:rsid w:val="00E93CBC"/>
    <w:rsid w:val="00FC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CC241-F8AD-4644-8CA5-4D4CA418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CBC"/>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2025-11-24T10:39:00Z</dcterms:created>
  <dcterms:modified xsi:type="dcterms:W3CDTF">2025-11-25T10:40:00Z</dcterms:modified>
</cp:coreProperties>
</file>