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4A" w:rsidRDefault="00C1054A" w:rsidP="00C1054A">
      <w:pPr>
        <w:spacing w:before="120" w:after="120"/>
        <w:ind w:firstLine="709"/>
        <w:rPr>
          <w:rFonts w:eastAsia="MS Mincho"/>
          <w:b/>
          <w:szCs w:val="24"/>
          <w:lang w:eastAsia="vi-VN"/>
        </w:rPr>
      </w:pPr>
      <w:r w:rsidRPr="002B3AB2">
        <w:rPr>
          <w:b/>
          <w:bCs/>
          <w:sz w:val="28"/>
          <w:szCs w:val="28"/>
          <w:lang w:val="vi-VN"/>
        </w:rPr>
        <w:t xml:space="preserve">Mục </w:t>
      </w:r>
      <w:r w:rsidRPr="002B3AB2">
        <w:rPr>
          <w:b/>
          <w:bCs/>
          <w:sz w:val="28"/>
          <w:szCs w:val="28"/>
          <w:lang w:val="pl-PL"/>
        </w:rPr>
        <w:t>3</w:t>
      </w:r>
      <w:r w:rsidRPr="002B3AB2">
        <w:rPr>
          <w:b/>
          <w:bCs/>
          <w:sz w:val="28"/>
          <w:szCs w:val="28"/>
          <w:lang w:val="vi-VN"/>
        </w:rPr>
        <w:t>. Tiêu chuẩn đánh giá về kỹ thuật</w:t>
      </w:r>
    </w:p>
    <w:p w:rsidR="00C1054A" w:rsidRPr="00022F78" w:rsidRDefault="00C1054A" w:rsidP="00C1054A">
      <w:pPr>
        <w:spacing w:before="120" w:after="120"/>
        <w:ind w:right="43" w:firstLine="567"/>
        <w:rPr>
          <w:sz w:val="28"/>
          <w:szCs w:val="28"/>
        </w:rPr>
      </w:pPr>
      <w:r w:rsidRPr="00022F78">
        <w:rPr>
          <w:sz w:val="28"/>
          <w:szCs w:val="28"/>
        </w:rPr>
        <w:t>Sử dụng tiêu chí đạt, không đạt để đánh giá về kỹ thuật.</w:t>
      </w:r>
    </w:p>
    <w:p w:rsidR="00C1054A" w:rsidRPr="00022F78" w:rsidRDefault="00C1054A" w:rsidP="00C1054A">
      <w:pPr>
        <w:spacing w:before="120" w:after="120"/>
        <w:ind w:right="43" w:firstLine="567"/>
        <w:rPr>
          <w:sz w:val="28"/>
          <w:szCs w:val="28"/>
        </w:rPr>
      </w:pPr>
      <w:r w:rsidRPr="00022F78">
        <w:rPr>
          <w:sz w:val="28"/>
          <w:szCs w:val="28"/>
          <w:lang w:val="es-ES"/>
        </w:rPr>
        <w:t>E-HSDT được đánh giá là đáp ứng yêu cầu về kỹ thuật khi có tất cả các tiêu chí tổng quát đều được đánh giá là đạt.</w:t>
      </w:r>
    </w:p>
    <w:p w:rsidR="00C1054A" w:rsidRDefault="00C1054A" w:rsidP="00C1054A">
      <w:pPr>
        <w:spacing w:before="120" w:after="120"/>
        <w:ind w:right="43" w:firstLine="567"/>
        <w:rPr>
          <w:sz w:val="28"/>
          <w:szCs w:val="28"/>
        </w:rPr>
      </w:pPr>
      <w:r w:rsidRPr="00022F78">
        <w:rPr>
          <w:sz w:val="28"/>
          <w:szCs w:val="28"/>
        </w:rPr>
        <w:t>Tiêu chuẩn đánh giá về kỹ thuật bao gồm các nội dung dưới đây: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2180"/>
        <w:gridCol w:w="5256"/>
        <w:gridCol w:w="1428"/>
      </w:tblGrid>
      <w:tr w:rsidR="00C1054A" w:rsidRPr="005C7F88" w:rsidTr="009066C8">
        <w:trPr>
          <w:trHeight w:val="561"/>
        </w:trPr>
        <w:tc>
          <w:tcPr>
            <w:tcW w:w="369" w:type="pct"/>
            <w:vMerge w:val="restart"/>
            <w:shd w:val="clear" w:color="auto" w:fill="auto"/>
            <w:vAlign w:val="center"/>
          </w:tcPr>
          <w:p w:rsidR="00C1054A" w:rsidRPr="005C7F88" w:rsidRDefault="00C1054A" w:rsidP="00D168DE">
            <w:pPr>
              <w:spacing w:before="120" w:after="120"/>
              <w:rPr>
                <w:b/>
                <w:sz w:val="26"/>
                <w:szCs w:val="26"/>
              </w:rPr>
            </w:pPr>
            <w:r w:rsidRPr="005C7F88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9" w:type="pct"/>
            <w:vMerge w:val="restart"/>
            <w:shd w:val="clear" w:color="auto" w:fill="auto"/>
            <w:vAlign w:val="center"/>
          </w:tcPr>
          <w:p w:rsidR="00C1054A" w:rsidRPr="005C7F88" w:rsidRDefault="00C1054A" w:rsidP="00D168DE">
            <w:pPr>
              <w:spacing w:before="120" w:after="120"/>
              <w:rPr>
                <w:b/>
                <w:sz w:val="26"/>
                <w:szCs w:val="26"/>
              </w:rPr>
            </w:pPr>
            <w:r w:rsidRPr="005C7F88">
              <w:rPr>
                <w:b/>
                <w:sz w:val="26"/>
                <w:szCs w:val="26"/>
              </w:rPr>
              <w:t>Nội dung yêu cầu</w:t>
            </w:r>
          </w:p>
        </w:tc>
        <w:tc>
          <w:tcPr>
            <w:tcW w:w="3492" w:type="pct"/>
            <w:gridSpan w:val="2"/>
            <w:shd w:val="clear" w:color="auto" w:fill="auto"/>
            <w:vAlign w:val="center"/>
          </w:tcPr>
          <w:p w:rsidR="00C1054A" w:rsidRPr="005C7F88" w:rsidRDefault="00C1054A" w:rsidP="00D168D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C7F88">
              <w:rPr>
                <w:b/>
                <w:sz w:val="26"/>
                <w:szCs w:val="26"/>
              </w:rPr>
              <w:t>Mức độ đáp ứng tối thiểu</w:t>
            </w:r>
          </w:p>
        </w:tc>
      </w:tr>
      <w:tr w:rsidR="00C1054A" w:rsidRPr="005C7F88" w:rsidTr="009066C8">
        <w:trPr>
          <w:trHeight w:val="359"/>
        </w:trPr>
        <w:tc>
          <w:tcPr>
            <w:tcW w:w="369" w:type="pct"/>
            <w:vMerge/>
            <w:shd w:val="clear" w:color="auto" w:fill="auto"/>
            <w:vAlign w:val="center"/>
          </w:tcPr>
          <w:p w:rsidR="00C1054A" w:rsidRPr="005C7F88" w:rsidRDefault="00C1054A" w:rsidP="00D168DE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C1054A" w:rsidRPr="005C7F88" w:rsidRDefault="00C1054A" w:rsidP="00D168DE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746" w:type="pct"/>
            <w:shd w:val="clear" w:color="auto" w:fill="auto"/>
            <w:vAlign w:val="center"/>
          </w:tcPr>
          <w:p w:rsidR="00C1054A" w:rsidRPr="005C7F88" w:rsidRDefault="00C1054A" w:rsidP="00D168D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C7F88"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C1054A" w:rsidRPr="005C7F88" w:rsidRDefault="00C1054A" w:rsidP="00D168DE">
            <w:pPr>
              <w:spacing w:before="120" w:after="120"/>
              <w:rPr>
                <w:b/>
                <w:sz w:val="26"/>
                <w:szCs w:val="26"/>
              </w:rPr>
            </w:pPr>
            <w:r w:rsidRPr="005C7F88">
              <w:rPr>
                <w:b/>
                <w:sz w:val="26"/>
                <w:szCs w:val="26"/>
              </w:rPr>
              <w:t>Không đạt</w:t>
            </w:r>
          </w:p>
        </w:tc>
      </w:tr>
      <w:tr w:rsidR="00C1054A" w:rsidRPr="005C7F88" w:rsidTr="009066C8">
        <w:trPr>
          <w:trHeight w:val="216"/>
        </w:trPr>
        <w:tc>
          <w:tcPr>
            <w:tcW w:w="369" w:type="pct"/>
            <w:shd w:val="clear" w:color="auto" w:fill="auto"/>
            <w:vAlign w:val="center"/>
          </w:tcPr>
          <w:p w:rsidR="00C1054A" w:rsidRPr="00920F6B" w:rsidRDefault="00C1054A" w:rsidP="00D168D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20F6B">
              <w:rPr>
                <w:sz w:val="26"/>
                <w:szCs w:val="26"/>
              </w:rPr>
              <w:t>1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1054A" w:rsidRPr="00080FBC" w:rsidRDefault="00C1054A" w:rsidP="00D168DE">
            <w:pPr>
              <w:spacing w:before="120" w:after="120"/>
              <w:rPr>
                <w:bCs/>
                <w:sz w:val="26"/>
                <w:szCs w:val="26"/>
              </w:rPr>
            </w:pPr>
            <w:r w:rsidRPr="00080FBC">
              <w:rPr>
                <w:spacing w:val="2"/>
                <w:sz w:val="26"/>
                <w:szCs w:val="26"/>
                <w:lang w:val="vi-VN"/>
              </w:rPr>
              <w:t>Mức độ h</w:t>
            </w:r>
            <w:r w:rsidRPr="00080FBC">
              <w:rPr>
                <w:sz w:val="26"/>
                <w:szCs w:val="26"/>
                <w:lang w:val="vi-VN"/>
              </w:rPr>
              <w:t>iểu biết về tính chất và mục đích công việc</w:t>
            </w:r>
          </w:p>
        </w:tc>
        <w:tc>
          <w:tcPr>
            <w:tcW w:w="2746" w:type="pct"/>
            <w:shd w:val="clear" w:color="auto" w:fill="auto"/>
            <w:vAlign w:val="center"/>
          </w:tcPr>
          <w:p w:rsidR="00C1054A" w:rsidRPr="000C2AD6" w:rsidRDefault="00C1054A" w:rsidP="007A1FC0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0C2AD6">
              <w:rPr>
                <w:bCs/>
                <w:sz w:val="26"/>
                <w:szCs w:val="26"/>
              </w:rPr>
              <w:t>Đáp ứng tối thiểu về khả năng huy động máy móc, th</w:t>
            </w:r>
            <w:r>
              <w:rPr>
                <w:bCs/>
                <w:sz w:val="26"/>
                <w:szCs w:val="26"/>
              </w:rPr>
              <w:t>iết bị cụ thể như sau: 02 máy xúc đào thể tích gàu ≤ 3m3</w:t>
            </w:r>
            <w:r w:rsidRPr="000C2AD6">
              <w:rPr>
                <w:bCs/>
                <w:sz w:val="26"/>
                <w:szCs w:val="26"/>
              </w:rPr>
              <w:t xml:space="preserve">, </w:t>
            </w:r>
            <w:r w:rsidR="007A1FC0">
              <w:rPr>
                <w:bCs/>
                <w:sz w:val="26"/>
                <w:szCs w:val="26"/>
              </w:rPr>
              <w:t>15</w:t>
            </w:r>
            <w:r>
              <w:rPr>
                <w:bCs/>
                <w:sz w:val="26"/>
                <w:szCs w:val="26"/>
              </w:rPr>
              <w:t xml:space="preserve"> xe ô tô tải tự đổ có tải trọng ≥ 8 tấn</w:t>
            </w:r>
            <w:r w:rsidRPr="000C2AD6">
              <w:rPr>
                <w:bCs/>
                <w:sz w:val="26"/>
                <w:szCs w:val="26"/>
              </w:rPr>
              <w:t xml:space="preserve"> (các máy móc, thiết bị này phải đáp ứng các thông số kỹ thuật theo các yêu cầu kỹ thuật nêu tại chương V của E-HSMT). Máy móc, thiết bị thuộc quyền sử dụng hợp pháp của nhà thầu</w:t>
            </w:r>
            <w:r>
              <w:rPr>
                <w:bCs/>
                <w:sz w:val="26"/>
                <w:szCs w:val="26"/>
              </w:rPr>
              <w:t>.</w:t>
            </w:r>
            <w:bookmarkStart w:id="0" w:name="_GoBack"/>
            <w:bookmarkEnd w:id="0"/>
          </w:p>
        </w:tc>
        <w:tc>
          <w:tcPr>
            <w:tcW w:w="746" w:type="pct"/>
            <w:shd w:val="clear" w:color="auto" w:fill="auto"/>
            <w:vAlign w:val="center"/>
          </w:tcPr>
          <w:p w:rsidR="00C1054A" w:rsidRPr="005C7F88" w:rsidRDefault="00C1054A" w:rsidP="00D168DE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5C7F88">
              <w:rPr>
                <w:sz w:val="26"/>
                <w:szCs w:val="26"/>
                <w:lang w:val="nl-NL"/>
              </w:rPr>
              <w:t>Không đáp ứng yêu cầu</w:t>
            </w:r>
          </w:p>
        </w:tc>
      </w:tr>
      <w:tr w:rsidR="00C1054A" w:rsidRPr="005C7F88" w:rsidTr="009066C8">
        <w:trPr>
          <w:trHeight w:val="674"/>
        </w:trPr>
        <w:tc>
          <w:tcPr>
            <w:tcW w:w="369" w:type="pct"/>
            <w:shd w:val="clear" w:color="auto" w:fill="auto"/>
            <w:vAlign w:val="center"/>
          </w:tcPr>
          <w:p w:rsidR="00C1054A" w:rsidRPr="00920F6B" w:rsidRDefault="00C1054A" w:rsidP="00D168D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20F6B">
              <w:rPr>
                <w:sz w:val="26"/>
                <w:szCs w:val="26"/>
              </w:rPr>
              <w:t>2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1054A" w:rsidRPr="00920F6B" w:rsidRDefault="00C1054A" w:rsidP="00D168DE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 độ</w:t>
            </w:r>
            <w:r w:rsidRPr="00920F6B">
              <w:rPr>
                <w:sz w:val="26"/>
                <w:szCs w:val="26"/>
              </w:rPr>
              <w:t xml:space="preserve"> thực hiện</w:t>
            </w:r>
          </w:p>
        </w:tc>
        <w:tc>
          <w:tcPr>
            <w:tcW w:w="2746" w:type="pct"/>
            <w:shd w:val="clear" w:color="auto" w:fill="auto"/>
            <w:vAlign w:val="center"/>
          </w:tcPr>
          <w:p w:rsidR="00C1054A" w:rsidRPr="005C7F88" w:rsidRDefault="00C1054A" w:rsidP="00C1054A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Từ ngày hợp đồng có hiệu lực </w:t>
            </w:r>
            <w:r w:rsidRPr="005C7F88">
              <w:rPr>
                <w:sz w:val="26"/>
                <w:szCs w:val="26"/>
              </w:rPr>
              <w:t xml:space="preserve">đến </w:t>
            </w:r>
            <w:r>
              <w:rPr>
                <w:sz w:val="26"/>
                <w:szCs w:val="26"/>
              </w:rPr>
              <w:t>hết ngày 31/12/202</w:t>
            </w:r>
            <w:r w:rsidR="007A1FC0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C1054A" w:rsidRPr="005C7F88" w:rsidRDefault="00C1054A" w:rsidP="00D168DE">
            <w:pPr>
              <w:spacing w:before="120" w:after="120"/>
              <w:rPr>
                <w:sz w:val="26"/>
                <w:szCs w:val="26"/>
              </w:rPr>
            </w:pPr>
            <w:r w:rsidRPr="005C7F88">
              <w:rPr>
                <w:sz w:val="26"/>
                <w:szCs w:val="26"/>
              </w:rPr>
              <w:t>Không đáp ứng yêu cầu</w:t>
            </w:r>
          </w:p>
        </w:tc>
      </w:tr>
      <w:tr w:rsidR="00C1054A" w:rsidRPr="005C7F88" w:rsidTr="009066C8">
        <w:trPr>
          <w:trHeight w:val="325"/>
        </w:trPr>
        <w:tc>
          <w:tcPr>
            <w:tcW w:w="369" w:type="pct"/>
            <w:shd w:val="clear" w:color="auto" w:fill="auto"/>
            <w:vAlign w:val="center"/>
          </w:tcPr>
          <w:p w:rsidR="00C1054A" w:rsidRPr="00920F6B" w:rsidRDefault="00C1054A" w:rsidP="00D168D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20F6B">
              <w:rPr>
                <w:sz w:val="26"/>
                <w:szCs w:val="26"/>
              </w:rPr>
              <w:t>3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1054A" w:rsidRPr="00920F6B" w:rsidRDefault="00C1054A" w:rsidP="00D168DE">
            <w:pPr>
              <w:spacing w:before="120" w:after="120"/>
              <w:rPr>
                <w:sz w:val="26"/>
                <w:szCs w:val="26"/>
              </w:rPr>
            </w:pPr>
            <w:r w:rsidRPr="00920F6B">
              <w:rPr>
                <w:sz w:val="26"/>
                <w:szCs w:val="26"/>
              </w:rPr>
              <w:t>Về địa điểm thực hiện</w:t>
            </w:r>
          </w:p>
        </w:tc>
        <w:tc>
          <w:tcPr>
            <w:tcW w:w="2746" w:type="pct"/>
            <w:shd w:val="clear" w:color="auto" w:fill="auto"/>
            <w:vAlign w:val="center"/>
          </w:tcPr>
          <w:p w:rsidR="00C1054A" w:rsidRPr="00C41EB0" w:rsidRDefault="00C41EB0" w:rsidP="007A1FC0">
            <w:pPr>
              <w:spacing w:before="120" w:after="120"/>
              <w:rPr>
                <w:sz w:val="26"/>
                <w:szCs w:val="26"/>
              </w:rPr>
            </w:pPr>
            <w:r w:rsidRPr="00C41EB0">
              <w:rPr>
                <w:color w:val="000000" w:themeColor="text1"/>
                <w:spacing w:val="-4"/>
                <w:sz w:val="26"/>
                <w:szCs w:val="26"/>
                <w:lang w:val="nl-NL"/>
              </w:rPr>
              <w:t xml:space="preserve">Từ bãi thải các khu mỏ Khe Chuối, mỏ Hồ Thiên của Công ty 91 tại </w:t>
            </w:r>
            <w:r w:rsidR="007A1FC0">
              <w:rPr>
                <w:color w:val="000000" w:themeColor="text1"/>
                <w:spacing w:val="-4"/>
                <w:sz w:val="26"/>
                <w:szCs w:val="26"/>
                <w:lang w:val="nl-NL"/>
              </w:rPr>
              <w:t>phường Bình Khê,</w:t>
            </w:r>
            <w:r w:rsidRPr="00C41EB0">
              <w:rPr>
                <w:color w:val="000000" w:themeColor="text1"/>
                <w:spacing w:val="-4"/>
                <w:sz w:val="26"/>
                <w:szCs w:val="26"/>
                <w:lang w:val="nl-NL"/>
              </w:rPr>
              <w:t xml:space="preserve"> tỉnh Quảng Ninh đến đổ thải tại bãi thải mỏ Nam Tràng Bạch, </w:t>
            </w:r>
            <w:r w:rsidR="007A1FC0">
              <w:rPr>
                <w:color w:val="000000" w:themeColor="text1"/>
                <w:spacing w:val="-4"/>
                <w:sz w:val="26"/>
                <w:szCs w:val="26"/>
                <w:lang w:val="nl-NL"/>
              </w:rPr>
              <w:t xml:space="preserve">thuộc địa phận phường Hoàng Quế, tỉnh </w:t>
            </w:r>
            <w:r w:rsidRPr="00C41EB0">
              <w:rPr>
                <w:color w:val="000000" w:themeColor="text1"/>
                <w:spacing w:val="-4"/>
                <w:sz w:val="26"/>
                <w:szCs w:val="26"/>
                <w:lang w:val="nl-NL"/>
              </w:rPr>
              <w:t>Quảng Ninh.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C1054A" w:rsidRPr="005C7F88" w:rsidRDefault="00C1054A" w:rsidP="00D168DE">
            <w:pPr>
              <w:spacing w:before="120" w:after="120"/>
              <w:rPr>
                <w:sz w:val="26"/>
                <w:szCs w:val="26"/>
              </w:rPr>
            </w:pPr>
            <w:r w:rsidRPr="005C7F88">
              <w:rPr>
                <w:sz w:val="26"/>
                <w:szCs w:val="26"/>
              </w:rPr>
              <w:t>Không đáp ứng yêu cầu</w:t>
            </w:r>
          </w:p>
        </w:tc>
      </w:tr>
      <w:tr w:rsidR="00C1054A" w:rsidRPr="005C7F88" w:rsidTr="009066C8">
        <w:trPr>
          <w:trHeight w:val="325"/>
        </w:trPr>
        <w:tc>
          <w:tcPr>
            <w:tcW w:w="369" w:type="pct"/>
            <w:shd w:val="clear" w:color="auto" w:fill="auto"/>
            <w:vAlign w:val="center"/>
          </w:tcPr>
          <w:p w:rsidR="00C1054A" w:rsidRPr="00920F6B" w:rsidRDefault="00C1054A" w:rsidP="00D168D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20F6B">
              <w:rPr>
                <w:sz w:val="26"/>
                <w:szCs w:val="26"/>
              </w:rPr>
              <w:t>4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1054A" w:rsidRPr="00920F6B" w:rsidRDefault="00C1054A" w:rsidP="00D168DE">
            <w:pPr>
              <w:spacing w:before="120" w:after="120"/>
              <w:rPr>
                <w:sz w:val="26"/>
                <w:szCs w:val="26"/>
              </w:rPr>
            </w:pPr>
            <w:r w:rsidRPr="00920F6B">
              <w:rPr>
                <w:sz w:val="26"/>
                <w:szCs w:val="26"/>
              </w:rPr>
              <w:t>Điều kiện thương mại</w:t>
            </w:r>
          </w:p>
        </w:tc>
        <w:tc>
          <w:tcPr>
            <w:tcW w:w="2746" w:type="pct"/>
            <w:shd w:val="clear" w:color="auto" w:fill="auto"/>
            <w:vAlign w:val="center"/>
          </w:tcPr>
          <w:p w:rsidR="00C1054A" w:rsidRPr="005C7F88" w:rsidRDefault="00C1054A" w:rsidP="00D168DE">
            <w:pPr>
              <w:spacing w:before="120" w:after="120"/>
              <w:rPr>
                <w:sz w:val="26"/>
                <w:szCs w:val="26"/>
              </w:rPr>
            </w:pPr>
            <w:r w:rsidRPr="005C7F88">
              <w:rPr>
                <w:sz w:val="26"/>
                <w:szCs w:val="26"/>
              </w:rPr>
              <w:t>Cam kết điều kiện thương mại theo yêu cầu E-HSMT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C1054A" w:rsidRPr="005C7F88" w:rsidRDefault="00C1054A" w:rsidP="00D168DE">
            <w:pPr>
              <w:spacing w:before="120" w:after="120"/>
              <w:rPr>
                <w:sz w:val="26"/>
                <w:szCs w:val="26"/>
              </w:rPr>
            </w:pPr>
            <w:r w:rsidRPr="005C7F88">
              <w:rPr>
                <w:sz w:val="26"/>
                <w:szCs w:val="26"/>
              </w:rPr>
              <w:t>Không đáp ứng yêu cầu</w:t>
            </w:r>
          </w:p>
        </w:tc>
      </w:tr>
      <w:tr w:rsidR="00C1054A" w:rsidRPr="005C7F88" w:rsidTr="009066C8">
        <w:trPr>
          <w:trHeight w:val="325"/>
        </w:trPr>
        <w:tc>
          <w:tcPr>
            <w:tcW w:w="369" w:type="pct"/>
            <w:shd w:val="clear" w:color="auto" w:fill="auto"/>
            <w:vAlign w:val="center"/>
          </w:tcPr>
          <w:p w:rsidR="00C1054A" w:rsidRPr="00920F6B" w:rsidRDefault="00C1054A" w:rsidP="00D168D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20F6B">
              <w:rPr>
                <w:sz w:val="26"/>
                <w:szCs w:val="26"/>
              </w:rPr>
              <w:t>5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1054A" w:rsidRPr="00080FBC" w:rsidRDefault="00C1054A" w:rsidP="00D168DE">
            <w:pPr>
              <w:spacing w:before="120" w:after="120"/>
              <w:rPr>
                <w:sz w:val="26"/>
                <w:szCs w:val="26"/>
              </w:rPr>
            </w:pPr>
            <w:r w:rsidRPr="00080FBC">
              <w:rPr>
                <w:sz w:val="26"/>
                <w:szCs w:val="26"/>
                <w:lang w:val="vi-VN"/>
              </w:rPr>
              <w:t>Tính hợp lý và khả thi của kế hoạch, các giải pháp kỹ thuật, biện pháp tổ chức cung cấp dịch vụ;</w:t>
            </w:r>
          </w:p>
        </w:tc>
        <w:tc>
          <w:tcPr>
            <w:tcW w:w="2746" w:type="pct"/>
            <w:shd w:val="clear" w:color="auto" w:fill="auto"/>
            <w:vAlign w:val="center"/>
          </w:tcPr>
          <w:p w:rsidR="00C1054A" w:rsidRDefault="00C1054A" w:rsidP="00D168DE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C7F88">
              <w:rPr>
                <w:sz w:val="26"/>
                <w:szCs w:val="26"/>
              </w:rPr>
              <w:t>Có giải pháp và phương pháp luận thực hiện gói thầu: Các bước triển khai, tiến độ, giải pháp kỹ thuật</w:t>
            </w:r>
            <w:r w:rsidR="007379EB">
              <w:rPr>
                <w:sz w:val="26"/>
                <w:szCs w:val="26"/>
              </w:rPr>
              <w:t>, giải pháp bảo dưỡng, sửa chữa</w:t>
            </w:r>
            <w:r w:rsidRPr="005C7F88">
              <w:rPr>
                <w:sz w:val="26"/>
                <w:szCs w:val="26"/>
              </w:rPr>
              <w:t xml:space="preserve"> phù hợp.</w:t>
            </w:r>
          </w:p>
          <w:p w:rsidR="00484B71" w:rsidRDefault="00484B71" w:rsidP="00D168DE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Có giải pháp bố trí thực hiện đảm bảo vệ sinh môi trường trong quá trình thực hiện.</w:t>
            </w:r>
          </w:p>
          <w:p w:rsidR="00484B71" w:rsidRDefault="00484B71" w:rsidP="00D168DE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Bố trí đầy đủ trang thiế</w:t>
            </w:r>
            <w:r w:rsidR="009066C8">
              <w:rPr>
                <w:sz w:val="26"/>
                <w:szCs w:val="26"/>
              </w:rPr>
              <w:t>t bị đảm bảo về công tác an toàn</w:t>
            </w:r>
            <w:r>
              <w:rPr>
                <w:sz w:val="26"/>
                <w:szCs w:val="26"/>
              </w:rPr>
              <w:t xml:space="preserve"> vệ sinh lao động.</w:t>
            </w:r>
          </w:p>
          <w:p w:rsidR="00C1054A" w:rsidRDefault="00C1054A" w:rsidP="00D168DE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C7F88">
              <w:rPr>
                <w:sz w:val="26"/>
                <w:szCs w:val="26"/>
              </w:rPr>
              <w:t>Cung cấp đầy đủ nhân sự, máy móc thiết bị theo yêu cầu E-HSMT.</w:t>
            </w:r>
          </w:p>
          <w:p w:rsidR="00484B71" w:rsidRPr="005C7F88" w:rsidRDefault="00484B71" w:rsidP="00D1277A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Chịu mọi trách nhiệm và chi phí trong quá trình tổ chức thực hiện. 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C1054A" w:rsidRPr="005C7F88" w:rsidRDefault="00C1054A" w:rsidP="00D168DE">
            <w:pPr>
              <w:spacing w:before="120" w:after="120"/>
              <w:rPr>
                <w:sz w:val="26"/>
                <w:szCs w:val="26"/>
              </w:rPr>
            </w:pPr>
            <w:r w:rsidRPr="005C7F88">
              <w:rPr>
                <w:sz w:val="26"/>
                <w:szCs w:val="26"/>
              </w:rPr>
              <w:t>Không đáp ứng yêu cầu</w:t>
            </w:r>
          </w:p>
        </w:tc>
      </w:tr>
      <w:tr w:rsidR="00C1054A" w:rsidRPr="005C7F88" w:rsidTr="009066C8">
        <w:trPr>
          <w:trHeight w:val="325"/>
        </w:trPr>
        <w:tc>
          <w:tcPr>
            <w:tcW w:w="369" w:type="pct"/>
            <w:shd w:val="clear" w:color="auto" w:fill="auto"/>
            <w:vAlign w:val="center"/>
          </w:tcPr>
          <w:p w:rsidR="00C1054A" w:rsidRPr="00920F6B" w:rsidRDefault="00C1054A" w:rsidP="00D168D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20F6B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1054A" w:rsidRPr="00920F6B" w:rsidRDefault="00C1054A" w:rsidP="00D168DE">
            <w:pPr>
              <w:spacing w:before="120" w:after="120"/>
              <w:rPr>
                <w:sz w:val="26"/>
                <w:szCs w:val="26"/>
              </w:rPr>
            </w:pPr>
            <w:r w:rsidRPr="00920F6B">
              <w:rPr>
                <w:sz w:val="26"/>
                <w:szCs w:val="26"/>
              </w:rPr>
              <w:t>Uy tín</w:t>
            </w:r>
          </w:p>
        </w:tc>
        <w:tc>
          <w:tcPr>
            <w:tcW w:w="2746" w:type="pct"/>
            <w:shd w:val="clear" w:color="auto" w:fill="auto"/>
            <w:vAlign w:val="center"/>
          </w:tcPr>
          <w:p w:rsidR="00C1054A" w:rsidRPr="00C67A38" w:rsidRDefault="00C1054A" w:rsidP="00D168DE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Thông tin về kết quả thực hiện hợp đồng của nh</w:t>
            </w:r>
            <w:r w:rsidR="009066C8">
              <w:rPr>
                <w:sz w:val="26"/>
                <w:szCs w:val="26"/>
              </w:rPr>
              <w:t>à thầu theo quy định tại Điều 19 và Điều 20</w:t>
            </w:r>
            <w:r>
              <w:rPr>
                <w:sz w:val="26"/>
                <w:szCs w:val="26"/>
              </w:rPr>
              <w:t xml:space="preserve"> của Nghị định số </w:t>
            </w:r>
            <w:r w:rsidRPr="009066C8">
              <w:rPr>
                <w:color w:val="FF0000"/>
                <w:sz w:val="26"/>
                <w:szCs w:val="26"/>
              </w:rPr>
              <w:t>2</w:t>
            </w:r>
            <w:r w:rsidR="009066C8">
              <w:rPr>
                <w:color w:val="FF0000"/>
                <w:sz w:val="26"/>
                <w:szCs w:val="26"/>
              </w:rPr>
              <w:t>1</w:t>
            </w:r>
            <w:r w:rsidRPr="009066C8">
              <w:rPr>
                <w:color w:val="FF0000"/>
                <w:sz w:val="26"/>
                <w:szCs w:val="26"/>
              </w:rPr>
              <w:t>4</w:t>
            </w:r>
            <w:r w:rsidR="009066C8">
              <w:rPr>
                <w:color w:val="FF0000"/>
                <w:sz w:val="26"/>
                <w:szCs w:val="26"/>
              </w:rPr>
              <w:t>/2025</w:t>
            </w:r>
            <w:r w:rsidRPr="009066C8">
              <w:rPr>
                <w:color w:val="FF0000"/>
                <w:sz w:val="26"/>
                <w:szCs w:val="26"/>
              </w:rPr>
              <w:t>/NĐ-CP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C1054A" w:rsidRPr="005C7F88" w:rsidRDefault="00C1054A" w:rsidP="00D168DE">
            <w:pPr>
              <w:spacing w:before="120" w:after="120"/>
              <w:rPr>
                <w:sz w:val="26"/>
                <w:szCs w:val="26"/>
              </w:rPr>
            </w:pPr>
            <w:r w:rsidRPr="005C7F88">
              <w:rPr>
                <w:sz w:val="26"/>
                <w:szCs w:val="26"/>
              </w:rPr>
              <w:t>Không đáp ứng yêu cầu</w:t>
            </w:r>
          </w:p>
        </w:tc>
      </w:tr>
      <w:tr w:rsidR="009066C8" w:rsidRPr="005C7F88" w:rsidTr="009066C8">
        <w:trPr>
          <w:trHeight w:val="325"/>
        </w:trPr>
        <w:tc>
          <w:tcPr>
            <w:tcW w:w="369" w:type="pct"/>
            <w:shd w:val="clear" w:color="auto" w:fill="auto"/>
            <w:vAlign w:val="center"/>
          </w:tcPr>
          <w:p w:rsidR="009066C8" w:rsidRPr="00920F6B" w:rsidRDefault="009066C8" w:rsidP="00D168D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9066C8" w:rsidRPr="00920F6B" w:rsidRDefault="009066C8" w:rsidP="00D168DE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Kết luận</w:t>
            </w:r>
          </w:p>
        </w:tc>
        <w:tc>
          <w:tcPr>
            <w:tcW w:w="2746" w:type="pct"/>
            <w:shd w:val="clear" w:color="auto" w:fill="auto"/>
            <w:vAlign w:val="center"/>
          </w:tcPr>
          <w:p w:rsidR="009066C8" w:rsidRDefault="009066C8" w:rsidP="00D168DE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tiêu chí 1,2,3,4,5,6 đáp ứng yêu cầu của E-HSMT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9066C8" w:rsidRPr="005C7F88" w:rsidRDefault="009066C8" w:rsidP="00D168DE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Một trong các tiêu chí không đáp ứng yêu cầu E-HSMT</w:t>
            </w:r>
          </w:p>
        </w:tc>
      </w:tr>
    </w:tbl>
    <w:p w:rsidR="00AD0088" w:rsidRPr="00C1054A" w:rsidRDefault="00AD0088">
      <w:pPr>
        <w:rPr>
          <w:sz w:val="28"/>
          <w:szCs w:val="28"/>
        </w:rPr>
      </w:pPr>
    </w:p>
    <w:sectPr w:rsidR="00AD0088" w:rsidRPr="00C1054A" w:rsidSect="00C1054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C1054A"/>
    <w:rsid w:val="00080FBC"/>
    <w:rsid w:val="003A0929"/>
    <w:rsid w:val="003B0D67"/>
    <w:rsid w:val="00484B71"/>
    <w:rsid w:val="00693B6A"/>
    <w:rsid w:val="007379EB"/>
    <w:rsid w:val="00743D41"/>
    <w:rsid w:val="007A1FC0"/>
    <w:rsid w:val="008D28BE"/>
    <w:rsid w:val="009066C8"/>
    <w:rsid w:val="00A01A3A"/>
    <w:rsid w:val="00A93100"/>
    <w:rsid w:val="00AD0088"/>
    <w:rsid w:val="00B14552"/>
    <w:rsid w:val="00C1054A"/>
    <w:rsid w:val="00C41EB0"/>
    <w:rsid w:val="00C84159"/>
    <w:rsid w:val="00CC0270"/>
    <w:rsid w:val="00D1277A"/>
    <w:rsid w:val="00D82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5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0C7F8-9F04-4427-A3CA-A644C85B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2024-11-20T08:53:00Z</dcterms:created>
  <dcterms:modified xsi:type="dcterms:W3CDTF">2025-12-01T01:39:00Z</dcterms:modified>
</cp:coreProperties>
</file>