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D951BB" w14:textId="77777777" w:rsidR="00A30018" w:rsidRPr="008D1F29" w:rsidRDefault="00A30018" w:rsidP="008D1F29">
      <w:pPr>
        <w:widowControl w:val="0"/>
        <w:spacing w:after="120"/>
        <w:jc w:val="center"/>
        <w:outlineLvl w:val="1"/>
        <w:rPr>
          <w:sz w:val="28"/>
          <w:szCs w:val="28"/>
          <w:lang w:val="nl-NL"/>
        </w:rPr>
      </w:pPr>
      <w:r w:rsidRPr="008D1F29">
        <w:rPr>
          <w:b/>
          <w:sz w:val="28"/>
          <w:szCs w:val="28"/>
          <w:lang w:val="nl-NL"/>
        </w:rPr>
        <w:t>Chương V. YÊU CẦU VỀ KỸ THUẬT</w:t>
      </w:r>
    </w:p>
    <w:p w14:paraId="5F215430" w14:textId="77777777" w:rsidR="00A30018" w:rsidRPr="000A4D05" w:rsidRDefault="00A30018" w:rsidP="008D1F29">
      <w:pPr>
        <w:pStyle w:val="Subtitle"/>
        <w:spacing w:after="120"/>
        <w:rPr>
          <w:sz w:val="24"/>
          <w:szCs w:val="24"/>
          <w:lang w:val="nl-NL"/>
        </w:rPr>
      </w:pPr>
    </w:p>
    <w:p w14:paraId="1CA7ACCD" w14:textId="77777777" w:rsidR="00A30018" w:rsidRDefault="00A30018" w:rsidP="00F62E78">
      <w:pPr>
        <w:pStyle w:val="SectionVIHeader"/>
        <w:widowControl w:val="0"/>
        <w:spacing w:after="120"/>
        <w:ind w:firstLine="709"/>
        <w:jc w:val="both"/>
        <w:rPr>
          <w:sz w:val="28"/>
          <w:szCs w:val="28"/>
          <w:lang w:val="nl-NL"/>
        </w:rPr>
      </w:pPr>
      <w:r w:rsidRPr="0069538D">
        <w:rPr>
          <w:sz w:val="28"/>
          <w:szCs w:val="28"/>
          <w:lang w:val="nl-NL"/>
        </w:rPr>
        <w:t>Mục 1. Yêu cầu về kỹ thuật</w:t>
      </w:r>
    </w:p>
    <w:p w14:paraId="679CF582" w14:textId="77777777" w:rsidR="007009A6" w:rsidRPr="007009A6" w:rsidRDefault="007009A6" w:rsidP="00F62E78">
      <w:pPr>
        <w:pStyle w:val="SectionVIHeader"/>
        <w:spacing w:after="120"/>
        <w:ind w:firstLine="709"/>
        <w:jc w:val="both"/>
        <w:rPr>
          <w:b w:val="0"/>
          <w:sz w:val="28"/>
          <w:szCs w:val="28"/>
          <w:lang w:val="nl-NL"/>
        </w:rPr>
      </w:pPr>
      <w:r w:rsidRPr="007009A6">
        <w:rPr>
          <w:b w:val="0"/>
          <w:sz w:val="28"/>
          <w:szCs w:val="28"/>
          <w:lang w:val="nl-NL"/>
        </w:rPr>
        <w:t xml:space="preserve">Yêu cầu về kỹ thuật bao gồm các nội dung cơ bản như sau: </w:t>
      </w:r>
    </w:p>
    <w:p w14:paraId="0B836F8B" w14:textId="77777777" w:rsidR="00A30018" w:rsidRPr="0069538D" w:rsidRDefault="00A30018" w:rsidP="00F62E78">
      <w:pPr>
        <w:pStyle w:val="ListParagraph"/>
        <w:widowControl w:val="0"/>
        <w:numPr>
          <w:ilvl w:val="1"/>
          <w:numId w:val="1"/>
        </w:numPr>
        <w:spacing w:before="120" w:after="120"/>
        <w:rPr>
          <w:b/>
          <w:i/>
          <w:sz w:val="28"/>
          <w:szCs w:val="28"/>
          <w:lang w:val="nl-NL"/>
        </w:rPr>
      </w:pPr>
      <w:r w:rsidRPr="0069538D">
        <w:rPr>
          <w:b/>
          <w:i/>
          <w:sz w:val="28"/>
          <w:szCs w:val="28"/>
          <w:lang w:val="nl-NL"/>
        </w:rPr>
        <w:t>Giới thiệu chung về dự án, gói thầu</w:t>
      </w:r>
    </w:p>
    <w:p w14:paraId="405B64CC" w14:textId="77777777" w:rsidR="001A3F15" w:rsidRPr="001A3F15" w:rsidRDefault="001A3F15" w:rsidP="001A3F15">
      <w:pPr>
        <w:spacing w:before="120" w:after="120"/>
        <w:ind w:firstLine="720"/>
        <w:rPr>
          <w:bCs/>
          <w:sz w:val="28"/>
          <w:szCs w:val="28"/>
          <w:lang w:val="nl-NL"/>
        </w:rPr>
      </w:pPr>
      <w:r w:rsidRPr="001A3F15">
        <w:rPr>
          <w:bCs/>
          <w:sz w:val="28"/>
          <w:szCs w:val="28"/>
          <w:lang w:val="nl-NL"/>
        </w:rPr>
        <w:t>- Tên gói thầu: Mua vi chất dinh dưỡng phục vụ tiểu dự án 2 "Cải thiện dinh dưỡng" thuộc dự án 3 Chương trình mục tiêu quốc gia Giảm nghèo bền vững năm 2025.</w:t>
      </w:r>
    </w:p>
    <w:p w14:paraId="0D36BAC8" w14:textId="77777777" w:rsidR="001A3F15" w:rsidRPr="001A3F15" w:rsidRDefault="001A3F15" w:rsidP="001A3F15">
      <w:pPr>
        <w:spacing w:before="120" w:after="120"/>
        <w:ind w:firstLine="720"/>
        <w:rPr>
          <w:bCs/>
          <w:sz w:val="28"/>
          <w:szCs w:val="28"/>
          <w:lang w:val="nl-NL"/>
        </w:rPr>
      </w:pPr>
      <w:r w:rsidRPr="001A3F15">
        <w:rPr>
          <w:bCs/>
          <w:sz w:val="28"/>
          <w:szCs w:val="28"/>
          <w:lang w:val="nl-NL"/>
        </w:rPr>
        <w:t>- Thuộc kế hoạch: Mua vi chất dinh dưỡng phục vụ tiểu dự án 2 "Cải thiện dinh dưỡng" thuộc dự án 3 Chương trình mục tiêu quốc gia Giảm nghèo bền vững năm 2025;</w:t>
      </w:r>
    </w:p>
    <w:p w14:paraId="07A847E0" w14:textId="77777777" w:rsidR="001A3F15" w:rsidRPr="001A3F15" w:rsidRDefault="001A3F15" w:rsidP="001A3F15">
      <w:pPr>
        <w:spacing w:before="120" w:after="120"/>
        <w:ind w:firstLine="720"/>
        <w:rPr>
          <w:bCs/>
          <w:sz w:val="28"/>
          <w:szCs w:val="28"/>
          <w:lang w:val="nl-NL"/>
        </w:rPr>
      </w:pPr>
      <w:r w:rsidRPr="001A3F15">
        <w:rPr>
          <w:bCs/>
          <w:sz w:val="28"/>
          <w:szCs w:val="28"/>
          <w:lang w:val="nl-NL"/>
        </w:rPr>
        <w:t xml:space="preserve">-  Nguồn vốn: Nguồn kinh phí theo QĐ số 815/QĐ-SYT ngày 29/9/2025; </w:t>
      </w:r>
    </w:p>
    <w:p w14:paraId="5DDA1F36" w14:textId="77777777" w:rsidR="001A3F15" w:rsidRPr="001A3F15" w:rsidRDefault="001A3F15" w:rsidP="001A3F15">
      <w:pPr>
        <w:spacing w:before="120" w:after="120"/>
        <w:ind w:firstLine="720"/>
        <w:rPr>
          <w:bCs/>
          <w:sz w:val="28"/>
          <w:szCs w:val="28"/>
          <w:lang w:val="nl-NL"/>
        </w:rPr>
      </w:pPr>
      <w:r w:rsidRPr="001A3F15">
        <w:rPr>
          <w:bCs/>
          <w:sz w:val="28"/>
          <w:szCs w:val="28"/>
          <w:lang w:val="nl-NL"/>
        </w:rPr>
        <w:t xml:space="preserve">- Chủ đầu tư: Trung tâm Kiểm soát bệnh tật Lâm Đồng </w:t>
      </w:r>
    </w:p>
    <w:p w14:paraId="13EC355C" w14:textId="77777777" w:rsidR="001A3F15" w:rsidRPr="001A3F15" w:rsidRDefault="001A3F15" w:rsidP="001A3F15">
      <w:pPr>
        <w:spacing w:before="120" w:after="120"/>
        <w:ind w:firstLine="720"/>
        <w:rPr>
          <w:bCs/>
          <w:sz w:val="28"/>
          <w:szCs w:val="28"/>
          <w:lang w:val="nl-NL"/>
        </w:rPr>
      </w:pPr>
      <w:r w:rsidRPr="001A3F15">
        <w:rPr>
          <w:bCs/>
          <w:sz w:val="28"/>
          <w:szCs w:val="28"/>
          <w:lang w:val="nl-NL"/>
        </w:rPr>
        <w:t>- Thời gian bắt đầu lựa chọn nhà thầu: Quý IV năm 2025</w:t>
      </w:r>
    </w:p>
    <w:p w14:paraId="67C7BC9F" w14:textId="77777777" w:rsidR="001A3F15" w:rsidRPr="001A3F15" w:rsidRDefault="001A3F15" w:rsidP="001A3F15">
      <w:pPr>
        <w:spacing w:before="120" w:after="120"/>
        <w:ind w:firstLine="720"/>
        <w:rPr>
          <w:bCs/>
          <w:sz w:val="28"/>
          <w:szCs w:val="28"/>
          <w:lang w:val="nl-NL"/>
        </w:rPr>
      </w:pPr>
      <w:r w:rsidRPr="001A3F15">
        <w:rPr>
          <w:bCs/>
          <w:sz w:val="28"/>
          <w:szCs w:val="28"/>
          <w:lang w:val="nl-NL"/>
        </w:rPr>
        <w:t>- Thời gian tổ chức lựa chọn nhà thầu: 30 ngày</w:t>
      </w:r>
    </w:p>
    <w:p w14:paraId="749C146C" w14:textId="77777777" w:rsidR="001A3F15" w:rsidRPr="001A3F15" w:rsidRDefault="001A3F15" w:rsidP="001A3F15">
      <w:pPr>
        <w:spacing w:before="120" w:after="120"/>
        <w:ind w:firstLine="720"/>
        <w:rPr>
          <w:bCs/>
          <w:sz w:val="28"/>
          <w:szCs w:val="28"/>
          <w:lang w:val="nl-NL"/>
        </w:rPr>
      </w:pPr>
      <w:r w:rsidRPr="001A3F15">
        <w:rPr>
          <w:bCs/>
          <w:sz w:val="28"/>
          <w:szCs w:val="28"/>
          <w:lang w:val="nl-NL"/>
        </w:rPr>
        <w:t>- Hình thức lựa chọn nhà thầu: Đấu thầu rộng rãi qua hệ thống mạng đấu thầu quốc gia</w:t>
      </w:r>
    </w:p>
    <w:p w14:paraId="22C86C52" w14:textId="77777777" w:rsidR="001A3F15" w:rsidRPr="001A3F15" w:rsidRDefault="001A3F15" w:rsidP="001A3F15">
      <w:pPr>
        <w:spacing w:before="120" w:after="120"/>
        <w:ind w:firstLine="720"/>
        <w:rPr>
          <w:bCs/>
          <w:sz w:val="28"/>
          <w:szCs w:val="28"/>
          <w:lang w:val="nl-NL"/>
        </w:rPr>
      </w:pPr>
      <w:r w:rsidRPr="001A3F15">
        <w:rPr>
          <w:bCs/>
          <w:sz w:val="28"/>
          <w:szCs w:val="28"/>
          <w:lang w:val="nl-NL"/>
        </w:rPr>
        <w:t>- Phương thức lựa chọn nhà thầu: Một giai đoạn, một túi hồ sơ.</w:t>
      </w:r>
    </w:p>
    <w:p w14:paraId="4A4539AD" w14:textId="77777777" w:rsidR="001A3F15" w:rsidRDefault="001A3F15" w:rsidP="001A3F15">
      <w:pPr>
        <w:spacing w:before="120" w:after="120"/>
        <w:ind w:firstLine="720"/>
        <w:rPr>
          <w:bCs/>
          <w:sz w:val="28"/>
          <w:szCs w:val="28"/>
          <w:lang w:val="nl-NL"/>
        </w:rPr>
      </w:pPr>
      <w:r w:rsidRPr="001A3F15">
        <w:rPr>
          <w:bCs/>
          <w:sz w:val="28"/>
          <w:szCs w:val="28"/>
          <w:lang w:val="nl-NL"/>
        </w:rPr>
        <w:t>- Loại hợp đồng: Hợp đồng theo đơn giá cố định</w:t>
      </w:r>
    </w:p>
    <w:p w14:paraId="0E2F06C4" w14:textId="06DF9434" w:rsidR="00A30018" w:rsidRPr="0069538D" w:rsidRDefault="00A30018" w:rsidP="001A3F15">
      <w:pPr>
        <w:spacing w:before="120" w:after="120"/>
        <w:ind w:firstLine="720"/>
        <w:rPr>
          <w:b/>
          <w:sz w:val="28"/>
          <w:szCs w:val="28"/>
          <w:lang w:val="nl-NL"/>
        </w:rPr>
      </w:pPr>
      <w:r w:rsidRPr="0069538D">
        <w:rPr>
          <w:b/>
          <w:sz w:val="28"/>
          <w:szCs w:val="28"/>
          <w:lang w:val="nl-NL"/>
        </w:rPr>
        <w:t>1.2. Yêu cầu về kỹ thuật</w:t>
      </w:r>
    </w:p>
    <w:p w14:paraId="3D234FF7" w14:textId="77777777" w:rsidR="00BA42E9" w:rsidRDefault="00BA42E9" w:rsidP="00F62E78">
      <w:pPr>
        <w:widowControl w:val="0"/>
        <w:spacing w:before="120" w:after="120"/>
        <w:ind w:firstLine="709"/>
        <w:rPr>
          <w:b/>
          <w:iCs/>
          <w:spacing w:val="-2"/>
          <w:sz w:val="28"/>
          <w:szCs w:val="28"/>
          <w:lang w:val="nl-NL"/>
        </w:rPr>
      </w:pPr>
      <w:r w:rsidRPr="0069538D">
        <w:rPr>
          <w:b/>
          <w:iCs/>
          <w:spacing w:val="-2"/>
          <w:sz w:val="28"/>
          <w:szCs w:val="28"/>
          <w:lang w:val="nl-NL"/>
        </w:rPr>
        <w:t>1.2.1. Yêu cầu chung</w:t>
      </w:r>
    </w:p>
    <w:p w14:paraId="0EBF8A81" w14:textId="77777777" w:rsidR="001F6ECB" w:rsidRPr="003B13E4" w:rsidRDefault="001F6ECB" w:rsidP="00F62E78">
      <w:pPr>
        <w:widowControl w:val="0"/>
        <w:spacing w:before="120" w:after="120"/>
        <w:ind w:firstLine="709"/>
        <w:rPr>
          <w:iCs/>
          <w:color w:val="000000" w:themeColor="text1"/>
          <w:sz w:val="28"/>
          <w:szCs w:val="28"/>
          <w:lang w:val="vi-VN"/>
        </w:rPr>
      </w:pPr>
      <w:r w:rsidRPr="003B13E4">
        <w:rPr>
          <w:iCs/>
          <w:color w:val="000000" w:themeColor="text1"/>
          <w:sz w:val="28"/>
          <w:szCs w:val="28"/>
          <w:lang w:val="nl-NL"/>
        </w:rPr>
        <w:t>- H</w:t>
      </w:r>
      <w:r w:rsidRPr="001F6ECB">
        <w:rPr>
          <w:iCs/>
          <w:color w:val="000000" w:themeColor="text1"/>
          <w:sz w:val="28"/>
          <w:szCs w:val="28"/>
          <w:lang w:val="vi-VN"/>
        </w:rPr>
        <w:t xml:space="preserve">àng hóa nhà thầu cung cấp được các cơ quan có thẩm quyền cấp phép sử dụng và lưu hành trên toàn lãnh thổ Việt Nam. </w:t>
      </w:r>
      <w:r w:rsidRPr="003B13E4">
        <w:rPr>
          <w:iCs/>
          <w:color w:val="000000" w:themeColor="text1"/>
          <w:sz w:val="28"/>
          <w:szCs w:val="28"/>
          <w:lang w:val="vi-VN"/>
        </w:rPr>
        <w:t>C</w:t>
      </w:r>
      <w:r w:rsidRPr="001F6ECB">
        <w:rPr>
          <w:iCs/>
          <w:color w:val="000000" w:themeColor="text1"/>
          <w:sz w:val="28"/>
          <w:szCs w:val="28"/>
          <w:lang w:val="vi-VN"/>
        </w:rPr>
        <w:t>hất lượng đúng theo các chỉ tiêu do nhà sản xuất đưa ra và có đủ giấy tờ về xuất xứ, chất lượng.</w:t>
      </w:r>
    </w:p>
    <w:p w14:paraId="65312D2F" w14:textId="3E0AECDA" w:rsidR="00BE617E" w:rsidRPr="00236F54" w:rsidRDefault="00BE617E" w:rsidP="00F62E78">
      <w:pPr>
        <w:widowControl w:val="0"/>
        <w:spacing w:before="120" w:after="120"/>
        <w:ind w:firstLine="709"/>
        <w:rPr>
          <w:iCs/>
          <w:spacing w:val="-2"/>
          <w:sz w:val="28"/>
          <w:szCs w:val="28"/>
          <w:lang w:val="nl-NL"/>
        </w:rPr>
      </w:pPr>
      <w:r w:rsidRPr="00E15F54">
        <w:rPr>
          <w:b/>
          <w:color w:val="000000" w:themeColor="text1"/>
          <w:sz w:val="28"/>
          <w:szCs w:val="28"/>
          <w:lang w:val="nl-NL"/>
        </w:rPr>
        <w:t xml:space="preserve">- </w:t>
      </w:r>
      <w:r w:rsidRPr="003B13E4">
        <w:rPr>
          <w:sz w:val="28"/>
          <w:szCs w:val="28"/>
          <w:lang w:val="vi-VN"/>
        </w:rPr>
        <w:t>Hàng</w:t>
      </w:r>
      <w:r w:rsidR="001F6ECB" w:rsidRPr="003B13E4">
        <w:rPr>
          <w:sz w:val="28"/>
          <w:szCs w:val="28"/>
          <w:lang w:val="vi-VN"/>
        </w:rPr>
        <w:t xml:space="preserve"> hóa mới 100%, sản xuất năm 202</w:t>
      </w:r>
      <w:r w:rsidR="003B13E4" w:rsidRPr="003B13E4">
        <w:rPr>
          <w:sz w:val="28"/>
          <w:szCs w:val="28"/>
          <w:lang w:val="vi-VN"/>
        </w:rPr>
        <w:t>5</w:t>
      </w:r>
      <w:r w:rsidRPr="003B13E4">
        <w:rPr>
          <w:sz w:val="28"/>
          <w:szCs w:val="28"/>
          <w:lang w:val="vi-VN"/>
        </w:rPr>
        <w:t xml:space="preserve"> trở về sau</w:t>
      </w:r>
      <w:r w:rsidR="00236F54">
        <w:rPr>
          <w:sz w:val="28"/>
          <w:szCs w:val="28"/>
          <w:lang w:val="vi-VN"/>
        </w:rPr>
        <w:t xml:space="preserve">. </w:t>
      </w:r>
      <w:r w:rsidR="00F0139D" w:rsidRPr="003B13E4">
        <w:rPr>
          <w:iCs/>
          <w:spacing w:val="-2"/>
          <w:sz w:val="28"/>
          <w:szCs w:val="28"/>
          <w:lang w:val="vi-VN"/>
        </w:rPr>
        <w:t xml:space="preserve">Hàng hóa cung cấp đến đơn vị </w:t>
      </w:r>
      <w:r w:rsidR="00236F54" w:rsidRPr="003B13E4">
        <w:rPr>
          <w:iCs/>
          <w:spacing w:val="-2"/>
          <w:sz w:val="28"/>
          <w:szCs w:val="28"/>
          <w:lang w:val="vi-VN"/>
        </w:rPr>
        <w:t xml:space="preserve"> không bị móp, méo, không bị mất phẩm chất, đả</w:t>
      </w:r>
      <w:r w:rsidR="00F0139D" w:rsidRPr="003B13E4">
        <w:rPr>
          <w:iCs/>
          <w:spacing w:val="-2"/>
          <w:sz w:val="28"/>
          <w:szCs w:val="28"/>
          <w:lang w:val="vi-VN"/>
        </w:rPr>
        <w:t>m bảo vệ sinh an toàn thực phẩm.</w:t>
      </w:r>
    </w:p>
    <w:p w14:paraId="2A9F585D" w14:textId="77777777" w:rsidR="00BA42E9" w:rsidRPr="0069538D" w:rsidRDefault="00BA42E9" w:rsidP="00F62E78">
      <w:pPr>
        <w:widowControl w:val="0"/>
        <w:spacing w:before="120" w:after="120"/>
        <w:ind w:firstLine="709"/>
        <w:rPr>
          <w:iCs/>
          <w:spacing w:val="-2"/>
          <w:sz w:val="28"/>
          <w:szCs w:val="28"/>
          <w:lang w:val="nl-NL"/>
        </w:rPr>
      </w:pPr>
      <w:r w:rsidRPr="0069538D">
        <w:rPr>
          <w:iCs/>
          <w:spacing w:val="-2"/>
          <w:sz w:val="28"/>
          <w:szCs w:val="28"/>
          <w:lang w:val="nl-NL"/>
        </w:rPr>
        <w:t>- Cam kết Đóng gói, vận chuyển: Theo tiêu chuẩn của nhà sản xuất;</w:t>
      </w:r>
    </w:p>
    <w:p w14:paraId="3E0DBE07" w14:textId="77777777" w:rsidR="00A46260" w:rsidRPr="0069538D" w:rsidRDefault="00BA42E9" w:rsidP="00F62E78">
      <w:pPr>
        <w:widowControl w:val="0"/>
        <w:spacing w:before="120" w:after="120"/>
        <w:ind w:firstLine="709"/>
        <w:rPr>
          <w:iCs/>
          <w:spacing w:val="-2"/>
          <w:sz w:val="28"/>
          <w:szCs w:val="28"/>
          <w:lang w:val="nl-NL"/>
        </w:rPr>
      </w:pPr>
      <w:r w:rsidRPr="0069538D">
        <w:rPr>
          <w:iCs/>
          <w:spacing w:val="-2"/>
          <w:sz w:val="28"/>
          <w:szCs w:val="28"/>
          <w:lang w:val="nl-NL"/>
        </w:rPr>
        <w:t xml:space="preserve">- Cam kết thời gian giao hàng: </w:t>
      </w:r>
      <w:r w:rsidR="00A46260" w:rsidRPr="0069538D">
        <w:rPr>
          <w:iCs/>
          <w:spacing w:val="-2"/>
          <w:sz w:val="28"/>
          <w:szCs w:val="28"/>
          <w:lang w:val="nl-NL"/>
        </w:rPr>
        <w:t>Theo hợp đồng</w:t>
      </w:r>
    </w:p>
    <w:p w14:paraId="303FEF01" w14:textId="77777777" w:rsidR="00BA42E9" w:rsidRPr="0069538D" w:rsidRDefault="00BA42E9" w:rsidP="00F62E78">
      <w:pPr>
        <w:widowControl w:val="0"/>
        <w:spacing w:before="120" w:after="120"/>
        <w:ind w:firstLine="709"/>
        <w:rPr>
          <w:iCs/>
          <w:spacing w:val="-2"/>
          <w:sz w:val="28"/>
          <w:szCs w:val="28"/>
          <w:lang w:val="nl-NL"/>
        </w:rPr>
      </w:pPr>
      <w:r w:rsidRPr="0069538D">
        <w:rPr>
          <w:iCs/>
          <w:spacing w:val="-2"/>
          <w:sz w:val="28"/>
          <w:szCs w:val="28"/>
          <w:lang w:val="nl-NL"/>
        </w:rPr>
        <w:t>- Cam kết thu hồi và thay thế, đổi trả 1:1 khi với trường hợp sau:</w:t>
      </w:r>
    </w:p>
    <w:p w14:paraId="1FC0D8C0" w14:textId="77777777" w:rsidR="00BA42E9" w:rsidRPr="0069538D" w:rsidRDefault="00BA42E9" w:rsidP="00F62E78">
      <w:pPr>
        <w:widowControl w:val="0"/>
        <w:spacing w:before="120" w:after="120"/>
        <w:ind w:firstLine="709"/>
        <w:rPr>
          <w:iCs/>
          <w:spacing w:val="-2"/>
          <w:sz w:val="28"/>
          <w:szCs w:val="28"/>
          <w:lang w:val="nl-NL"/>
        </w:rPr>
      </w:pPr>
      <w:r w:rsidRPr="0069538D">
        <w:rPr>
          <w:iCs/>
          <w:spacing w:val="-2"/>
          <w:sz w:val="28"/>
          <w:szCs w:val="28"/>
          <w:lang w:val="nl-NL"/>
        </w:rPr>
        <w:t xml:space="preserve">+ Hàng hóa kiểm tra và thử nghiệm chuyên môn không phù hợp với đặc tính kỹ thuật đã chào thầu. </w:t>
      </w:r>
    </w:p>
    <w:p w14:paraId="4447F9FE" w14:textId="77777777" w:rsidR="00BA42E9" w:rsidRPr="0069538D" w:rsidRDefault="00BA42E9" w:rsidP="00F62E78">
      <w:pPr>
        <w:widowControl w:val="0"/>
        <w:spacing w:before="120" w:after="120"/>
        <w:ind w:firstLine="709"/>
        <w:rPr>
          <w:iCs/>
          <w:spacing w:val="-2"/>
          <w:sz w:val="28"/>
          <w:szCs w:val="28"/>
          <w:lang w:val="nl-NL"/>
        </w:rPr>
      </w:pPr>
      <w:r w:rsidRPr="0069538D">
        <w:rPr>
          <w:iCs/>
          <w:spacing w:val="-2"/>
          <w:sz w:val="28"/>
          <w:szCs w:val="28"/>
          <w:lang w:val="nl-NL"/>
        </w:rPr>
        <w:t>+ Trường hợp hàng hóa bị lỗi, bị hỏng hoặc có các khuyết tật nảy sinh có thể dẫn đến những bất lợi trong quá trình sử dụng bình thường của hàng hóa do lỗi của nhà thầu, hoặc khi có thông báo thu hồi của cơ quan có thẩm quyền.</w:t>
      </w:r>
    </w:p>
    <w:p w14:paraId="184E609D" w14:textId="77777777" w:rsidR="00BA42E9" w:rsidRPr="0069538D" w:rsidRDefault="00BA42E9" w:rsidP="00F62E78">
      <w:pPr>
        <w:widowControl w:val="0"/>
        <w:spacing w:before="120" w:after="120"/>
        <w:ind w:firstLine="709"/>
        <w:rPr>
          <w:iCs/>
          <w:spacing w:val="-2"/>
          <w:sz w:val="28"/>
          <w:szCs w:val="28"/>
          <w:lang w:val="nl-NL"/>
        </w:rPr>
      </w:pPr>
      <w:r w:rsidRPr="0069538D">
        <w:rPr>
          <w:iCs/>
          <w:spacing w:val="-2"/>
          <w:sz w:val="28"/>
          <w:szCs w:val="28"/>
          <w:lang w:val="nl-NL"/>
        </w:rPr>
        <w:t xml:space="preserve">- Cam kết cung cấp tài liệu chứng nhận nguồn gốc, xuất xứ và tài liệu chứng </w:t>
      </w:r>
      <w:r w:rsidRPr="0069538D">
        <w:rPr>
          <w:iCs/>
          <w:spacing w:val="-2"/>
          <w:sz w:val="28"/>
          <w:szCs w:val="28"/>
          <w:lang w:val="nl-NL"/>
        </w:rPr>
        <w:lastRenderedPageBreak/>
        <w:t>nhận chất lượng hoặc các tài liệu khác có giá trị tương đương khi giao hàng;</w:t>
      </w:r>
    </w:p>
    <w:p w14:paraId="11DD2AA0" w14:textId="77777777" w:rsidR="00A30018" w:rsidRDefault="00BA42E9" w:rsidP="00F62E78">
      <w:pPr>
        <w:widowControl w:val="0"/>
        <w:spacing w:before="120" w:after="120"/>
        <w:ind w:firstLine="709"/>
        <w:rPr>
          <w:iCs/>
          <w:spacing w:val="-2"/>
          <w:sz w:val="28"/>
          <w:szCs w:val="28"/>
          <w:lang w:val="nl-NL"/>
        </w:rPr>
      </w:pPr>
      <w:r w:rsidRPr="0069538D">
        <w:rPr>
          <w:iCs/>
          <w:spacing w:val="-2"/>
          <w:sz w:val="28"/>
          <w:szCs w:val="28"/>
          <w:lang w:val="nl-NL"/>
        </w:rPr>
        <w:t>- Cam kết hạn sử dụng của hàng hóa</w:t>
      </w:r>
      <w:r w:rsidR="00A46260" w:rsidRPr="0069538D">
        <w:rPr>
          <w:iCs/>
          <w:spacing w:val="-2"/>
          <w:sz w:val="28"/>
          <w:szCs w:val="28"/>
          <w:lang w:val="nl-NL"/>
        </w:rPr>
        <w:t xml:space="preserve"> </w:t>
      </w:r>
      <w:r w:rsidRPr="0069538D">
        <w:rPr>
          <w:iCs/>
          <w:spacing w:val="-2"/>
          <w:sz w:val="28"/>
          <w:szCs w:val="28"/>
          <w:lang w:val="nl-NL"/>
        </w:rPr>
        <w:t>đáp ứng như sau: (Nhà thầu phải có cam kết trong E-HSDT): Hạn sử dụng còn tối thiểu 12 tháng trở lên</w:t>
      </w:r>
      <w:r w:rsidR="004076A4" w:rsidRPr="0069538D">
        <w:rPr>
          <w:iCs/>
          <w:spacing w:val="-2"/>
          <w:sz w:val="28"/>
          <w:szCs w:val="28"/>
          <w:lang w:val="nl-NL"/>
        </w:rPr>
        <w:t>.</w:t>
      </w:r>
    </w:p>
    <w:p w14:paraId="6CB8E974" w14:textId="77777777" w:rsidR="00BA42E9" w:rsidRPr="0069538D" w:rsidRDefault="00BA42E9" w:rsidP="00F62E78">
      <w:pPr>
        <w:widowControl w:val="0"/>
        <w:spacing w:before="120" w:after="120"/>
        <w:ind w:firstLine="709"/>
        <w:rPr>
          <w:b/>
          <w:iCs/>
          <w:spacing w:val="-2"/>
          <w:sz w:val="28"/>
          <w:szCs w:val="28"/>
          <w:lang w:val="nl-NL"/>
        </w:rPr>
      </w:pPr>
      <w:r w:rsidRPr="0069538D">
        <w:rPr>
          <w:b/>
          <w:iCs/>
          <w:spacing w:val="-2"/>
          <w:sz w:val="28"/>
          <w:szCs w:val="28"/>
          <w:lang w:val="nl-NL"/>
        </w:rPr>
        <w:t>1.2.2. Yêu cầu kỹ thuật chi tiết</w:t>
      </w:r>
    </w:p>
    <w:p w14:paraId="0CE1033A" w14:textId="77777777" w:rsidR="00BA42E9" w:rsidRPr="0069538D" w:rsidRDefault="00282B9B" w:rsidP="00F62E78">
      <w:pPr>
        <w:widowControl w:val="0"/>
        <w:spacing w:before="120" w:after="120"/>
        <w:ind w:firstLine="709"/>
        <w:rPr>
          <w:iCs/>
          <w:spacing w:val="-2"/>
          <w:sz w:val="28"/>
          <w:szCs w:val="28"/>
          <w:lang w:val="nl-NL"/>
        </w:rPr>
      </w:pPr>
      <w:r>
        <w:rPr>
          <w:iCs/>
          <w:spacing w:val="-2"/>
          <w:sz w:val="28"/>
          <w:szCs w:val="28"/>
          <w:lang w:val="nl-NL"/>
        </w:rPr>
        <w:t xml:space="preserve">- </w:t>
      </w:r>
      <w:r w:rsidR="00BA42E9" w:rsidRPr="0069538D">
        <w:rPr>
          <w:iCs/>
          <w:spacing w:val="-2"/>
          <w:sz w:val="28"/>
          <w:szCs w:val="28"/>
          <w:lang w:val="nl-NL"/>
        </w:rPr>
        <w:t>Hàng hóa phải đáp ứng các yêu cầu về cấu hình, đặc tính, thông số kỹ thuật và các yêu cầu khác như quy định dưới đây và là mức yêu cầu tối thiểu phải đạt hoặc chấp nhận được:</w:t>
      </w:r>
    </w:p>
    <w:tbl>
      <w:tblPr>
        <w:tblStyle w:val="TableGrid1"/>
        <w:tblW w:w="8926" w:type="dxa"/>
        <w:jc w:val="center"/>
        <w:tblLook w:val="04A0" w:firstRow="1" w:lastRow="0" w:firstColumn="1" w:lastColumn="0" w:noHBand="0" w:noVBand="1"/>
      </w:tblPr>
      <w:tblGrid>
        <w:gridCol w:w="1271"/>
        <w:gridCol w:w="2552"/>
        <w:gridCol w:w="2618"/>
        <w:gridCol w:w="1346"/>
        <w:gridCol w:w="1139"/>
      </w:tblGrid>
      <w:tr w:rsidR="00FF4C83" w:rsidRPr="003B13E4" w14:paraId="4306F758" w14:textId="77777777" w:rsidTr="003B13E4">
        <w:trPr>
          <w:cantSplit/>
          <w:trHeight w:val="642"/>
          <w:tblHeader/>
          <w:jc w:val="center"/>
        </w:trPr>
        <w:tc>
          <w:tcPr>
            <w:tcW w:w="1271" w:type="dxa"/>
            <w:vAlign w:val="center"/>
          </w:tcPr>
          <w:p w14:paraId="2F4573C1" w14:textId="77777777" w:rsidR="00FF4C83" w:rsidRPr="003B13E4" w:rsidRDefault="00FF4C83" w:rsidP="00F62E78">
            <w:pPr>
              <w:widowControl w:val="0"/>
              <w:spacing w:before="120" w:after="120"/>
              <w:jc w:val="center"/>
              <w:rPr>
                <w:rFonts w:ascii="Times New Roman" w:hAnsi="Times New Roman"/>
                <w:b/>
                <w:bCs/>
                <w:color w:val="000000"/>
                <w:sz w:val="26"/>
                <w:szCs w:val="26"/>
              </w:rPr>
            </w:pPr>
            <w:r w:rsidRPr="003B13E4">
              <w:rPr>
                <w:rFonts w:ascii="Times New Roman" w:hAnsi="Times New Roman"/>
                <w:b/>
                <w:bCs/>
                <w:color w:val="000000"/>
                <w:sz w:val="26"/>
                <w:szCs w:val="26"/>
              </w:rPr>
              <w:t>Hạng mục số</w:t>
            </w:r>
          </w:p>
        </w:tc>
        <w:tc>
          <w:tcPr>
            <w:tcW w:w="2552" w:type="dxa"/>
            <w:vAlign w:val="center"/>
          </w:tcPr>
          <w:p w14:paraId="167688FC" w14:textId="77777777" w:rsidR="00FF4C83" w:rsidRPr="003B13E4" w:rsidRDefault="00FF4C83" w:rsidP="00F62E78">
            <w:pPr>
              <w:widowControl w:val="0"/>
              <w:spacing w:before="120" w:after="120"/>
              <w:jc w:val="center"/>
              <w:rPr>
                <w:rFonts w:ascii="Times New Roman" w:hAnsi="Times New Roman"/>
                <w:b/>
                <w:bCs/>
                <w:color w:val="000000"/>
                <w:sz w:val="26"/>
                <w:szCs w:val="26"/>
              </w:rPr>
            </w:pPr>
            <w:r w:rsidRPr="003B13E4">
              <w:rPr>
                <w:rFonts w:ascii="Times New Roman" w:hAnsi="Times New Roman"/>
                <w:b/>
                <w:bCs/>
                <w:color w:val="000000"/>
                <w:sz w:val="26"/>
                <w:szCs w:val="26"/>
              </w:rPr>
              <w:t>Tên danh mục</w:t>
            </w:r>
          </w:p>
        </w:tc>
        <w:tc>
          <w:tcPr>
            <w:tcW w:w="2618" w:type="dxa"/>
            <w:vAlign w:val="center"/>
          </w:tcPr>
          <w:p w14:paraId="5C71E52A" w14:textId="77777777" w:rsidR="00FF4C83" w:rsidRPr="003B13E4" w:rsidRDefault="00FF4C83" w:rsidP="00F62E78">
            <w:pPr>
              <w:widowControl w:val="0"/>
              <w:spacing w:before="120" w:after="120"/>
              <w:jc w:val="center"/>
              <w:rPr>
                <w:rFonts w:ascii="Times New Roman" w:hAnsi="Times New Roman"/>
                <w:b/>
                <w:bCs/>
                <w:color w:val="000000"/>
                <w:sz w:val="26"/>
                <w:szCs w:val="26"/>
              </w:rPr>
            </w:pPr>
            <w:r w:rsidRPr="003B13E4">
              <w:rPr>
                <w:rFonts w:ascii="Times New Roman" w:hAnsi="Times New Roman"/>
                <w:b/>
                <w:bCs/>
                <w:color w:val="000000"/>
                <w:sz w:val="26"/>
                <w:szCs w:val="26"/>
              </w:rPr>
              <w:t>Đặc tính kỹ thuật</w:t>
            </w:r>
          </w:p>
        </w:tc>
        <w:tc>
          <w:tcPr>
            <w:tcW w:w="1346" w:type="dxa"/>
            <w:vAlign w:val="center"/>
          </w:tcPr>
          <w:p w14:paraId="18717040" w14:textId="77777777" w:rsidR="00FF4C83" w:rsidRPr="003B13E4" w:rsidRDefault="00FF4C83" w:rsidP="00F62E78">
            <w:pPr>
              <w:widowControl w:val="0"/>
              <w:spacing w:before="120" w:after="120"/>
              <w:jc w:val="center"/>
              <w:rPr>
                <w:rFonts w:ascii="Times New Roman" w:hAnsi="Times New Roman"/>
                <w:b/>
                <w:bCs/>
                <w:color w:val="000000"/>
                <w:sz w:val="26"/>
                <w:szCs w:val="26"/>
              </w:rPr>
            </w:pPr>
            <w:r w:rsidRPr="003B13E4">
              <w:rPr>
                <w:rFonts w:ascii="Times New Roman" w:hAnsi="Times New Roman"/>
                <w:b/>
                <w:bCs/>
                <w:color w:val="000000"/>
                <w:sz w:val="26"/>
                <w:szCs w:val="26"/>
              </w:rPr>
              <w:t>Đơn vị tính</w:t>
            </w:r>
          </w:p>
        </w:tc>
        <w:tc>
          <w:tcPr>
            <w:tcW w:w="1139" w:type="dxa"/>
          </w:tcPr>
          <w:p w14:paraId="52EC019E" w14:textId="77777777" w:rsidR="00FF4C83" w:rsidRPr="003B13E4" w:rsidRDefault="00FF4C83" w:rsidP="00F62E78">
            <w:pPr>
              <w:widowControl w:val="0"/>
              <w:spacing w:before="120" w:after="120"/>
              <w:jc w:val="center"/>
              <w:rPr>
                <w:rFonts w:ascii="Times New Roman" w:hAnsi="Times New Roman"/>
                <w:b/>
                <w:bCs/>
                <w:color w:val="000000"/>
                <w:sz w:val="26"/>
                <w:szCs w:val="26"/>
              </w:rPr>
            </w:pPr>
            <w:r w:rsidRPr="003B13E4">
              <w:rPr>
                <w:rFonts w:ascii="Times New Roman" w:hAnsi="Times New Roman"/>
                <w:b/>
                <w:bCs/>
                <w:color w:val="000000"/>
                <w:sz w:val="26"/>
                <w:szCs w:val="26"/>
              </w:rPr>
              <w:t>Khối lượng</w:t>
            </w:r>
          </w:p>
        </w:tc>
      </w:tr>
      <w:tr w:rsidR="003B13E4" w:rsidRPr="003B13E4" w14:paraId="220CF8CE" w14:textId="77777777" w:rsidTr="003B13E4">
        <w:trPr>
          <w:cantSplit/>
          <w:trHeight w:val="2306"/>
          <w:jc w:val="center"/>
        </w:trPr>
        <w:tc>
          <w:tcPr>
            <w:tcW w:w="1271" w:type="dxa"/>
            <w:vAlign w:val="center"/>
          </w:tcPr>
          <w:p w14:paraId="7D4BC8DA" w14:textId="24C9DFD6" w:rsidR="003B13E4" w:rsidRPr="003B13E4" w:rsidRDefault="003B13E4" w:rsidP="00F62E78">
            <w:pPr>
              <w:spacing w:before="120" w:after="120"/>
              <w:jc w:val="center"/>
              <w:rPr>
                <w:rFonts w:ascii="Times New Roman" w:hAnsi="Times New Roman"/>
                <w:sz w:val="26"/>
                <w:szCs w:val="26"/>
              </w:rPr>
            </w:pPr>
            <w:r w:rsidRPr="003B13E4">
              <w:rPr>
                <w:rFonts w:ascii="Times New Roman" w:hAnsi="Times New Roman"/>
                <w:color w:val="000000"/>
                <w:sz w:val="26"/>
                <w:szCs w:val="26"/>
              </w:rPr>
              <w:t>1</w:t>
            </w:r>
          </w:p>
        </w:tc>
        <w:tc>
          <w:tcPr>
            <w:tcW w:w="2552" w:type="dxa"/>
            <w:shd w:val="clear" w:color="000000" w:fill="FFFFFF"/>
            <w:vAlign w:val="center"/>
          </w:tcPr>
          <w:p w14:paraId="5F6543E3" w14:textId="529BE2B0" w:rsidR="003B13E4" w:rsidRPr="003B13E4" w:rsidRDefault="003B13E4" w:rsidP="00F62E78">
            <w:pPr>
              <w:spacing w:before="120" w:after="120"/>
              <w:jc w:val="left"/>
              <w:rPr>
                <w:rFonts w:ascii="Times New Roman" w:hAnsi="Times New Roman"/>
                <w:color w:val="000000"/>
                <w:sz w:val="26"/>
                <w:szCs w:val="26"/>
              </w:rPr>
            </w:pPr>
            <w:r w:rsidRPr="003B13E4">
              <w:rPr>
                <w:rFonts w:ascii="Times New Roman" w:hAnsi="Times New Roman"/>
                <w:color w:val="000000"/>
                <w:sz w:val="26"/>
                <w:szCs w:val="26"/>
              </w:rPr>
              <w:t>Sản phẩm bổ sung vi chất dinh dưỡng cho trẻ em từ 6 tháng đến 59 tháng tuổi bị suy dinh dưỡng thấp còi.</w:t>
            </w:r>
          </w:p>
        </w:tc>
        <w:tc>
          <w:tcPr>
            <w:tcW w:w="2618" w:type="dxa"/>
            <w:vAlign w:val="center"/>
          </w:tcPr>
          <w:p w14:paraId="479A572A" w14:textId="65D63346" w:rsidR="003B13E4" w:rsidRPr="003B13E4" w:rsidRDefault="003B13E4" w:rsidP="00F62E78">
            <w:pPr>
              <w:spacing w:before="120" w:after="120"/>
              <w:jc w:val="center"/>
              <w:rPr>
                <w:rFonts w:ascii="Times New Roman" w:hAnsi="Times New Roman"/>
                <w:color w:val="000000"/>
                <w:sz w:val="26"/>
                <w:szCs w:val="26"/>
              </w:rPr>
            </w:pPr>
            <w:r w:rsidRPr="003B13E4">
              <w:rPr>
                <w:rFonts w:ascii="Times New Roman" w:hAnsi="Times New Roman"/>
                <w:color w:val="000000"/>
                <w:sz w:val="26"/>
                <w:szCs w:val="26"/>
              </w:rPr>
              <w:t>Thành phần 1 liều có tối thiểu 3 vi chất: Sắt (7,1-14,3 mg sắt</w:t>
            </w:r>
            <w:r w:rsidR="0049019C">
              <w:rPr>
                <w:rFonts w:ascii="Times New Roman" w:hAnsi="Times New Roman"/>
                <w:color w:val="000000"/>
                <w:sz w:val="26"/>
                <w:szCs w:val="26"/>
              </w:rPr>
              <w:t>), Vitamin A (300-400 µg), kẽm (2,3-7 mg)</w:t>
            </w:r>
          </w:p>
          <w:p w14:paraId="171FB698" w14:textId="69E8BCB4" w:rsidR="003B13E4" w:rsidRPr="003B13E4" w:rsidRDefault="003B13E4" w:rsidP="00F62E78">
            <w:pPr>
              <w:spacing w:before="120" w:after="120"/>
              <w:jc w:val="center"/>
              <w:rPr>
                <w:rFonts w:ascii="Times New Roman" w:hAnsi="Times New Roman"/>
                <w:color w:val="000000"/>
                <w:sz w:val="26"/>
                <w:szCs w:val="26"/>
              </w:rPr>
            </w:pPr>
            <w:r w:rsidRPr="003B13E4">
              <w:rPr>
                <w:rFonts w:ascii="Times New Roman" w:hAnsi="Times New Roman"/>
                <w:color w:val="000000"/>
                <w:sz w:val="26"/>
                <w:szCs w:val="26"/>
              </w:rPr>
              <w:t>Sản phẩm (1) khác Sản phẩm (2) bổ sung vi chất dinh dưỡng cho trẻ em từ 5 đến dưới 16 tuổi bị suy dinh dưỡng.</w:t>
            </w:r>
          </w:p>
        </w:tc>
        <w:tc>
          <w:tcPr>
            <w:tcW w:w="1346" w:type="dxa"/>
            <w:shd w:val="clear" w:color="000000" w:fill="FFFFFF"/>
            <w:vAlign w:val="center"/>
          </w:tcPr>
          <w:p w14:paraId="36ACB29F" w14:textId="346074F7" w:rsidR="003B13E4" w:rsidRPr="003B13E4" w:rsidRDefault="003B13E4" w:rsidP="00F62E78">
            <w:pPr>
              <w:spacing w:before="120" w:after="120"/>
              <w:jc w:val="center"/>
              <w:rPr>
                <w:rFonts w:ascii="Times New Roman" w:hAnsi="Times New Roman"/>
                <w:sz w:val="26"/>
                <w:szCs w:val="26"/>
              </w:rPr>
            </w:pPr>
            <w:r w:rsidRPr="003B13E4">
              <w:rPr>
                <w:rFonts w:ascii="Times New Roman" w:hAnsi="Times New Roman"/>
                <w:sz w:val="26"/>
                <w:szCs w:val="26"/>
              </w:rPr>
              <w:t>Liều</w:t>
            </w:r>
          </w:p>
        </w:tc>
        <w:tc>
          <w:tcPr>
            <w:tcW w:w="1139" w:type="dxa"/>
            <w:shd w:val="clear" w:color="000000" w:fill="FFFFFF"/>
            <w:vAlign w:val="center"/>
          </w:tcPr>
          <w:p w14:paraId="1A4D4997" w14:textId="5D6651DC" w:rsidR="003B13E4" w:rsidRPr="003B13E4" w:rsidRDefault="003B13E4" w:rsidP="00F62E78">
            <w:pPr>
              <w:spacing w:before="120" w:after="120"/>
              <w:jc w:val="center"/>
              <w:rPr>
                <w:rFonts w:ascii="Times New Roman" w:hAnsi="Times New Roman"/>
                <w:sz w:val="26"/>
                <w:szCs w:val="26"/>
              </w:rPr>
            </w:pPr>
            <w:r w:rsidRPr="003B13E4">
              <w:rPr>
                <w:rFonts w:ascii="Times New Roman" w:hAnsi="Times New Roman"/>
                <w:sz w:val="26"/>
                <w:szCs w:val="26"/>
              </w:rPr>
              <w:t xml:space="preserve">           294.120 </w:t>
            </w:r>
          </w:p>
        </w:tc>
      </w:tr>
      <w:tr w:rsidR="003B13E4" w:rsidRPr="003B13E4" w14:paraId="1639215B" w14:textId="77777777" w:rsidTr="003B13E4">
        <w:trPr>
          <w:cantSplit/>
          <w:trHeight w:val="2306"/>
          <w:jc w:val="center"/>
        </w:trPr>
        <w:tc>
          <w:tcPr>
            <w:tcW w:w="1271" w:type="dxa"/>
            <w:vAlign w:val="center"/>
          </w:tcPr>
          <w:p w14:paraId="11E699DA" w14:textId="6F9CE570" w:rsidR="003B13E4" w:rsidRPr="003B13E4" w:rsidRDefault="003B13E4" w:rsidP="00F62E78">
            <w:pPr>
              <w:spacing w:before="120" w:after="120"/>
              <w:jc w:val="center"/>
              <w:rPr>
                <w:rFonts w:ascii="Times New Roman" w:hAnsi="Times New Roman"/>
                <w:sz w:val="26"/>
                <w:szCs w:val="26"/>
              </w:rPr>
            </w:pPr>
            <w:r w:rsidRPr="003B13E4">
              <w:rPr>
                <w:rFonts w:ascii="Times New Roman" w:hAnsi="Times New Roman"/>
                <w:color w:val="000000"/>
                <w:sz w:val="26"/>
                <w:szCs w:val="26"/>
              </w:rPr>
              <w:t>2</w:t>
            </w:r>
          </w:p>
        </w:tc>
        <w:tc>
          <w:tcPr>
            <w:tcW w:w="2552" w:type="dxa"/>
            <w:shd w:val="clear" w:color="000000" w:fill="FFFFFF"/>
            <w:vAlign w:val="center"/>
          </w:tcPr>
          <w:p w14:paraId="56A8FD43" w14:textId="00C7D66B" w:rsidR="003B13E4" w:rsidRPr="003B13E4" w:rsidRDefault="003B13E4" w:rsidP="00F62E78">
            <w:pPr>
              <w:spacing w:before="120" w:after="120"/>
              <w:jc w:val="left"/>
              <w:rPr>
                <w:rFonts w:ascii="Times New Roman" w:hAnsi="Times New Roman"/>
                <w:color w:val="000000"/>
                <w:sz w:val="26"/>
                <w:szCs w:val="26"/>
              </w:rPr>
            </w:pPr>
            <w:r w:rsidRPr="003B13E4">
              <w:rPr>
                <w:rFonts w:ascii="Times New Roman" w:hAnsi="Times New Roman"/>
                <w:color w:val="000000"/>
                <w:sz w:val="26"/>
                <w:szCs w:val="26"/>
              </w:rPr>
              <w:t>Sản phẩm bổ sung vi chất dinh dưỡng cho trẻ em từ 5 đến dưới 16 tuổi bị suy dinh dưỡng.</w:t>
            </w:r>
            <w:bookmarkStart w:id="0" w:name="_GoBack"/>
            <w:bookmarkEnd w:id="0"/>
          </w:p>
        </w:tc>
        <w:tc>
          <w:tcPr>
            <w:tcW w:w="2618" w:type="dxa"/>
            <w:vAlign w:val="center"/>
          </w:tcPr>
          <w:p w14:paraId="23D514A3" w14:textId="77777777" w:rsidR="003B13E4" w:rsidRPr="003B13E4" w:rsidRDefault="003B13E4" w:rsidP="00F62E78">
            <w:pPr>
              <w:spacing w:before="120" w:after="120"/>
              <w:jc w:val="center"/>
              <w:rPr>
                <w:rFonts w:ascii="Times New Roman" w:hAnsi="Times New Roman"/>
                <w:color w:val="000000"/>
                <w:sz w:val="26"/>
                <w:szCs w:val="26"/>
              </w:rPr>
            </w:pPr>
            <w:r w:rsidRPr="003B13E4">
              <w:rPr>
                <w:rFonts w:ascii="Times New Roman" w:hAnsi="Times New Roman"/>
                <w:color w:val="000000"/>
                <w:sz w:val="26"/>
                <w:szCs w:val="26"/>
              </w:rPr>
              <w:t>Thành phần 1 liều có tối thiểu 3 vi chất: Sắt (12,5-35,6 mg), Vitamin A (300-500 µg), Kẽm (4,5-12 mg).</w:t>
            </w:r>
          </w:p>
          <w:p w14:paraId="2C08CE9B" w14:textId="174B2E8B" w:rsidR="003B13E4" w:rsidRPr="003B13E4" w:rsidRDefault="003B13E4" w:rsidP="00F62E78">
            <w:pPr>
              <w:spacing w:before="120" w:after="120"/>
              <w:jc w:val="center"/>
              <w:rPr>
                <w:rFonts w:ascii="Times New Roman" w:hAnsi="Times New Roman"/>
                <w:color w:val="000000"/>
                <w:sz w:val="26"/>
                <w:szCs w:val="26"/>
              </w:rPr>
            </w:pPr>
            <w:r w:rsidRPr="003B13E4">
              <w:rPr>
                <w:rFonts w:ascii="Times New Roman" w:hAnsi="Times New Roman"/>
                <w:color w:val="000000"/>
                <w:sz w:val="26"/>
                <w:szCs w:val="26"/>
              </w:rPr>
              <w:t>Sản phẩm (2) khác sản phẩm (1) bổ sung vi chất dinh dưỡng cho trẻ em từ 6 tháng đến 59 tháng tuổi bị suy dinh dưỡng thấp còi.</w:t>
            </w:r>
          </w:p>
        </w:tc>
        <w:tc>
          <w:tcPr>
            <w:tcW w:w="1346" w:type="dxa"/>
            <w:shd w:val="clear" w:color="000000" w:fill="FFFFFF"/>
            <w:vAlign w:val="center"/>
          </w:tcPr>
          <w:p w14:paraId="68EACCEC" w14:textId="7373E997" w:rsidR="003B13E4" w:rsidRPr="003B13E4" w:rsidRDefault="003B13E4" w:rsidP="00F62E78">
            <w:pPr>
              <w:spacing w:before="120" w:after="120"/>
              <w:jc w:val="center"/>
              <w:rPr>
                <w:rFonts w:ascii="Times New Roman" w:hAnsi="Times New Roman"/>
                <w:sz w:val="26"/>
                <w:szCs w:val="26"/>
              </w:rPr>
            </w:pPr>
            <w:r w:rsidRPr="003B13E4">
              <w:rPr>
                <w:rFonts w:ascii="Times New Roman" w:hAnsi="Times New Roman"/>
                <w:sz w:val="26"/>
                <w:szCs w:val="26"/>
              </w:rPr>
              <w:t>Liều</w:t>
            </w:r>
          </w:p>
        </w:tc>
        <w:tc>
          <w:tcPr>
            <w:tcW w:w="1139" w:type="dxa"/>
            <w:shd w:val="clear" w:color="000000" w:fill="FFFFFF"/>
            <w:vAlign w:val="center"/>
          </w:tcPr>
          <w:p w14:paraId="12C477EB" w14:textId="395F4E32" w:rsidR="003B13E4" w:rsidRPr="003B13E4" w:rsidRDefault="003B13E4" w:rsidP="00F62E78">
            <w:pPr>
              <w:spacing w:before="120" w:after="120"/>
              <w:jc w:val="center"/>
              <w:rPr>
                <w:rFonts w:ascii="Times New Roman" w:hAnsi="Times New Roman"/>
                <w:sz w:val="26"/>
                <w:szCs w:val="26"/>
              </w:rPr>
            </w:pPr>
            <w:r w:rsidRPr="003B13E4">
              <w:rPr>
                <w:rFonts w:ascii="Times New Roman" w:hAnsi="Times New Roman"/>
                <w:sz w:val="26"/>
                <w:szCs w:val="26"/>
              </w:rPr>
              <w:t xml:space="preserve">           745.440 </w:t>
            </w:r>
          </w:p>
        </w:tc>
      </w:tr>
      <w:tr w:rsidR="003B13E4" w:rsidRPr="003B13E4" w14:paraId="0946F016" w14:textId="77777777" w:rsidTr="003B13E4">
        <w:trPr>
          <w:cantSplit/>
          <w:trHeight w:val="796"/>
          <w:jc w:val="center"/>
        </w:trPr>
        <w:tc>
          <w:tcPr>
            <w:tcW w:w="1271" w:type="dxa"/>
            <w:vAlign w:val="center"/>
          </w:tcPr>
          <w:p w14:paraId="66B1AD3B" w14:textId="711AEB93" w:rsidR="003B13E4" w:rsidRPr="003B13E4" w:rsidRDefault="003B13E4" w:rsidP="00F62E78">
            <w:pPr>
              <w:spacing w:before="120" w:after="120"/>
              <w:jc w:val="center"/>
              <w:rPr>
                <w:rFonts w:ascii="Times New Roman" w:hAnsi="Times New Roman"/>
                <w:sz w:val="26"/>
                <w:szCs w:val="26"/>
              </w:rPr>
            </w:pPr>
            <w:r w:rsidRPr="003B13E4">
              <w:rPr>
                <w:rFonts w:ascii="Times New Roman" w:hAnsi="Times New Roman"/>
                <w:color w:val="000000"/>
                <w:sz w:val="26"/>
                <w:szCs w:val="26"/>
              </w:rPr>
              <w:lastRenderedPageBreak/>
              <w:t>3</w:t>
            </w:r>
          </w:p>
        </w:tc>
        <w:tc>
          <w:tcPr>
            <w:tcW w:w="2552" w:type="dxa"/>
            <w:shd w:val="clear" w:color="000000" w:fill="FFFFFF"/>
            <w:vAlign w:val="center"/>
          </w:tcPr>
          <w:p w14:paraId="494FABB1" w14:textId="5BBCE3DA" w:rsidR="003B13E4" w:rsidRPr="003B13E4" w:rsidRDefault="003B13E4" w:rsidP="00F62E78">
            <w:pPr>
              <w:spacing w:before="120" w:after="120"/>
              <w:rPr>
                <w:rFonts w:ascii="Times New Roman" w:hAnsi="Times New Roman"/>
                <w:color w:val="000000"/>
                <w:sz w:val="26"/>
                <w:szCs w:val="26"/>
              </w:rPr>
            </w:pPr>
            <w:r w:rsidRPr="003B13E4">
              <w:rPr>
                <w:rFonts w:ascii="Times New Roman" w:hAnsi="Times New Roman"/>
                <w:color w:val="000000"/>
                <w:sz w:val="26"/>
                <w:szCs w:val="26"/>
              </w:rPr>
              <w:t xml:space="preserve">Sản phẩm dinh dưỡng cho trẻ em 6 - 72 tháng tuổi bị suy dinh dưỡng cấp tính nặng tại cộng đồng.  </w:t>
            </w:r>
          </w:p>
        </w:tc>
        <w:tc>
          <w:tcPr>
            <w:tcW w:w="2618" w:type="dxa"/>
            <w:vAlign w:val="center"/>
          </w:tcPr>
          <w:p w14:paraId="45444712" w14:textId="417C908B" w:rsidR="003B13E4" w:rsidRPr="003B13E4" w:rsidRDefault="003B13E4" w:rsidP="00F62E78">
            <w:pPr>
              <w:spacing w:before="120" w:after="120"/>
              <w:jc w:val="center"/>
              <w:rPr>
                <w:rFonts w:ascii="Times New Roman" w:hAnsi="Times New Roman"/>
                <w:color w:val="000000"/>
                <w:sz w:val="26"/>
                <w:szCs w:val="26"/>
              </w:rPr>
            </w:pPr>
            <w:r w:rsidRPr="003B13E4">
              <w:rPr>
                <w:rFonts w:ascii="Times New Roman" w:hAnsi="Times New Roman"/>
                <w:color w:val="000000"/>
                <w:sz w:val="26"/>
                <w:szCs w:val="26"/>
              </w:rPr>
              <w:t>Hàm lượng trong một đơn vị sản phẩm có 500kcal/sản phẩm có trong 92g (phụ lục IX của QĐ 4487/QĐ-BYT ngày 18/8/2016) hoặc 100g/sản phẩm chứa 520-550 Kcal (mục 2, phụ lục XI của QĐ 4487/QĐ 4487/QĐ-BYT ngày 18/8/2016).</w:t>
            </w:r>
          </w:p>
        </w:tc>
        <w:tc>
          <w:tcPr>
            <w:tcW w:w="1346" w:type="dxa"/>
            <w:shd w:val="clear" w:color="000000" w:fill="FFFFFF"/>
            <w:vAlign w:val="center"/>
          </w:tcPr>
          <w:p w14:paraId="67675966" w14:textId="40D53918" w:rsidR="003B13E4" w:rsidRPr="003B13E4" w:rsidRDefault="003B13E4" w:rsidP="00F62E78">
            <w:pPr>
              <w:spacing w:before="120" w:after="120"/>
              <w:jc w:val="center"/>
              <w:rPr>
                <w:rFonts w:ascii="Times New Roman" w:hAnsi="Times New Roman"/>
                <w:sz w:val="26"/>
                <w:szCs w:val="26"/>
              </w:rPr>
            </w:pPr>
            <w:r w:rsidRPr="003B13E4">
              <w:rPr>
                <w:rFonts w:ascii="Times New Roman" w:hAnsi="Times New Roman"/>
                <w:sz w:val="26"/>
                <w:szCs w:val="26"/>
              </w:rPr>
              <w:t>Gói/Túi</w:t>
            </w:r>
          </w:p>
        </w:tc>
        <w:tc>
          <w:tcPr>
            <w:tcW w:w="1139" w:type="dxa"/>
            <w:shd w:val="clear" w:color="000000" w:fill="FFFFFF"/>
            <w:vAlign w:val="center"/>
          </w:tcPr>
          <w:p w14:paraId="02DD926C" w14:textId="1847B5E0" w:rsidR="003B13E4" w:rsidRPr="003B13E4" w:rsidRDefault="003B13E4" w:rsidP="00F62E78">
            <w:pPr>
              <w:spacing w:before="120" w:after="120"/>
              <w:jc w:val="center"/>
              <w:rPr>
                <w:rFonts w:ascii="Times New Roman" w:hAnsi="Times New Roman"/>
                <w:sz w:val="26"/>
                <w:szCs w:val="26"/>
              </w:rPr>
            </w:pPr>
            <w:r w:rsidRPr="003B13E4">
              <w:rPr>
                <w:rFonts w:ascii="Times New Roman" w:hAnsi="Times New Roman"/>
                <w:sz w:val="26"/>
                <w:szCs w:val="26"/>
              </w:rPr>
              <w:t xml:space="preserve">             18.550 </w:t>
            </w:r>
          </w:p>
        </w:tc>
      </w:tr>
    </w:tbl>
    <w:p w14:paraId="01752DFA" w14:textId="77777777" w:rsidR="007257AF" w:rsidRPr="00F85792" w:rsidRDefault="00E95B79" w:rsidP="00F62E78">
      <w:pPr>
        <w:spacing w:before="120" w:after="120"/>
        <w:rPr>
          <w:b/>
          <w:sz w:val="28"/>
          <w:szCs w:val="28"/>
          <w:lang w:val="nl-NL"/>
        </w:rPr>
      </w:pPr>
      <w:r w:rsidRPr="00E95B79">
        <w:rPr>
          <w:bCs/>
          <w:sz w:val="28"/>
          <w:szCs w:val="28"/>
        </w:rPr>
        <w:tab/>
      </w:r>
      <w:r w:rsidRPr="00F85792">
        <w:rPr>
          <w:b/>
          <w:bCs/>
          <w:sz w:val="28"/>
          <w:szCs w:val="28"/>
        </w:rPr>
        <w:t xml:space="preserve">1.3. </w:t>
      </w:r>
      <w:r w:rsidR="007257AF" w:rsidRPr="00F85792">
        <w:rPr>
          <w:b/>
          <w:sz w:val="28"/>
          <w:szCs w:val="28"/>
          <w:lang w:val="nl-NL"/>
        </w:rPr>
        <w:t>Các yêu cầu khác</w:t>
      </w:r>
    </w:p>
    <w:p w14:paraId="077179D9" w14:textId="77777777" w:rsidR="007257AF" w:rsidRPr="007257AF" w:rsidRDefault="007257AF" w:rsidP="00F62E78">
      <w:pPr>
        <w:spacing w:before="120" w:after="120"/>
        <w:ind w:firstLine="709"/>
        <w:rPr>
          <w:sz w:val="28"/>
          <w:szCs w:val="28"/>
          <w:lang w:val="nl-NL"/>
        </w:rPr>
      </w:pPr>
      <w:r w:rsidRPr="007257AF">
        <w:rPr>
          <w:sz w:val="28"/>
          <w:szCs w:val="28"/>
          <w:lang w:val="nl-NL"/>
        </w:rPr>
        <w:t xml:space="preserve">- Khi giao hàng nhà thầu cần cung cấp phiếu kiểm nghiệm của sản phẩm do cơ quan có thẩm quyền cấp để chứng minh hàng hóa đáp ứng đúng </w:t>
      </w:r>
      <w:r w:rsidRPr="003B13E4">
        <w:rPr>
          <w:iCs/>
          <w:sz w:val="28"/>
          <w:szCs w:val="28"/>
          <w:lang w:val="nl-NL"/>
        </w:rPr>
        <w:t>Thông số kỹ thuật và các tiêu chuẩn yêu cầu trong E-HSMT.</w:t>
      </w:r>
    </w:p>
    <w:p w14:paraId="275C4098" w14:textId="77777777" w:rsidR="007257AF" w:rsidRPr="003B13E4" w:rsidRDefault="007257AF" w:rsidP="00F62E78">
      <w:pPr>
        <w:spacing w:before="120" w:after="120"/>
        <w:ind w:firstLine="709"/>
        <w:rPr>
          <w:b/>
          <w:sz w:val="28"/>
          <w:szCs w:val="28"/>
          <w:lang w:val="nl-NL"/>
        </w:rPr>
      </w:pPr>
      <w:r w:rsidRPr="003B13E4">
        <w:rPr>
          <w:b/>
          <w:sz w:val="28"/>
          <w:szCs w:val="28"/>
          <w:lang w:val="nl-NL"/>
        </w:rPr>
        <w:t>Mục 3. Kiểm tra và thử nghiệm</w:t>
      </w:r>
    </w:p>
    <w:p w14:paraId="1926DF97" w14:textId="77777777" w:rsidR="007257AF" w:rsidRPr="003B13E4" w:rsidRDefault="007257AF" w:rsidP="00F62E78">
      <w:pPr>
        <w:spacing w:before="120" w:after="120"/>
        <w:ind w:firstLine="709"/>
        <w:rPr>
          <w:sz w:val="28"/>
          <w:szCs w:val="28"/>
          <w:lang w:val="nl-NL"/>
        </w:rPr>
      </w:pPr>
      <w:r w:rsidRPr="003B13E4">
        <w:rPr>
          <w:sz w:val="28"/>
          <w:szCs w:val="28"/>
          <w:lang w:val="nl-NL"/>
        </w:rPr>
        <w:t xml:space="preserve">Các kiểm tra và thử nghiệm cần tiến hành gồm có: </w:t>
      </w:r>
    </w:p>
    <w:p w14:paraId="035C64AC" w14:textId="77777777" w:rsidR="007257AF" w:rsidRPr="003B13E4" w:rsidRDefault="007257AF" w:rsidP="00F62E78">
      <w:pPr>
        <w:spacing w:before="120" w:after="120"/>
        <w:ind w:firstLine="709"/>
        <w:rPr>
          <w:sz w:val="28"/>
          <w:szCs w:val="28"/>
          <w:lang w:val="nl-NL"/>
        </w:rPr>
      </w:pPr>
      <w:r w:rsidRPr="003B13E4">
        <w:rPr>
          <w:sz w:val="28"/>
          <w:szCs w:val="28"/>
          <w:lang w:val="nl-NL"/>
        </w:rPr>
        <w:t>Chủ đầu tư có quyền kiểm tra thử nghiệm hàng hóa được cung cấp để đảm bảo hàng hóa đó có đặc tính kỹ thuật phù hợp với yêu cầu của HSMT. Thời gian, địa điểm và cách thức tiến hành kiểm tra, thử nghiệm do chủ đầu tư chỉ định. Mọi chi phí kiểm tra, thử nghiệm do nhà thầu chịu. Trường hợp hàng hóa cung cấp không đủ tiêu chuẩn, chất lượng theo yêu cầu của hợp đồng thì chủ đầu tư có quyền từ chối và nhà thầu phải có trách nhiệm thay thế hàng hóa không đạt yêu cầu. Trường hợp nhà thầu không có khả năng thay thế hàng hóa không đạt yêu cầu, chủ đầu tư có quyền tổ chức việc thay thế khi cần thiết, mọi rủi ro và chi phí liên quan do nhà thầu chịu. Việc kiểm tra, đánh giá hàng hóa của chủ đầu tư không dẫn đến việc miễn trừ nghĩa vụ bảo hành hay các nghĩa vụ khác theo hợp đồng của nhà thầu.</w:t>
      </w:r>
    </w:p>
    <w:p w14:paraId="0A8ED289" w14:textId="77777777" w:rsidR="007257AF" w:rsidRPr="003B13E4" w:rsidRDefault="007257AF" w:rsidP="00F62E78">
      <w:pPr>
        <w:spacing w:before="120" w:after="120"/>
        <w:rPr>
          <w:sz w:val="28"/>
          <w:szCs w:val="28"/>
          <w:lang w:val="nl-NL"/>
        </w:rPr>
      </w:pPr>
      <w:r w:rsidRPr="003B13E4">
        <w:rPr>
          <w:sz w:val="28"/>
          <w:szCs w:val="28"/>
          <w:lang w:val="nl-NL"/>
        </w:rPr>
        <w:t xml:space="preserve"> - Các kiểm tra cần tiến hành gồm có: </w:t>
      </w:r>
    </w:p>
    <w:p w14:paraId="242F8027" w14:textId="4CA3CD6C" w:rsidR="007257AF" w:rsidRPr="003B13E4" w:rsidRDefault="007257AF" w:rsidP="00F62E78">
      <w:pPr>
        <w:spacing w:before="120" w:after="120"/>
        <w:rPr>
          <w:sz w:val="28"/>
          <w:szCs w:val="28"/>
          <w:lang w:val="nl-NL"/>
        </w:rPr>
      </w:pPr>
      <w:r w:rsidRPr="003B13E4">
        <w:rPr>
          <w:sz w:val="28"/>
          <w:szCs w:val="28"/>
          <w:lang w:val="nl-NL"/>
        </w:rPr>
        <w:t xml:space="preserve">+ Các bên kiểm tra </w:t>
      </w:r>
      <w:r w:rsidR="00473AB8">
        <w:rPr>
          <w:sz w:val="28"/>
          <w:szCs w:val="28"/>
          <w:lang w:val="nl-NL"/>
        </w:rPr>
        <w:t>thành phần</w:t>
      </w:r>
      <w:r w:rsidR="00114AF8">
        <w:rPr>
          <w:sz w:val="28"/>
          <w:szCs w:val="28"/>
          <w:lang w:val="nl-NL"/>
        </w:rPr>
        <w:t>,</w:t>
      </w:r>
      <w:r w:rsidR="00473AB8">
        <w:rPr>
          <w:sz w:val="28"/>
          <w:szCs w:val="28"/>
          <w:lang w:val="nl-NL"/>
        </w:rPr>
        <w:t xml:space="preserve"> </w:t>
      </w:r>
      <w:r w:rsidRPr="003B13E4">
        <w:rPr>
          <w:sz w:val="28"/>
          <w:szCs w:val="28"/>
          <w:lang w:val="nl-NL"/>
        </w:rPr>
        <w:t>số lượng, nhãn mác, bao gói còn nguyên vẹn, hình dáng bao gói hạn sử dụng trước khi nhận hàng.</w:t>
      </w:r>
    </w:p>
    <w:p w14:paraId="4D541C5A" w14:textId="77777777" w:rsidR="007257AF" w:rsidRPr="003B13E4" w:rsidRDefault="007257AF" w:rsidP="00F62E78">
      <w:pPr>
        <w:spacing w:before="120" w:after="120"/>
        <w:rPr>
          <w:sz w:val="28"/>
          <w:szCs w:val="28"/>
          <w:lang w:val="nl-NL"/>
        </w:rPr>
      </w:pPr>
      <w:r w:rsidRPr="003B13E4">
        <w:rPr>
          <w:sz w:val="28"/>
          <w:szCs w:val="28"/>
          <w:lang w:val="nl-NL"/>
        </w:rPr>
        <w:t xml:space="preserve">+ Các tài liệu chứng minh về tính hợp lệ của hàng hóa. </w:t>
      </w:r>
    </w:p>
    <w:p w14:paraId="2ED08DC6" w14:textId="77777777" w:rsidR="007257AF" w:rsidRPr="003B13E4" w:rsidRDefault="007257AF" w:rsidP="00F62E78">
      <w:pPr>
        <w:spacing w:before="120" w:after="120"/>
        <w:rPr>
          <w:sz w:val="28"/>
          <w:szCs w:val="28"/>
          <w:lang w:val="nl-NL"/>
        </w:rPr>
      </w:pPr>
      <w:r w:rsidRPr="003B13E4">
        <w:rPr>
          <w:sz w:val="28"/>
          <w:szCs w:val="28"/>
          <w:lang w:val="nl-NL"/>
        </w:rPr>
        <w:t>+ Nghiệm thu các thông số kỹ thuật trước khi bàn giao.</w:t>
      </w:r>
    </w:p>
    <w:p w14:paraId="11DBC00C" w14:textId="77777777" w:rsidR="00EF284B" w:rsidRPr="003B13E4" w:rsidRDefault="00EF284B" w:rsidP="008D1F29">
      <w:pPr>
        <w:spacing w:after="120"/>
        <w:rPr>
          <w:sz w:val="28"/>
          <w:szCs w:val="28"/>
          <w:lang w:val="nl-NL"/>
        </w:rPr>
      </w:pPr>
    </w:p>
    <w:sectPr w:rsidR="00EF284B" w:rsidRPr="003B13E4" w:rsidSect="008D1F29">
      <w:pgSz w:w="11909" w:h="16834"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2317A"/>
    <w:multiLevelType w:val="multilevel"/>
    <w:tmpl w:val="94F058FC"/>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39287FDD"/>
    <w:multiLevelType w:val="hybridMultilevel"/>
    <w:tmpl w:val="DC4E588C"/>
    <w:lvl w:ilvl="0" w:tplc="72582872">
      <w:start w:val="1"/>
      <w:numFmt w:val="decimal"/>
      <w:lvlText w:val="%1."/>
      <w:lvlJc w:val="left"/>
      <w:pPr>
        <w:ind w:left="1070" w:hanging="360"/>
      </w:pPr>
      <w:rPr>
        <w:b w:val="0"/>
        <w:bCs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 w15:restartNumberingAfterBreak="0">
    <w:nsid w:val="5ED00DA7"/>
    <w:multiLevelType w:val="multilevel"/>
    <w:tmpl w:val="E758D8F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72033BAD"/>
    <w:multiLevelType w:val="hybridMultilevel"/>
    <w:tmpl w:val="9CA873DA"/>
    <w:lvl w:ilvl="0" w:tplc="8842B22A">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018"/>
    <w:rsid w:val="0000228F"/>
    <w:rsid w:val="00057EA8"/>
    <w:rsid w:val="0008457D"/>
    <w:rsid w:val="000A4D05"/>
    <w:rsid w:val="00114AF8"/>
    <w:rsid w:val="00143266"/>
    <w:rsid w:val="001A3F15"/>
    <w:rsid w:val="001B5965"/>
    <w:rsid w:val="001F6ECB"/>
    <w:rsid w:val="0021750D"/>
    <w:rsid w:val="00236F54"/>
    <w:rsid w:val="00272C90"/>
    <w:rsid w:val="00282B9B"/>
    <w:rsid w:val="002D1602"/>
    <w:rsid w:val="00310FA9"/>
    <w:rsid w:val="00314E12"/>
    <w:rsid w:val="003B13E4"/>
    <w:rsid w:val="003D0BB6"/>
    <w:rsid w:val="003F7457"/>
    <w:rsid w:val="004076A4"/>
    <w:rsid w:val="004276F4"/>
    <w:rsid w:val="00441D8C"/>
    <w:rsid w:val="00473AB8"/>
    <w:rsid w:val="0049019C"/>
    <w:rsid w:val="004D34B2"/>
    <w:rsid w:val="005D6C26"/>
    <w:rsid w:val="005F70DA"/>
    <w:rsid w:val="00613D08"/>
    <w:rsid w:val="006362AD"/>
    <w:rsid w:val="0069538D"/>
    <w:rsid w:val="006C6D28"/>
    <w:rsid w:val="007009A6"/>
    <w:rsid w:val="007257AF"/>
    <w:rsid w:val="00782BE2"/>
    <w:rsid w:val="007957DF"/>
    <w:rsid w:val="007E1A42"/>
    <w:rsid w:val="007E5087"/>
    <w:rsid w:val="007F2A87"/>
    <w:rsid w:val="008C4193"/>
    <w:rsid w:val="008D1F29"/>
    <w:rsid w:val="008D54E4"/>
    <w:rsid w:val="008E0A4E"/>
    <w:rsid w:val="009042F7"/>
    <w:rsid w:val="009514D7"/>
    <w:rsid w:val="00974592"/>
    <w:rsid w:val="009C2323"/>
    <w:rsid w:val="00A30018"/>
    <w:rsid w:val="00A46260"/>
    <w:rsid w:val="00AB38FD"/>
    <w:rsid w:val="00AE2CED"/>
    <w:rsid w:val="00AE6E61"/>
    <w:rsid w:val="00B02122"/>
    <w:rsid w:val="00B07D6D"/>
    <w:rsid w:val="00B560B1"/>
    <w:rsid w:val="00BA42E9"/>
    <w:rsid w:val="00BB0855"/>
    <w:rsid w:val="00BE617E"/>
    <w:rsid w:val="00C416E3"/>
    <w:rsid w:val="00CB6BBD"/>
    <w:rsid w:val="00CF5DD0"/>
    <w:rsid w:val="00D35752"/>
    <w:rsid w:val="00E10FB2"/>
    <w:rsid w:val="00E527D9"/>
    <w:rsid w:val="00E95B79"/>
    <w:rsid w:val="00EA0152"/>
    <w:rsid w:val="00EC3ED7"/>
    <w:rsid w:val="00EF284B"/>
    <w:rsid w:val="00F0139D"/>
    <w:rsid w:val="00F20AD5"/>
    <w:rsid w:val="00F40AA7"/>
    <w:rsid w:val="00F5735B"/>
    <w:rsid w:val="00F62E78"/>
    <w:rsid w:val="00F85792"/>
    <w:rsid w:val="00FC0705"/>
    <w:rsid w:val="00FF4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A9DCE"/>
  <w15:docId w15:val="{D68CBB20-F79E-469C-961A-58B106ABC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018"/>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A30018"/>
    <w:pPr>
      <w:jc w:val="center"/>
    </w:pPr>
    <w:rPr>
      <w:b/>
      <w:sz w:val="44"/>
    </w:rPr>
  </w:style>
  <w:style w:type="character" w:customStyle="1" w:styleId="SubtitleChar">
    <w:name w:val="Subtitle Char"/>
    <w:basedOn w:val="DefaultParagraphFont"/>
    <w:link w:val="Subtitle"/>
    <w:rsid w:val="00A30018"/>
    <w:rPr>
      <w:rFonts w:eastAsia="Times New Roman" w:cs="Times New Roman"/>
      <w:b/>
      <w:sz w:val="44"/>
      <w:szCs w:val="20"/>
    </w:rPr>
  </w:style>
  <w:style w:type="paragraph" w:customStyle="1" w:styleId="SectionVIHeader">
    <w:name w:val="Section VI. Header"/>
    <w:basedOn w:val="Normal"/>
    <w:rsid w:val="00A30018"/>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A30018"/>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A30018"/>
    <w:rPr>
      <w:rFonts w:eastAsia="Times New Roman" w:cs="Times New Roman"/>
      <w:sz w:val="24"/>
      <w:szCs w:val="20"/>
    </w:rPr>
  </w:style>
  <w:style w:type="table" w:customStyle="1" w:styleId="TableGrid1">
    <w:name w:val="Table Grid1"/>
    <w:basedOn w:val="TableNormal"/>
    <w:next w:val="TableGrid"/>
    <w:uiPriority w:val="39"/>
    <w:rsid w:val="00A30018"/>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30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54F93-8D89-4AB3-AA55-C4AEF5321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714</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DAC</cp:lastModifiedBy>
  <cp:revision>2</cp:revision>
  <dcterms:created xsi:type="dcterms:W3CDTF">2025-11-28T01:25:00Z</dcterms:created>
  <dcterms:modified xsi:type="dcterms:W3CDTF">2025-11-28T01:25:00Z</dcterms:modified>
</cp:coreProperties>
</file>