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1B2" w:rsidRPr="005C31B2" w:rsidRDefault="005C31B2" w:rsidP="005C31B2">
      <w:pPr>
        <w:tabs>
          <w:tab w:val="left" w:pos="2970"/>
        </w:tabs>
        <w:jc w:val="both"/>
        <w:rPr>
          <w:rFonts w:eastAsia="Times New Roman" w:cs="Times New Roman"/>
          <w:b/>
          <w:sz w:val="24"/>
          <w:szCs w:val="24"/>
          <w:lang w:val="nl-NL"/>
        </w:rPr>
      </w:pPr>
      <w:r w:rsidRPr="005C31B2">
        <w:rPr>
          <w:rFonts w:eastAsia="Times New Roman" w:cs="Times New Roman"/>
          <w:b/>
          <w:sz w:val="24"/>
          <w:szCs w:val="24"/>
          <w:lang w:val="nl-NL"/>
        </w:rPr>
        <w:t>Phần 2. YÊU CẦU VỀ KỸ THUẬT</w:t>
      </w:r>
    </w:p>
    <w:p w:rsidR="005C31B2" w:rsidRPr="005C31B2" w:rsidRDefault="005C31B2" w:rsidP="005C31B2">
      <w:pPr>
        <w:widowControl w:val="0"/>
        <w:spacing w:before="120" w:after="120" w:line="264" w:lineRule="auto"/>
        <w:jc w:val="center"/>
        <w:outlineLvl w:val="1"/>
        <w:rPr>
          <w:rFonts w:eastAsia="Times New Roman" w:cs="Times New Roman"/>
          <w:sz w:val="24"/>
          <w:szCs w:val="24"/>
          <w:lang w:val="nl-NL"/>
        </w:rPr>
      </w:pPr>
      <w:r w:rsidRPr="005C31B2">
        <w:rPr>
          <w:rFonts w:eastAsia="Times New Roman" w:cs="Times New Roman"/>
          <w:b/>
          <w:sz w:val="24"/>
          <w:szCs w:val="24"/>
          <w:lang w:val="nl-NL"/>
        </w:rPr>
        <w:t>Chương V. YÊU CẦU VỀ KỸ THUẬT</w:t>
      </w:r>
    </w:p>
    <w:p w:rsidR="005C31B2" w:rsidRPr="005C31B2" w:rsidRDefault="005C31B2" w:rsidP="005C31B2">
      <w:pPr>
        <w:spacing w:after="0" w:line="240" w:lineRule="auto"/>
        <w:jc w:val="center"/>
        <w:rPr>
          <w:rFonts w:eastAsia="Times New Roman" w:cs="Times New Roman"/>
          <w:b/>
          <w:sz w:val="24"/>
          <w:szCs w:val="24"/>
          <w:lang w:val="nl-NL"/>
        </w:rPr>
      </w:pPr>
    </w:p>
    <w:p w:rsidR="005C31B2" w:rsidRPr="005C31B2" w:rsidRDefault="005C31B2" w:rsidP="005C31B2">
      <w:pPr>
        <w:widowControl w:val="0"/>
        <w:spacing w:before="120" w:after="120" w:line="264" w:lineRule="auto"/>
        <w:ind w:firstLine="709"/>
        <w:jc w:val="both"/>
        <w:rPr>
          <w:rFonts w:eastAsia="Times New Roman" w:cs="Times New Roman"/>
          <w:b/>
          <w:sz w:val="24"/>
          <w:szCs w:val="24"/>
          <w:lang w:val="nl-NL"/>
        </w:rPr>
      </w:pPr>
      <w:r w:rsidRPr="005C31B2">
        <w:rPr>
          <w:rFonts w:eastAsia="Times New Roman" w:cs="Times New Roman"/>
          <w:b/>
          <w:sz w:val="24"/>
          <w:szCs w:val="24"/>
          <w:lang w:val="nl-NL"/>
        </w:rPr>
        <w:t>Mục 1. Yêu cầu về kỹ thuật</w:t>
      </w:r>
    </w:p>
    <w:p w:rsidR="005C31B2" w:rsidRPr="005C31B2" w:rsidRDefault="005C31B2" w:rsidP="005C31B2">
      <w:pPr>
        <w:widowControl w:val="0"/>
        <w:numPr>
          <w:ilvl w:val="1"/>
          <w:numId w:val="1"/>
        </w:numPr>
        <w:spacing w:before="120" w:after="120" w:line="264" w:lineRule="auto"/>
        <w:contextualSpacing/>
        <w:jc w:val="both"/>
        <w:rPr>
          <w:rFonts w:eastAsia="Times New Roman" w:cs="Times New Roman"/>
          <w:b/>
          <w:i/>
          <w:sz w:val="24"/>
          <w:szCs w:val="24"/>
          <w:lang w:val="nl-NL"/>
        </w:rPr>
      </w:pPr>
      <w:r w:rsidRPr="005C31B2">
        <w:rPr>
          <w:rFonts w:eastAsia="Times New Roman" w:cs="Times New Roman"/>
          <w:b/>
          <w:i/>
          <w:sz w:val="24"/>
          <w:szCs w:val="24"/>
          <w:lang w:val="nl-NL"/>
        </w:rPr>
        <w:t>Giới thiệu chung về dự án/</w:t>
      </w:r>
      <w:r w:rsidRPr="005C31B2">
        <w:rPr>
          <w:rFonts w:eastAsia="Times New Roman" w:cs="Times New Roman"/>
          <w:b/>
          <w:i/>
          <w:sz w:val="24"/>
          <w:szCs w:val="24"/>
        </w:rPr>
        <w:t>dự toán mua sắm</w:t>
      </w:r>
      <w:r w:rsidRPr="005C31B2">
        <w:rPr>
          <w:rFonts w:eastAsia="Times New Roman" w:cs="Times New Roman"/>
          <w:b/>
          <w:i/>
          <w:sz w:val="24"/>
          <w:szCs w:val="24"/>
          <w:lang w:val="nl-NL"/>
        </w:rPr>
        <w:t>, gói thầu</w:t>
      </w:r>
    </w:p>
    <w:p w:rsidR="005C31B2" w:rsidRPr="005C31B2" w:rsidRDefault="005C31B2" w:rsidP="005C31B2">
      <w:pPr>
        <w:widowControl w:val="0"/>
        <w:spacing w:before="120" w:after="120" w:line="264" w:lineRule="auto"/>
        <w:ind w:left="1429"/>
        <w:contextualSpacing/>
        <w:jc w:val="both"/>
        <w:rPr>
          <w:rFonts w:eastAsia="Times New Roman" w:cs="Times New Roman"/>
          <w:sz w:val="24"/>
          <w:szCs w:val="24"/>
          <w:lang w:val="nl-NL"/>
        </w:rPr>
      </w:pPr>
      <w:r w:rsidRPr="005C31B2">
        <w:rPr>
          <w:rFonts w:eastAsia="Times New Roman" w:cs="Times New Roman"/>
          <w:sz w:val="24"/>
          <w:szCs w:val="24"/>
          <w:lang w:val="nl-NL"/>
        </w:rPr>
        <w:t>- Tên gói thầu: Hóa chất máy định nhóm máu tự động Ortho Vision Max;</w:t>
      </w:r>
    </w:p>
    <w:p w:rsidR="005C31B2" w:rsidRPr="005C31B2" w:rsidRDefault="005C31B2" w:rsidP="005C31B2">
      <w:pPr>
        <w:widowControl w:val="0"/>
        <w:spacing w:before="120" w:after="120" w:line="264" w:lineRule="auto"/>
        <w:ind w:left="1429"/>
        <w:contextualSpacing/>
        <w:jc w:val="both"/>
        <w:rPr>
          <w:rFonts w:eastAsia="Times New Roman" w:cs="Times New Roman"/>
          <w:sz w:val="24"/>
          <w:szCs w:val="24"/>
          <w:lang w:val="nl-NL"/>
        </w:rPr>
      </w:pPr>
      <w:r w:rsidRPr="005C31B2">
        <w:rPr>
          <w:rFonts w:eastAsia="Times New Roman" w:cs="Times New Roman"/>
          <w:sz w:val="24"/>
          <w:szCs w:val="24"/>
          <w:lang w:val="nl-NL"/>
        </w:rPr>
        <w:tab/>
        <w:t>- Địa điểm thực hiện: Bệnh viện Đa khoa Tiền Giang.</w:t>
      </w:r>
    </w:p>
    <w:p w:rsidR="005C31B2" w:rsidRPr="005C31B2" w:rsidRDefault="005C31B2" w:rsidP="005C31B2">
      <w:pPr>
        <w:widowControl w:val="0"/>
        <w:spacing w:before="120" w:after="120" w:line="264" w:lineRule="auto"/>
        <w:ind w:left="1429"/>
        <w:contextualSpacing/>
        <w:jc w:val="both"/>
        <w:rPr>
          <w:rFonts w:eastAsia="Times New Roman" w:cs="Times New Roman"/>
          <w:sz w:val="24"/>
          <w:szCs w:val="24"/>
          <w:lang w:val="nl-NL"/>
        </w:rPr>
      </w:pPr>
      <w:r w:rsidRPr="005C31B2">
        <w:rPr>
          <w:rFonts w:eastAsia="Times New Roman" w:cs="Times New Roman"/>
          <w:sz w:val="24"/>
          <w:szCs w:val="24"/>
          <w:lang w:val="nl-NL"/>
        </w:rPr>
        <w:tab/>
        <w:t>- Yêu cầu cung cấp hàng hóa: Theo phạm vi cung cấp hàng hóa nêu trong E-HSMT.</w:t>
      </w:r>
    </w:p>
    <w:p w:rsidR="005C31B2" w:rsidRPr="005C31B2" w:rsidRDefault="005C31B2" w:rsidP="005C31B2">
      <w:pPr>
        <w:widowControl w:val="0"/>
        <w:spacing w:before="120" w:after="120" w:line="264" w:lineRule="auto"/>
        <w:ind w:left="1429"/>
        <w:contextualSpacing/>
        <w:jc w:val="both"/>
        <w:rPr>
          <w:rFonts w:eastAsia="Times New Roman" w:cs="Times New Roman"/>
          <w:sz w:val="24"/>
          <w:szCs w:val="24"/>
          <w:lang w:val="nl-NL"/>
        </w:rPr>
      </w:pPr>
      <w:r w:rsidRPr="005C31B2">
        <w:rPr>
          <w:rFonts w:eastAsia="Times New Roman" w:cs="Times New Roman"/>
          <w:sz w:val="24"/>
          <w:szCs w:val="24"/>
          <w:lang w:val="nl-NL"/>
        </w:rPr>
        <w:tab/>
        <w:t xml:space="preserve">- Thời gian thực hiện gói thầu: </w:t>
      </w:r>
      <w:r w:rsidRPr="005C31B2">
        <w:rPr>
          <w:rFonts w:eastAsia="Times New Roman" w:cs="Times New Roman"/>
          <w:sz w:val="24"/>
          <w:szCs w:val="24"/>
          <w:lang w:val="vi-VN"/>
        </w:rPr>
        <w:t>24</w:t>
      </w:r>
      <w:r w:rsidRPr="005C31B2">
        <w:rPr>
          <w:rFonts w:eastAsia="Times New Roman" w:cs="Times New Roman"/>
          <w:sz w:val="24"/>
          <w:szCs w:val="24"/>
          <w:lang w:val="nl-NL"/>
        </w:rPr>
        <w:t xml:space="preserve"> tháng kể từ ngày hợp đồng có hiệu lực.</w:t>
      </w:r>
    </w:p>
    <w:p w:rsidR="005C31B2" w:rsidRPr="005C31B2" w:rsidRDefault="005C31B2" w:rsidP="005C31B2">
      <w:pPr>
        <w:widowControl w:val="0"/>
        <w:spacing w:before="120" w:after="120" w:line="264" w:lineRule="auto"/>
        <w:ind w:firstLine="709"/>
        <w:jc w:val="both"/>
        <w:rPr>
          <w:rFonts w:eastAsia="Times New Roman" w:cs="Times New Roman"/>
          <w:b/>
          <w:i/>
          <w:sz w:val="24"/>
          <w:szCs w:val="24"/>
          <w:lang w:val="nl-NL"/>
        </w:rPr>
      </w:pPr>
      <w:r w:rsidRPr="005C31B2">
        <w:rPr>
          <w:rFonts w:eastAsia="Times New Roman" w:cs="Times New Roman"/>
          <w:b/>
          <w:i/>
          <w:sz w:val="24"/>
          <w:szCs w:val="24"/>
          <w:lang w:val="nl-NL"/>
        </w:rPr>
        <w:t>1.2. Yêu cầu về kỹ thuật</w:t>
      </w:r>
    </w:p>
    <w:p w:rsidR="005C31B2" w:rsidRPr="005C31B2" w:rsidRDefault="005C31B2" w:rsidP="005C31B2">
      <w:pPr>
        <w:widowControl w:val="0"/>
        <w:spacing w:before="120" w:after="120" w:line="240" w:lineRule="auto"/>
        <w:ind w:firstLine="709"/>
        <w:jc w:val="both"/>
        <w:rPr>
          <w:rFonts w:eastAsia="Times New Roman" w:cs="Times New Roman"/>
          <w:b/>
          <w:i/>
          <w:sz w:val="24"/>
          <w:szCs w:val="24"/>
          <w:lang w:val="nl-NL"/>
        </w:rPr>
      </w:pPr>
      <w:r w:rsidRPr="005C31B2">
        <w:rPr>
          <w:rFonts w:eastAsia="Times New Roman" w:cs="Times New Roman"/>
          <w:i/>
          <w:spacing w:val="-2"/>
          <w:sz w:val="24"/>
          <w:szCs w:val="24"/>
          <w:lang w:val="nl-NL"/>
        </w:rPr>
        <w:t xml:space="preserve">a) Yêu cầu về kỹ thuật chung </w:t>
      </w:r>
      <w:r w:rsidRPr="005C31B2">
        <w:rPr>
          <w:rFonts w:eastAsia="Times New Roman" w:cs="Times New Roman"/>
          <w:spacing w:val="-2"/>
          <w:sz w:val="24"/>
          <w:szCs w:val="24"/>
          <w:lang w:val="nl-NL"/>
        </w:rPr>
        <w:t>:</w:t>
      </w:r>
      <w:r w:rsidRPr="005C31B2">
        <w:rPr>
          <w:rFonts w:eastAsia="Times New Roman" w:cs="Times New Roman"/>
          <w:b/>
          <w:i/>
          <w:sz w:val="24"/>
          <w:szCs w:val="24"/>
          <w:lang w:val="nl-NL"/>
        </w:rPr>
        <w:t xml:space="preserve"> </w:t>
      </w:r>
      <w:r w:rsidRPr="005C31B2">
        <w:rPr>
          <w:rFonts w:eastAsia="Times New Roman" w:cs="Times New Roman"/>
          <w:spacing w:val="-2"/>
          <w:sz w:val="24"/>
          <w:szCs w:val="24"/>
          <w:lang w:val="nl-NL"/>
        </w:rPr>
        <w:t>Nhà thầu có thể chào thầu những hàng hóa có thông số kỹ thuật “tương đương” hoặc “cao hơn” so với yêu cầu của HSMT.</w:t>
      </w:r>
    </w:p>
    <w:p w:rsidR="005C31B2" w:rsidRPr="005C31B2" w:rsidRDefault="005C31B2" w:rsidP="005C31B2">
      <w:pPr>
        <w:widowControl w:val="0"/>
        <w:spacing w:before="120" w:after="120" w:line="240" w:lineRule="auto"/>
        <w:ind w:firstLine="709"/>
        <w:jc w:val="both"/>
        <w:rPr>
          <w:rFonts w:eastAsia="Times New Roman" w:cs="Times New Roman"/>
          <w:spacing w:val="-2"/>
          <w:sz w:val="24"/>
          <w:szCs w:val="24"/>
          <w:lang w:val="nl-NL"/>
        </w:rPr>
      </w:pPr>
      <w:r w:rsidRPr="005C31B2">
        <w:rPr>
          <w:rFonts w:eastAsia="Times New Roman" w:cs="Times New Roman"/>
          <w:i/>
          <w:spacing w:val="-2"/>
          <w:sz w:val="24"/>
          <w:szCs w:val="24"/>
          <w:lang w:val="nl-NL"/>
        </w:rPr>
        <w:t>b) Yêu cầu về kỹ thuật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2411"/>
        <w:gridCol w:w="5902"/>
      </w:tblGrid>
      <w:tr w:rsidR="005C31B2" w:rsidRPr="005C31B2" w:rsidTr="005C31B2">
        <w:trPr>
          <w:trHeight w:val="638"/>
          <w:tblHeader/>
          <w:jc w:val="center"/>
        </w:trPr>
        <w:tc>
          <w:tcPr>
            <w:tcW w:w="390" w:type="pct"/>
            <w:shd w:val="clear" w:color="auto" w:fill="E2EFD9"/>
            <w:vAlign w:val="center"/>
          </w:tcPr>
          <w:p w:rsidR="005C31B2" w:rsidRPr="005C31B2" w:rsidRDefault="005C31B2" w:rsidP="005C31B2">
            <w:pPr>
              <w:spacing w:after="0" w:line="240" w:lineRule="auto"/>
              <w:jc w:val="center"/>
              <w:rPr>
                <w:rFonts w:eastAsia="Times New Roman" w:cs="Times New Roman"/>
                <w:b/>
                <w:iCs/>
                <w:sz w:val="20"/>
                <w:szCs w:val="20"/>
              </w:rPr>
            </w:pPr>
            <w:r w:rsidRPr="005C31B2">
              <w:rPr>
                <w:rFonts w:eastAsia="Times New Roman" w:cs="Times New Roman"/>
                <w:b/>
                <w:iCs/>
                <w:sz w:val="20"/>
                <w:szCs w:val="20"/>
              </w:rPr>
              <w:t>Hạng mục số</w:t>
            </w:r>
          </w:p>
        </w:tc>
        <w:tc>
          <w:tcPr>
            <w:tcW w:w="1337" w:type="pct"/>
            <w:shd w:val="clear" w:color="auto" w:fill="E2EFD9"/>
            <w:vAlign w:val="center"/>
          </w:tcPr>
          <w:p w:rsidR="005C31B2" w:rsidRPr="005C31B2" w:rsidRDefault="005C31B2" w:rsidP="005C31B2">
            <w:pPr>
              <w:spacing w:after="0" w:line="240" w:lineRule="auto"/>
              <w:jc w:val="center"/>
              <w:rPr>
                <w:rFonts w:eastAsia="Times New Roman" w:cs="Times New Roman"/>
                <w:b/>
                <w:iCs/>
                <w:sz w:val="20"/>
                <w:szCs w:val="20"/>
              </w:rPr>
            </w:pPr>
            <w:r w:rsidRPr="005C31B2">
              <w:rPr>
                <w:rFonts w:eastAsia="Times New Roman" w:cs="Times New Roman"/>
                <w:b/>
                <w:iCs/>
                <w:sz w:val="20"/>
                <w:szCs w:val="20"/>
              </w:rPr>
              <w:t>Tên hàng hóa/dịch vụ liên quan</w:t>
            </w:r>
          </w:p>
        </w:tc>
        <w:tc>
          <w:tcPr>
            <w:tcW w:w="3273" w:type="pct"/>
            <w:shd w:val="clear" w:color="auto" w:fill="E2EFD9"/>
            <w:vAlign w:val="center"/>
          </w:tcPr>
          <w:p w:rsidR="005C31B2" w:rsidRPr="005C31B2" w:rsidRDefault="005C31B2" w:rsidP="005C31B2">
            <w:pPr>
              <w:spacing w:after="0" w:line="240" w:lineRule="auto"/>
              <w:jc w:val="center"/>
              <w:rPr>
                <w:rFonts w:eastAsia="Times New Roman" w:cs="Times New Roman"/>
                <w:b/>
                <w:iCs/>
                <w:sz w:val="20"/>
                <w:szCs w:val="20"/>
              </w:rPr>
            </w:pPr>
            <w:r w:rsidRPr="005C31B2">
              <w:rPr>
                <w:rFonts w:eastAsia="Times New Roman" w:cs="Times New Roman"/>
                <w:b/>
                <w:iCs/>
                <w:sz w:val="20"/>
                <w:szCs w:val="20"/>
              </w:rPr>
              <w:t>Thông số kỹ thuật và các tiêu chuẩn</w:t>
            </w:r>
          </w:p>
        </w:tc>
      </w:tr>
      <w:tr w:rsidR="005C31B2" w:rsidRPr="005C31B2" w:rsidTr="00D14E95">
        <w:trPr>
          <w:trHeight w:val="590"/>
          <w:jc w:val="center"/>
        </w:trPr>
        <w:tc>
          <w:tcPr>
            <w:tcW w:w="390" w:type="pct"/>
            <w:tcBorders>
              <w:top w:val="single" w:sz="4" w:space="0" w:color="auto"/>
              <w:left w:val="single" w:sz="4" w:space="0" w:color="auto"/>
              <w:bottom w:val="single" w:sz="4" w:space="0" w:color="auto"/>
              <w:right w:val="single" w:sz="4" w:space="0" w:color="auto"/>
            </w:tcBorders>
            <w:shd w:val="clear" w:color="000000" w:fill="FFFFFF"/>
            <w:vAlign w:val="center"/>
          </w:tcPr>
          <w:p w:rsidR="005C31B2" w:rsidRPr="005C31B2" w:rsidRDefault="005C31B2" w:rsidP="005C31B2">
            <w:pPr>
              <w:spacing w:after="0" w:line="240" w:lineRule="auto"/>
              <w:rPr>
                <w:rFonts w:eastAsia="Times New Roman" w:cs="Times New Roman"/>
                <w:iCs/>
                <w:sz w:val="20"/>
                <w:szCs w:val="20"/>
              </w:rPr>
            </w:pPr>
            <w:r w:rsidRPr="005C31B2">
              <w:rPr>
                <w:rFonts w:eastAsia="Times New Roman" w:cs="Times New Roman"/>
                <w:sz w:val="20"/>
                <w:szCs w:val="20"/>
                <w:lang w:val="vi-VN"/>
              </w:rPr>
              <w:t xml:space="preserve">   </w:t>
            </w:r>
            <w:r w:rsidRPr="005C31B2">
              <w:rPr>
                <w:rFonts w:eastAsia="Times New Roman" w:cs="Times New Roman"/>
                <w:sz w:val="20"/>
                <w:szCs w:val="20"/>
              </w:rPr>
              <w:t>1</w:t>
            </w:r>
          </w:p>
        </w:tc>
        <w:tc>
          <w:tcPr>
            <w:tcW w:w="1337" w:type="pct"/>
            <w:tcBorders>
              <w:top w:val="single" w:sz="4" w:space="0" w:color="auto"/>
              <w:left w:val="nil"/>
              <w:bottom w:val="single" w:sz="4" w:space="0" w:color="auto"/>
              <w:right w:val="single" w:sz="4" w:space="0" w:color="auto"/>
            </w:tcBorders>
            <w:shd w:val="clear" w:color="000000" w:fill="FFFFFF"/>
            <w:vAlign w:val="center"/>
          </w:tcPr>
          <w:p w:rsidR="005C31B2" w:rsidRPr="005C31B2" w:rsidRDefault="005C31B2" w:rsidP="005C31B2">
            <w:pPr>
              <w:spacing w:after="0" w:line="240" w:lineRule="auto"/>
              <w:rPr>
                <w:rFonts w:eastAsia="Times New Roman" w:cs="Times New Roman"/>
                <w:iCs/>
                <w:sz w:val="20"/>
                <w:szCs w:val="20"/>
              </w:rPr>
            </w:pPr>
            <w:r w:rsidRPr="005C31B2">
              <w:rPr>
                <w:rFonts w:eastAsia="Times New Roman" w:cs="Times New Roman"/>
                <w:sz w:val="20"/>
                <w:szCs w:val="20"/>
              </w:rPr>
              <w:t>Thẻ xét nghiệm định tính nhóm máu hệ ABO và Rh (D) theo phương pháp huyết thanh mẫu và hồng cầu mẫu</w:t>
            </w:r>
          </w:p>
        </w:tc>
        <w:tc>
          <w:tcPr>
            <w:tcW w:w="3273" w:type="pct"/>
            <w:tcBorders>
              <w:top w:val="single" w:sz="4" w:space="0" w:color="auto"/>
              <w:left w:val="nil"/>
              <w:bottom w:val="single" w:sz="4" w:space="0" w:color="auto"/>
              <w:right w:val="single" w:sz="4" w:space="0" w:color="auto"/>
            </w:tcBorders>
            <w:shd w:val="clear" w:color="000000" w:fill="FFFFFF"/>
            <w:vAlign w:val="center"/>
          </w:tcPr>
          <w:p w:rsidR="005C31B2" w:rsidRPr="005C31B2" w:rsidRDefault="005C31B2" w:rsidP="005C31B2">
            <w:pPr>
              <w:spacing w:after="0" w:line="240" w:lineRule="auto"/>
              <w:rPr>
                <w:rFonts w:eastAsia="Times New Roman" w:cs="Times New Roman"/>
                <w:iCs/>
                <w:sz w:val="20"/>
                <w:szCs w:val="20"/>
              </w:rPr>
            </w:pPr>
            <w:r w:rsidRPr="005C31B2">
              <w:rPr>
                <w:rFonts w:eastAsia="Times New Roman" w:cs="Times New Roman"/>
                <w:sz w:val="20"/>
                <w:szCs w:val="20"/>
              </w:rPr>
              <w:t>* Thành phần:</w:t>
            </w:r>
            <w:r w:rsidRPr="005C31B2">
              <w:rPr>
                <w:rFonts w:eastAsia="Times New Roman" w:cs="Times New Roman"/>
                <w:sz w:val="20"/>
                <w:szCs w:val="20"/>
              </w:rPr>
              <w:br/>
              <w:t>Cassette bao gồm có 6 cột:</w:t>
            </w:r>
            <w:r w:rsidRPr="005C31B2">
              <w:rPr>
                <w:rFonts w:eastAsia="Times New Roman" w:cs="Times New Roman"/>
                <w:sz w:val="20"/>
                <w:szCs w:val="20"/>
              </w:rPr>
              <w:br/>
              <w:t>-  Cột 1: Hỗn hợp kháng thể đơn dòng Anti-A (IgM)</w:t>
            </w:r>
            <w:r w:rsidRPr="005C31B2">
              <w:rPr>
                <w:rFonts w:eastAsia="Times New Roman" w:cs="Times New Roman"/>
                <w:sz w:val="20"/>
                <w:szCs w:val="20"/>
              </w:rPr>
              <w:br/>
              <w:t xml:space="preserve">-  Cột 2: Hỗn hợp kháng thể đơn dòng Anti-B (IgM) </w:t>
            </w:r>
            <w:r w:rsidRPr="005C31B2">
              <w:rPr>
                <w:rFonts w:eastAsia="Times New Roman" w:cs="Times New Roman"/>
                <w:sz w:val="20"/>
                <w:szCs w:val="20"/>
              </w:rPr>
              <w:br/>
              <w:t>-  Cột 3:  Kháng thể đơn dòng Anti-D (IgM)</w:t>
            </w:r>
            <w:r w:rsidRPr="005C31B2">
              <w:rPr>
                <w:rFonts w:eastAsia="Times New Roman" w:cs="Times New Roman"/>
                <w:sz w:val="20"/>
                <w:szCs w:val="20"/>
              </w:rPr>
              <w:br/>
              <w:t>-  Cột 4: Dung dịch đệm sử dụng như tự chứng cho các xét nghiệm nhóm máu</w:t>
            </w:r>
            <w:r w:rsidRPr="005C31B2">
              <w:rPr>
                <w:rFonts w:eastAsia="Times New Roman" w:cs="Times New Roman"/>
                <w:sz w:val="20"/>
                <w:szCs w:val="20"/>
              </w:rPr>
              <w:br/>
              <w:t>-  Cột 5 và 6: Dung dịch đệm được sử dụng trong xét nghiệm nhóm máu ngược.</w:t>
            </w:r>
          </w:p>
        </w:tc>
      </w:tr>
      <w:tr w:rsidR="005C31B2" w:rsidRPr="005C31B2" w:rsidTr="00D14E95">
        <w:trPr>
          <w:trHeight w:val="840"/>
          <w:jc w:val="center"/>
        </w:trPr>
        <w:tc>
          <w:tcPr>
            <w:tcW w:w="390" w:type="pct"/>
            <w:tcBorders>
              <w:top w:val="nil"/>
              <w:left w:val="single" w:sz="4" w:space="0" w:color="auto"/>
              <w:bottom w:val="single" w:sz="4" w:space="0" w:color="auto"/>
              <w:right w:val="single" w:sz="4" w:space="0" w:color="auto"/>
            </w:tcBorders>
            <w:shd w:val="clear" w:color="000000" w:fill="FFFFFF"/>
            <w:vAlign w:val="center"/>
          </w:tcPr>
          <w:p w:rsidR="005C31B2" w:rsidRPr="005C31B2" w:rsidRDefault="005C31B2" w:rsidP="005C31B2">
            <w:pPr>
              <w:spacing w:after="0" w:line="240" w:lineRule="auto"/>
              <w:rPr>
                <w:rFonts w:eastAsia="Times New Roman" w:cs="Times New Roman"/>
                <w:iCs/>
                <w:sz w:val="20"/>
                <w:szCs w:val="20"/>
              </w:rPr>
            </w:pPr>
            <w:r w:rsidRPr="005C31B2">
              <w:rPr>
                <w:rFonts w:eastAsia="Times New Roman" w:cs="Times New Roman"/>
                <w:sz w:val="20"/>
                <w:szCs w:val="20"/>
                <w:lang w:val="vi-VN"/>
              </w:rPr>
              <w:t xml:space="preserve">   </w:t>
            </w:r>
            <w:r w:rsidRPr="005C31B2">
              <w:rPr>
                <w:rFonts w:eastAsia="Times New Roman" w:cs="Times New Roman"/>
                <w:sz w:val="20"/>
                <w:szCs w:val="20"/>
              </w:rPr>
              <w:t>2</w:t>
            </w:r>
          </w:p>
        </w:tc>
        <w:tc>
          <w:tcPr>
            <w:tcW w:w="1337" w:type="pct"/>
            <w:tcBorders>
              <w:top w:val="nil"/>
              <w:left w:val="nil"/>
              <w:bottom w:val="single" w:sz="4" w:space="0" w:color="auto"/>
              <w:right w:val="single" w:sz="4" w:space="0" w:color="auto"/>
            </w:tcBorders>
            <w:shd w:val="clear" w:color="000000" w:fill="FFFFFF"/>
            <w:vAlign w:val="center"/>
          </w:tcPr>
          <w:p w:rsidR="005C31B2" w:rsidRPr="005C31B2" w:rsidRDefault="005C31B2" w:rsidP="005C31B2">
            <w:pPr>
              <w:spacing w:after="0" w:line="240" w:lineRule="auto"/>
              <w:rPr>
                <w:rFonts w:eastAsia="Times New Roman" w:cs="Times New Roman"/>
                <w:iCs/>
                <w:sz w:val="20"/>
                <w:szCs w:val="20"/>
              </w:rPr>
            </w:pPr>
            <w:r w:rsidRPr="005C31B2">
              <w:rPr>
                <w:rFonts w:eastAsia="Times New Roman" w:cs="Times New Roman"/>
                <w:sz w:val="20"/>
                <w:szCs w:val="20"/>
              </w:rPr>
              <w:t>Thẻ xét nghiệm định tính nhóm máu hệ ABO và Rh (D) theo phương pháp huyết thanh mẫu</w:t>
            </w:r>
          </w:p>
        </w:tc>
        <w:tc>
          <w:tcPr>
            <w:tcW w:w="3273" w:type="pct"/>
            <w:tcBorders>
              <w:top w:val="nil"/>
              <w:left w:val="nil"/>
              <w:bottom w:val="single" w:sz="4" w:space="0" w:color="auto"/>
              <w:right w:val="single" w:sz="4" w:space="0" w:color="auto"/>
            </w:tcBorders>
            <w:shd w:val="clear" w:color="000000" w:fill="FFFFFF"/>
            <w:vAlign w:val="center"/>
          </w:tcPr>
          <w:p w:rsidR="005C31B2" w:rsidRPr="005C31B2" w:rsidRDefault="005C31B2" w:rsidP="005C31B2">
            <w:pPr>
              <w:spacing w:after="0" w:line="240" w:lineRule="auto"/>
              <w:rPr>
                <w:rFonts w:eastAsia="Times New Roman" w:cs="Times New Roman"/>
                <w:iCs/>
                <w:sz w:val="20"/>
                <w:szCs w:val="20"/>
              </w:rPr>
            </w:pPr>
            <w:r w:rsidRPr="005C31B2">
              <w:rPr>
                <w:rFonts w:eastAsia="Times New Roman" w:cs="Times New Roman"/>
                <w:sz w:val="20"/>
                <w:szCs w:val="20"/>
              </w:rPr>
              <w:t>Cassette bao gồm 6 cột:</w:t>
            </w:r>
            <w:r w:rsidRPr="005C31B2">
              <w:rPr>
                <w:rFonts w:eastAsia="Times New Roman" w:cs="Times New Roman"/>
                <w:sz w:val="20"/>
                <w:szCs w:val="20"/>
              </w:rPr>
              <w:br/>
              <w:t>- Cột 1 và 4: Thuốc thử nhóm máu Anti-A (Anti-ABO1): Hỗn hợp kháng thể đơn dòng Anti-A (IgM)</w:t>
            </w:r>
            <w:r w:rsidRPr="005C31B2">
              <w:rPr>
                <w:rFonts w:eastAsia="Times New Roman" w:cs="Times New Roman"/>
                <w:sz w:val="20"/>
                <w:szCs w:val="20"/>
              </w:rPr>
              <w:br/>
              <w:t xml:space="preserve">- Cột 2 và 5: Thuốc thử nhóm máu Anti-B (Anti-ABO2): Hỗn hợp kháng thể đơn dòng Anti-B (IgM) </w:t>
            </w:r>
            <w:r w:rsidRPr="005C31B2">
              <w:rPr>
                <w:rFonts w:eastAsia="Times New Roman" w:cs="Times New Roman"/>
                <w:sz w:val="20"/>
                <w:szCs w:val="20"/>
              </w:rPr>
              <w:br/>
              <w:t>- Cột 3 và 6: Thuốc thử nhóm máu Anti-D (Anti-RH1): Kháng thể đơn dòng  Anti-D (IgM)</w:t>
            </w:r>
          </w:p>
        </w:tc>
      </w:tr>
      <w:tr w:rsidR="005C31B2" w:rsidRPr="005C31B2" w:rsidTr="00D14E95">
        <w:trPr>
          <w:trHeight w:val="560"/>
          <w:jc w:val="center"/>
        </w:trPr>
        <w:tc>
          <w:tcPr>
            <w:tcW w:w="390" w:type="pct"/>
            <w:tcBorders>
              <w:top w:val="nil"/>
              <w:left w:val="single" w:sz="4" w:space="0" w:color="auto"/>
              <w:bottom w:val="single" w:sz="4" w:space="0" w:color="auto"/>
              <w:right w:val="single" w:sz="4" w:space="0" w:color="auto"/>
            </w:tcBorders>
            <w:shd w:val="clear" w:color="000000" w:fill="FFFFFF"/>
            <w:vAlign w:val="center"/>
          </w:tcPr>
          <w:p w:rsidR="005C31B2" w:rsidRPr="005C31B2" w:rsidRDefault="005C31B2" w:rsidP="005C31B2">
            <w:pPr>
              <w:spacing w:after="0" w:line="240" w:lineRule="auto"/>
              <w:rPr>
                <w:rFonts w:eastAsia="Times New Roman" w:cs="Times New Roman"/>
                <w:sz w:val="20"/>
                <w:szCs w:val="20"/>
              </w:rPr>
            </w:pPr>
            <w:r w:rsidRPr="005C31B2">
              <w:rPr>
                <w:rFonts w:eastAsia="Times New Roman" w:cs="Times New Roman"/>
                <w:sz w:val="20"/>
                <w:szCs w:val="20"/>
                <w:lang w:val="vi-VN"/>
              </w:rPr>
              <w:t xml:space="preserve">   </w:t>
            </w:r>
            <w:r w:rsidRPr="005C31B2">
              <w:rPr>
                <w:rFonts w:eastAsia="Times New Roman" w:cs="Times New Roman"/>
                <w:sz w:val="20"/>
                <w:szCs w:val="20"/>
              </w:rPr>
              <w:t>3</w:t>
            </w:r>
          </w:p>
        </w:tc>
        <w:tc>
          <w:tcPr>
            <w:tcW w:w="1337" w:type="pct"/>
            <w:tcBorders>
              <w:top w:val="nil"/>
              <w:left w:val="nil"/>
              <w:bottom w:val="single" w:sz="4" w:space="0" w:color="auto"/>
              <w:right w:val="single" w:sz="4" w:space="0" w:color="auto"/>
            </w:tcBorders>
            <w:shd w:val="clear" w:color="000000" w:fill="FFFFFF"/>
            <w:vAlign w:val="center"/>
          </w:tcPr>
          <w:p w:rsidR="005C31B2" w:rsidRPr="005C31B2" w:rsidRDefault="005C31B2" w:rsidP="005C31B2">
            <w:pPr>
              <w:spacing w:after="0" w:line="240" w:lineRule="auto"/>
              <w:rPr>
                <w:rFonts w:eastAsia="Times New Roman" w:cs="Times New Roman"/>
                <w:sz w:val="20"/>
                <w:szCs w:val="20"/>
              </w:rPr>
            </w:pPr>
            <w:r w:rsidRPr="005C31B2">
              <w:rPr>
                <w:rFonts w:eastAsia="Times New Roman" w:cs="Times New Roman"/>
                <w:sz w:val="20"/>
                <w:szCs w:val="20"/>
              </w:rPr>
              <w:t>Thẻ xét nghiệm định tính IgG dạng kết hợp với hồng cầu</w:t>
            </w:r>
          </w:p>
        </w:tc>
        <w:tc>
          <w:tcPr>
            <w:tcW w:w="3273" w:type="pct"/>
            <w:tcBorders>
              <w:top w:val="nil"/>
              <w:left w:val="nil"/>
              <w:bottom w:val="single" w:sz="4" w:space="0" w:color="auto"/>
              <w:right w:val="single" w:sz="4" w:space="0" w:color="auto"/>
            </w:tcBorders>
            <w:shd w:val="clear" w:color="000000" w:fill="FFFFFF"/>
            <w:vAlign w:val="center"/>
          </w:tcPr>
          <w:p w:rsidR="005C31B2" w:rsidRPr="005C31B2" w:rsidRDefault="005C31B2" w:rsidP="005C31B2">
            <w:pPr>
              <w:spacing w:after="0" w:line="240" w:lineRule="auto"/>
              <w:rPr>
                <w:rFonts w:eastAsia="Times New Roman" w:cs="Times New Roman"/>
                <w:sz w:val="20"/>
                <w:szCs w:val="20"/>
              </w:rPr>
            </w:pPr>
            <w:r w:rsidRPr="005C31B2">
              <w:rPr>
                <w:rFonts w:eastAsia="Times New Roman" w:cs="Times New Roman"/>
                <w:sz w:val="20"/>
                <w:szCs w:val="20"/>
              </w:rPr>
              <w:t>Cassette bao gồm có 6 cột:</w:t>
            </w:r>
            <w:r w:rsidRPr="005C31B2">
              <w:rPr>
                <w:rFonts w:eastAsia="Times New Roman" w:cs="Times New Roman"/>
                <w:sz w:val="20"/>
                <w:szCs w:val="20"/>
              </w:rPr>
              <w:br/>
              <w:t>-  Cột 1 đến 6: Anti-Human Globulin, Anti-IgG</w:t>
            </w:r>
          </w:p>
        </w:tc>
      </w:tr>
      <w:tr w:rsidR="005C31B2" w:rsidRPr="005C31B2" w:rsidTr="00D14E95">
        <w:trPr>
          <w:trHeight w:val="689"/>
          <w:jc w:val="center"/>
        </w:trPr>
        <w:tc>
          <w:tcPr>
            <w:tcW w:w="390" w:type="pct"/>
            <w:tcBorders>
              <w:top w:val="nil"/>
              <w:left w:val="single" w:sz="4" w:space="0" w:color="auto"/>
              <w:bottom w:val="single" w:sz="4" w:space="0" w:color="auto"/>
              <w:right w:val="single" w:sz="4" w:space="0" w:color="auto"/>
            </w:tcBorders>
            <w:shd w:val="clear" w:color="000000" w:fill="FFFFFF"/>
            <w:vAlign w:val="center"/>
          </w:tcPr>
          <w:p w:rsidR="005C31B2" w:rsidRPr="005C31B2" w:rsidRDefault="005C31B2" w:rsidP="005C31B2">
            <w:pPr>
              <w:spacing w:after="0" w:line="240" w:lineRule="auto"/>
              <w:rPr>
                <w:rFonts w:eastAsia="Times New Roman" w:cs="Times New Roman"/>
                <w:sz w:val="20"/>
                <w:szCs w:val="20"/>
              </w:rPr>
            </w:pPr>
            <w:r w:rsidRPr="005C31B2">
              <w:rPr>
                <w:rFonts w:eastAsia="Times New Roman" w:cs="Times New Roman"/>
                <w:sz w:val="20"/>
                <w:szCs w:val="20"/>
                <w:lang w:val="vi-VN"/>
              </w:rPr>
              <w:t xml:space="preserve">   </w:t>
            </w:r>
            <w:r w:rsidRPr="005C31B2">
              <w:rPr>
                <w:rFonts w:eastAsia="Times New Roman" w:cs="Times New Roman"/>
                <w:sz w:val="20"/>
                <w:szCs w:val="20"/>
              </w:rPr>
              <w:t>4</w:t>
            </w:r>
          </w:p>
        </w:tc>
        <w:tc>
          <w:tcPr>
            <w:tcW w:w="1337" w:type="pct"/>
            <w:tcBorders>
              <w:top w:val="nil"/>
              <w:left w:val="nil"/>
              <w:bottom w:val="single" w:sz="4" w:space="0" w:color="auto"/>
              <w:right w:val="single" w:sz="4" w:space="0" w:color="auto"/>
            </w:tcBorders>
            <w:shd w:val="clear" w:color="000000" w:fill="FFFFFF"/>
            <w:vAlign w:val="center"/>
          </w:tcPr>
          <w:p w:rsidR="005C31B2" w:rsidRPr="005C31B2" w:rsidRDefault="005C31B2" w:rsidP="005C31B2">
            <w:pPr>
              <w:spacing w:after="0" w:line="240" w:lineRule="auto"/>
              <w:rPr>
                <w:rFonts w:eastAsia="Times New Roman" w:cs="Times New Roman"/>
                <w:sz w:val="20"/>
                <w:szCs w:val="20"/>
              </w:rPr>
            </w:pPr>
            <w:r w:rsidRPr="005C31B2">
              <w:rPr>
                <w:rFonts w:eastAsia="Times New Roman" w:cs="Times New Roman"/>
                <w:sz w:val="20"/>
                <w:szCs w:val="20"/>
              </w:rPr>
              <w:t>Thẻ xét nghiệm định tính nhóm máu hệ ABO phương pháp hồng cầu mẫu, kháng thể bất thường và hòa hợp</w:t>
            </w:r>
          </w:p>
        </w:tc>
        <w:tc>
          <w:tcPr>
            <w:tcW w:w="3273" w:type="pct"/>
            <w:tcBorders>
              <w:top w:val="nil"/>
              <w:left w:val="nil"/>
              <w:bottom w:val="single" w:sz="4" w:space="0" w:color="auto"/>
              <w:right w:val="single" w:sz="4" w:space="0" w:color="auto"/>
            </w:tcBorders>
            <w:shd w:val="clear" w:color="000000" w:fill="FFFFFF"/>
            <w:vAlign w:val="center"/>
          </w:tcPr>
          <w:p w:rsidR="005C31B2" w:rsidRPr="005C31B2" w:rsidRDefault="005C31B2" w:rsidP="005C31B2">
            <w:pPr>
              <w:spacing w:after="0" w:line="240" w:lineRule="auto"/>
              <w:rPr>
                <w:rFonts w:eastAsia="Times New Roman" w:cs="Times New Roman"/>
                <w:sz w:val="20"/>
                <w:szCs w:val="20"/>
              </w:rPr>
            </w:pPr>
            <w:r w:rsidRPr="005C31B2">
              <w:rPr>
                <w:rFonts w:eastAsia="Times New Roman" w:cs="Times New Roman"/>
                <w:sz w:val="20"/>
                <w:szCs w:val="20"/>
              </w:rPr>
              <w:t>Cassette bao gồm có 6 cột:</w:t>
            </w:r>
            <w:r w:rsidRPr="005C31B2">
              <w:rPr>
                <w:rFonts w:eastAsia="Times New Roman" w:cs="Times New Roman"/>
                <w:sz w:val="20"/>
                <w:szCs w:val="20"/>
              </w:rPr>
              <w:br/>
              <w:t>-  Cột 1 đến 6:  Chất tăng cường được tối ưu hóa để sử dụng trong xét nghiệm định nhóm máu ngược.</w:t>
            </w:r>
          </w:p>
        </w:tc>
      </w:tr>
      <w:tr w:rsidR="005C31B2" w:rsidRPr="005C31B2" w:rsidTr="00D14E95">
        <w:trPr>
          <w:trHeight w:val="756"/>
          <w:jc w:val="center"/>
        </w:trPr>
        <w:tc>
          <w:tcPr>
            <w:tcW w:w="390" w:type="pct"/>
            <w:tcBorders>
              <w:top w:val="nil"/>
              <w:left w:val="single" w:sz="4" w:space="0" w:color="auto"/>
              <w:bottom w:val="single" w:sz="4" w:space="0" w:color="auto"/>
              <w:right w:val="single" w:sz="4" w:space="0" w:color="auto"/>
            </w:tcBorders>
            <w:shd w:val="clear" w:color="000000" w:fill="FFFFFF"/>
            <w:vAlign w:val="center"/>
          </w:tcPr>
          <w:p w:rsidR="005C31B2" w:rsidRPr="005C31B2" w:rsidRDefault="005C31B2" w:rsidP="005C31B2">
            <w:pPr>
              <w:spacing w:after="0" w:line="240" w:lineRule="auto"/>
              <w:rPr>
                <w:rFonts w:eastAsia="Times New Roman" w:cs="Times New Roman"/>
                <w:sz w:val="20"/>
                <w:szCs w:val="20"/>
              </w:rPr>
            </w:pPr>
            <w:r w:rsidRPr="005C31B2">
              <w:rPr>
                <w:rFonts w:eastAsia="Times New Roman" w:cs="Times New Roman"/>
                <w:sz w:val="20"/>
                <w:szCs w:val="20"/>
                <w:lang w:val="vi-VN"/>
              </w:rPr>
              <w:t xml:space="preserve">   </w:t>
            </w:r>
            <w:r w:rsidRPr="005C31B2">
              <w:rPr>
                <w:rFonts w:eastAsia="Times New Roman" w:cs="Times New Roman"/>
                <w:sz w:val="20"/>
                <w:szCs w:val="20"/>
              </w:rPr>
              <w:t>5</w:t>
            </w:r>
          </w:p>
        </w:tc>
        <w:tc>
          <w:tcPr>
            <w:tcW w:w="1337" w:type="pct"/>
            <w:tcBorders>
              <w:top w:val="nil"/>
              <w:left w:val="nil"/>
              <w:bottom w:val="single" w:sz="4" w:space="0" w:color="auto"/>
              <w:right w:val="single" w:sz="4" w:space="0" w:color="auto"/>
            </w:tcBorders>
            <w:shd w:val="clear" w:color="000000" w:fill="FFFFFF"/>
            <w:vAlign w:val="center"/>
          </w:tcPr>
          <w:p w:rsidR="005C31B2" w:rsidRPr="005C31B2" w:rsidRDefault="005C31B2" w:rsidP="005C31B2">
            <w:pPr>
              <w:spacing w:after="0" w:line="240" w:lineRule="auto"/>
              <w:rPr>
                <w:rFonts w:eastAsia="Times New Roman" w:cs="Times New Roman"/>
                <w:sz w:val="20"/>
                <w:szCs w:val="20"/>
              </w:rPr>
            </w:pPr>
            <w:r w:rsidRPr="005C31B2">
              <w:rPr>
                <w:rFonts w:eastAsia="Times New Roman" w:cs="Times New Roman"/>
                <w:sz w:val="20"/>
                <w:szCs w:val="20"/>
              </w:rPr>
              <w:t>Thẻ xét nghiệm nhóm máu hệ ABO, hệ Rh (D) và nghiệm pháp Coombs trực tiếp cho trẻ sơ sinh</w:t>
            </w:r>
          </w:p>
        </w:tc>
        <w:tc>
          <w:tcPr>
            <w:tcW w:w="3273" w:type="pct"/>
            <w:tcBorders>
              <w:top w:val="nil"/>
              <w:left w:val="nil"/>
              <w:bottom w:val="single" w:sz="4" w:space="0" w:color="auto"/>
              <w:right w:val="single" w:sz="4" w:space="0" w:color="auto"/>
            </w:tcBorders>
            <w:shd w:val="clear" w:color="000000" w:fill="FFFFFF"/>
            <w:vAlign w:val="center"/>
          </w:tcPr>
          <w:p w:rsidR="005C31B2" w:rsidRPr="005C31B2" w:rsidRDefault="005C31B2" w:rsidP="005C31B2">
            <w:pPr>
              <w:spacing w:after="0" w:line="240" w:lineRule="auto"/>
              <w:rPr>
                <w:rFonts w:eastAsia="Times New Roman" w:cs="Times New Roman"/>
                <w:sz w:val="20"/>
                <w:szCs w:val="20"/>
              </w:rPr>
            </w:pPr>
            <w:r w:rsidRPr="005C31B2">
              <w:rPr>
                <w:rFonts w:eastAsia="Times New Roman" w:cs="Times New Roman"/>
                <w:sz w:val="20"/>
                <w:szCs w:val="20"/>
              </w:rPr>
              <w:t>Cassette bao gồm có 6 cột:</w:t>
            </w:r>
            <w:r w:rsidRPr="005C31B2">
              <w:rPr>
                <w:rFonts w:eastAsia="Times New Roman" w:cs="Times New Roman"/>
                <w:sz w:val="20"/>
                <w:szCs w:val="20"/>
              </w:rPr>
              <w:br/>
              <w:t xml:space="preserve">- Cột 1: Hỗn hợp kháng thể đơn dòng (IgM) anti-A </w:t>
            </w:r>
            <w:r w:rsidRPr="005C31B2">
              <w:rPr>
                <w:rFonts w:eastAsia="Times New Roman" w:cs="Times New Roman"/>
                <w:sz w:val="20"/>
                <w:szCs w:val="20"/>
              </w:rPr>
              <w:br/>
              <w:t>- Cột 2: Hỗn hợp kháng thể đơn dòng (IgM) anti-B</w:t>
            </w:r>
            <w:r w:rsidRPr="005C31B2">
              <w:rPr>
                <w:rFonts w:eastAsia="Times New Roman" w:cs="Times New Roman"/>
                <w:sz w:val="20"/>
                <w:szCs w:val="20"/>
              </w:rPr>
              <w:br/>
              <w:t>- Cột 3: Hỗn hợp kháng thể đơn dòng (IgM) anti-A,B</w:t>
            </w:r>
            <w:r w:rsidRPr="005C31B2">
              <w:rPr>
                <w:rFonts w:eastAsia="Times New Roman" w:cs="Times New Roman"/>
                <w:sz w:val="20"/>
                <w:szCs w:val="20"/>
              </w:rPr>
              <w:br/>
              <w:t xml:space="preserve">- Cột 4: Hỗn hợp kháng thể đơn dòng (IgM) anti-D </w:t>
            </w:r>
            <w:r w:rsidRPr="005C31B2">
              <w:rPr>
                <w:rFonts w:eastAsia="Times New Roman" w:cs="Times New Roman"/>
                <w:sz w:val="20"/>
                <w:szCs w:val="20"/>
              </w:rPr>
              <w:br/>
              <w:t>- Cột 5: Dung dịch đệm được tối ưu hóa để sử dụng như tự chứng cho các xét nghiệm nhóm máu</w:t>
            </w:r>
            <w:r w:rsidRPr="005C31B2">
              <w:rPr>
                <w:rFonts w:eastAsia="Times New Roman" w:cs="Times New Roman"/>
                <w:sz w:val="20"/>
                <w:szCs w:val="20"/>
              </w:rPr>
              <w:br/>
              <w:t>- Cột 6: Anti-IgG</w:t>
            </w:r>
          </w:p>
        </w:tc>
      </w:tr>
      <w:tr w:rsidR="005C31B2" w:rsidRPr="005C31B2" w:rsidTr="00D14E95">
        <w:trPr>
          <w:trHeight w:val="650"/>
          <w:jc w:val="center"/>
        </w:trPr>
        <w:tc>
          <w:tcPr>
            <w:tcW w:w="390" w:type="pct"/>
            <w:tcBorders>
              <w:top w:val="nil"/>
              <w:left w:val="single" w:sz="4" w:space="0" w:color="auto"/>
              <w:bottom w:val="single" w:sz="4" w:space="0" w:color="auto"/>
              <w:right w:val="single" w:sz="4" w:space="0" w:color="auto"/>
            </w:tcBorders>
            <w:shd w:val="clear" w:color="000000" w:fill="FFFFFF"/>
            <w:vAlign w:val="center"/>
          </w:tcPr>
          <w:p w:rsidR="005C31B2" w:rsidRPr="005C31B2" w:rsidRDefault="005C31B2" w:rsidP="005C31B2">
            <w:pPr>
              <w:spacing w:after="0" w:line="240" w:lineRule="auto"/>
              <w:rPr>
                <w:rFonts w:eastAsia="Times New Roman" w:cs="Times New Roman"/>
                <w:sz w:val="20"/>
                <w:szCs w:val="20"/>
              </w:rPr>
            </w:pPr>
            <w:r w:rsidRPr="005C31B2">
              <w:rPr>
                <w:rFonts w:eastAsia="Times New Roman" w:cs="Times New Roman"/>
                <w:sz w:val="20"/>
                <w:szCs w:val="20"/>
                <w:lang w:val="vi-VN"/>
              </w:rPr>
              <w:lastRenderedPageBreak/>
              <w:t xml:space="preserve">   </w:t>
            </w:r>
            <w:r w:rsidRPr="005C31B2">
              <w:rPr>
                <w:rFonts w:eastAsia="Times New Roman" w:cs="Times New Roman"/>
                <w:sz w:val="20"/>
                <w:szCs w:val="20"/>
              </w:rPr>
              <w:t>6</w:t>
            </w:r>
          </w:p>
        </w:tc>
        <w:tc>
          <w:tcPr>
            <w:tcW w:w="1337" w:type="pct"/>
            <w:tcBorders>
              <w:top w:val="nil"/>
              <w:left w:val="nil"/>
              <w:bottom w:val="single" w:sz="4" w:space="0" w:color="auto"/>
              <w:right w:val="single" w:sz="4" w:space="0" w:color="auto"/>
            </w:tcBorders>
            <w:shd w:val="clear" w:color="000000" w:fill="FFFFFF"/>
            <w:vAlign w:val="center"/>
          </w:tcPr>
          <w:p w:rsidR="005C31B2" w:rsidRPr="005C31B2" w:rsidRDefault="005C31B2" w:rsidP="005C31B2">
            <w:pPr>
              <w:spacing w:after="0" w:line="240" w:lineRule="auto"/>
              <w:rPr>
                <w:rFonts w:eastAsia="Times New Roman" w:cs="Times New Roman"/>
                <w:sz w:val="20"/>
                <w:szCs w:val="20"/>
              </w:rPr>
            </w:pPr>
            <w:r w:rsidRPr="005C31B2">
              <w:rPr>
                <w:rFonts w:eastAsia="Times New Roman" w:cs="Times New Roman"/>
                <w:sz w:val="20"/>
                <w:szCs w:val="20"/>
              </w:rPr>
              <w:t>Dung dịch đệm tăng cường phản ứng</w:t>
            </w:r>
          </w:p>
        </w:tc>
        <w:tc>
          <w:tcPr>
            <w:tcW w:w="3273" w:type="pct"/>
            <w:tcBorders>
              <w:top w:val="nil"/>
              <w:left w:val="nil"/>
              <w:bottom w:val="single" w:sz="4" w:space="0" w:color="auto"/>
              <w:right w:val="single" w:sz="4" w:space="0" w:color="auto"/>
            </w:tcBorders>
            <w:shd w:val="clear" w:color="000000" w:fill="FFFFFF"/>
            <w:vAlign w:val="center"/>
          </w:tcPr>
          <w:p w:rsidR="005C31B2" w:rsidRPr="005C31B2" w:rsidRDefault="005C31B2" w:rsidP="005C31B2">
            <w:pPr>
              <w:spacing w:after="0" w:line="240" w:lineRule="auto"/>
              <w:rPr>
                <w:rFonts w:eastAsia="Times New Roman" w:cs="Times New Roman"/>
                <w:sz w:val="20"/>
                <w:szCs w:val="20"/>
              </w:rPr>
            </w:pPr>
            <w:r w:rsidRPr="005C31B2">
              <w:rPr>
                <w:rFonts w:eastAsia="Times New Roman" w:cs="Times New Roman"/>
                <w:sz w:val="20"/>
                <w:szCs w:val="20"/>
              </w:rPr>
              <w:t>Dung dịch có nồng độ ion thấp (LISS) được sử dụng để tối ưu nồng độ ion cho sự bắt giữ kháng thể.</w:t>
            </w:r>
          </w:p>
        </w:tc>
      </w:tr>
      <w:tr w:rsidR="005C31B2" w:rsidRPr="005C31B2" w:rsidTr="00D14E95">
        <w:trPr>
          <w:trHeight w:val="692"/>
          <w:jc w:val="center"/>
        </w:trPr>
        <w:tc>
          <w:tcPr>
            <w:tcW w:w="390" w:type="pct"/>
            <w:tcBorders>
              <w:top w:val="nil"/>
              <w:left w:val="single" w:sz="4" w:space="0" w:color="auto"/>
              <w:bottom w:val="single" w:sz="4" w:space="0" w:color="auto"/>
              <w:right w:val="single" w:sz="4" w:space="0" w:color="auto"/>
            </w:tcBorders>
            <w:shd w:val="clear" w:color="000000" w:fill="FFFFFF"/>
            <w:vAlign w:val="center"/>
          </w:tcPr>
          <w:p w:rsidR="005C31B2" w:rsidRPr="005C31B2" w:rsidRDefault="005C31B2" w:rsidP="005C31B2">
            <w:pPr>
              <w:spacing w:after="0" w:line="240" w:lineRule="auto"/>
              <w:rPr>
                <w:rFonts w:eastAsia="Times New Roman" w:cs="Times New Roman"/>
                <w:sz w:val="20"/>
                <w:szCs w:val="20"/>
              </w:rPr>
            </w:pPr>
            <w:r w:rsidRPr="005C31B2">
              <w:rPr>
                <w:rFonts w:eastAsia="Times New Roman" w:cs="Times New Roman"/>
                <w:sz w:val="20"/>
                <w:szCs w:val="20"/>
                <w:lang w:val="vi-VN"/>
              </w:rPr>
              <w:t xml:space="preserve">   </w:t>
            </w:r>
            <w:r w:rsidRPr="005C31B2">
              <w:rPr>
                <w:rFonts w:eastAsia="Times New Roman" w:cs="Times New Roman"/>
                <w:sz w:val="20"/>
                <w:szCs w:val="20"/>
              </w:rPr>
              <w:t>7</w:t>
            </w:r>
          </w:p>
        </w:tc>
        <w:tc>
          <w:tcPr>
            <w:tcW w:w="1337" w:type="pct"/>
            <w:tcBorders>
              <w:top w:val="nil"/>
              <w:left w:val="nil"/>
              <w:bottom w:val="single" w:sz="4" w:space="0" w:color="auto"/>
              <w:right w:val="single" w:sz="4" w:space="0" w:color="auto"/>
            </w:tcBorders>
            <w:shd w:val="clear" w:color="000000" w:fill="FFFFFF"/>
            <w:vAlign w:val="center"/>
          </w:tcPr>
          <w:p w:rsidR="005C31B2" w:rsidRPr="005C31B2" w:rsidRDefault="005C31B2" w:rsidP="005C31B2">
            <w:pPr>
              <w:spacing w:after="0" w:line="240" w:lineRule="auto"/>
              <w:rPr>
                <w:rFonts w:eastAsia="Times New Roman" w:cs="Times New Roman"/>
                <w:sz w:val="20"/>
                <w:szCs w:val="20"/>
              </w:rPr>
            </w:pPr>
            <w:r w:rsidRPr="005C31B2">
              <w:rPr>
                <w:rFonts w:eastAsia="Times New Roman" w:cs="Times New Roman"/>
                <w:sz w:val="20"/>
                <w:szCs w:val="20"/>
              </w:rPr>
              <w:t>Khay pha loãng hồng cầu</w:t>
            </w:r>
          </w:p>
        </w:tc>
        <w:tc>
          <w:tcPr>
            <w:tcW w:w="3273" w:type="pct"/>
            <w:tcBorders>
              <w:top w:val="nil"/>
              <w:left w:val="nil"/>
              <w:bottom w:val="single" w:sz="4" w:space="0" w:color="auto"/>
              <w:right w:val="single" w:sz="4" w:space="0" w:color="auto"/>
            </w:tcBorders>
            <w:shd w:val="clear" w:color="000000" w:fill="FFFFFF"/>
            <w:vAlign w:val="center"/>
          </w:tcPr>
          <w:p w:rsidR="005C31B2" w:rsidRPr="005C31B2" w:rsidRDefault="005C31B2" w:rsidP="005C31B2">
            <w:pPr>
              <w:spacing w:after="0" w:line="240" w:lineRule="auto"/>
              <w:rPr>
                <w:rFonts w:eastAsia="Times New Roman" w:cs="Times New Roman"/>
                <w:sz w:val="20"/>
                <w:szCs w:val="20"/>
              </w:rPr>
            </w:pPr>
            <w:r w:rsidRPr="005C31B2">
              <w:rPr>
                <w:rFonts w:eastAsia="Times New Roman" w:cs="Times New Roman"/>
                <w:sz w:val="20"/>
                <w:szCs w:val="20"/>
              </w:rPr>
              <w:t>Khay bao gồm các giếng pha loãng hồng cầu của bệnh nhân</w:t>
            </w:r>
          </w:p>
        </w:tc>
      </w:tr>
      <w:tr w:rsidR="005C31B2" w:rsidRPr="005C31B2" w:rsidTr="00D14E95">
        <w:trPr>
          <w:trHeight w:val="702"/>
          <w:jc w:val="center"/>
        </w:trPr>
        <w:tc>
          <w:tcPr>
            <w:tcW w:w="390" w:type="pct"/>
            <w:tcBorders>
              <w:top w:val="nil"/>
              <w:left w:val="single" w:sz="4" w:space="0" w:color="auto"/>
              <w:bottom w:val="single" w:sz="4" w:space="0" w:color="auto"/>
              <w:right w:val="single" w:sz="4" w:space="0" w:color="auto"/>
            </w:tcBorders>
            <w:shd w:val="clear" w:color="000000" w:fill="FFFFFF"/>
            <w:vAlign w:val="center"/>
          </w:tcPr>
          <w:p w:rsidR="005C31B2" w:rsidRPr="005C31B2" w:rsidRDefault="005C31B2" w:rsidP="005C31B2">
            <w:pPr>
              <w:spacing w:after="0" w:line="240" w:lineRule="auto"/>
              <w:rPr>
                <w:rFonts w:eastAsia="Times New Roman" w:cs="Times New Roman"/>
                <w:sz w:val="20"/>
                <w:szCs w:val="20"/>
              </w:rPr>
            </w:pPr>
            <w:r w:rsidRPr="005C31B2">
              <w:rPr>
                <w:rFonts w:eastAsia="Times New Roman" w:cs="Times New Roman"/>
                <w:sz w:val="20"/>
                <w:szCs w:val="20"/>
                <w:lang w:val="vi-VN"/>
              </w:rPr>
              <w:t xml:space="preserve">   </w:t>
            </w:r>
            <w:r w:rsidRPr="005C31B2">
              <w:rPr>
                <w:rFonts w:eastAsia="Times New Roman" w:cs="Times New Roman"/>
                <w:sz w:val="20"/>
                <w:szCs w:val="20"/>
              </w:rPr>
              <w:t>8</w:t>
            </w:r>
          </w:p>
        </w:tc>
        <w:tc>
          <w:tcPr>
            <w:tcW w:w="1337" w:type="pct"/>
            <w:tcBorders>
              <w:top w:val="nil"/>
              <w:left w:val="nil"/>
              <w:bottom w:val="single" w:sz="4" w:space="0" w:color="auto"/>
              <w:right w:val="single" w:sz="4" w:space="0" w:color="auto"/>
            </w:tcBorders>
            <w:shd w:val="clear" w:color="000000" w:fill="FFFFFF"/>
            <w:vAlign w:val="center"/>
          </w:tcPr>
          <w:p w:rsidR="005C31B2" w:rsidRPr="005C31B2" w:rsidRDefault="005C31B2" w:rsidP="005C31B2">
            <w:pPr>
              <w:spacing w:after="0" w:line="240" w:lineRule="auto"/>
              <w:rPr>
                <w:rFonts w:eastAsia="Times New Roman" w:cs="Times New Roman"/>
                <w:sz w:val="20"/>
                <w:szCs w:val="20"/>
              </w:rPr>
            </w:pPr>
            <w:r w:rsidRPr="005C31B2">
              <w:rPr>
                <w:rFonts w:eastAsia="Times New Roman" w:cs="Times New Roman"/>
                <w:sz w:val="20"/>
                <w:szCs w:val="20"/>
              </w:rPr>
              <w:t>Dung dịch bảo dưỡng hàng ngày</w:t>
            </w:r>
          </w:p>
        </w:tc>
        <w:tc>
          <w:tcPr>
            <w:tcW w:w="3273" w:type="pct"/>
            <w:tcBorders>
              <w:top w:val="nil"/>
              <w:left w:val="nil"/>
              <w:bottom w:val="single" w:sz="4" w:space="0" w:color="auto"/>
              <w:right w:val="single" w:sz="4" w:space="0" w:color="auto"/>
            </w:tcBorders>
            <w:shd w:val="clear" w:color="000000" w:fill="FFFFFF"/>
            <w:vAlign w:val="center"/>
          </w:tcPr>
          <w:p w:rsidR="005C31B2" w:rsidRPr="005C31B2" w:rsidRDefault="005C31B2" w:rsidP="005C31B2">
            <w:pPr>
              <w:spacing w:after="0" w:line="240" w:lineRule="auto"/>
              <w:rPr>
                <w:rFonts w:eastAsia="Times New Roman" w:cs="Times New Roman"/>
                <w:sz w:val="20"/>
                <w:szCs w:val="20"/>
              </w:rPr>
            </w:pPr>
            <w:r w:rsidRPr="005C31B2">
              <w:rPr>
                <w:rFonts w:eastAsia="Times New Roman" w:cs="Times New Roman"/>
                <w:sz w:val="20"/>
                <w:szCs w:val="20"/>
              </w:rPr>
              <w:t>Dung dịch gồm huyết thanh bò, muối vô cơ, và các chất bảo quản sử dụng trong bảo dưỡng hàng ngày cho hệ thống định nhóm máu tự động</w:t>
            </w:r>
          </w:p>
        </w:tc>
      </w:tr>
    </w:tbl>
    <w:p w:rsidR="005C31B2" w:rsidRPr="005C31B2" w:rsidRDefault="005C31B2" w:rsidP="005C31B2">
      <w:pPr>
        <w:spacing w:after="0" w:line="240" w:lineRule="auto"/>
        <w:jc w:val="both"/>
        <w:rPr>
          <w:rFonts w:eastAsia="Times New Roman" w:cs="Times New Roman"/>
          <w:sz w:val="24"/>
          <w:szCs w:val="24"/>
        </w:rPr>
        <w:sectPr w:rsidR="005C31B2" w:rsidRPr="005C31B2" w:rsidSect="0017637E">
          <w:headerReference w:type="default" r:id="rId5"/>
          <w:footnotePr>
            <w:numRestart w:val="eachPage"/>
          </w:footnotePr>
          <w:endnotePr>
            <w:numFmt w:val="decimal"/>
          </w:endnotePr>
          <w:pgSz w:w="11906" w:h="16838" w:code="9"/>
          <w:pgMar w:top="993" w:right="1440" w:bottom="1440" w:left="1440" w:header="720" w:footer="255" w:gutter="0"/>
          <w:cols w:space="720"/>
          <w:noEndnote/>
          <w:docGrid w:linePitch="381"/>
        </w:sectPr>
      </w:pPr>
    </w:p>
    <w:p w:rsidR="005C31B2" w:rsidRPr="005C31B2" w:rsidRDefault="005C31B2" w:rsidP="005C31B2">
      <w:pPr>
        <w:spacing w:after="0" w:line="240" w:lineRule="auto"/>
        <w:jc w:val="both"/>
        <w:rPr>
          <w:rFonts w:eastAsia="Times New Roman" w:cs="Times New Roman"/>
          <w:sz w:val="24"/>
          <w:szCs w:val="24"/>
          <w:lang w:val="vi-VN"/>
        </w:rPr>
      </w:pPr>
      <w:r w:rsidRPr="005C31B2">
        <w:rPr>
          <w:rFonts w:eastAsia="Times New Roman" w:cs="Times New Roman"/>
          <w:sz w:val="24"/>
          <w:szCs w:val="24"/>
        </w:rPr>
        <w:lastRenderedPageBreak/>
        <w:t xml:space="preserve">- </w:t>
      </w:r>
      <w:r w:rsidRPr="005C31B2">
        <w:rPr>
          <w:rFonts w:eastAsia="Times New Roman" w:cs="Times New Roman"/>
          <w:sz w:val="24"/>
          <w:szCs w:val="24"/>
          <w:lang w:val="vi-VN"/>
        </w:rPr>
        <w:t xml:space="preserve">Nhà thầu phải cung cấp bảng </w:t>
      </w:r>
      <w:r w:rsidRPr="005C31B2">
        <w:rPr>
          <w:rFonts w:eastAsia="Times New Roman" w:cs="Times New Roman"/>
          <w:sz w:val="24"/>
          <w:szCs w:val="24"/>
        </w:rPr>
        <w:t>thông tin</w:t>
      </w:r>
      <w:r w:rsidRPr="005C31B2">
        <w:rPr>
          <w:rFonts w:eastAsia="Times New Roman" w:cs="Times New Roman"/>
          <w:sz w:val="24"/>
          <w:szCs w:val="24"/>
          <w:lang w:val="vi-VN"/>
        </w:rPr>
        <w:t xml:space="preserve"> hàng hóa </w:t>
      </w:r>
      <w:r w:rsidRPr="005C31B2">
        <w:rPr>
          <w:rFonts w:eastAsia="Times New Roman" w:cs="Times New Roman"/>
          <w:sz w:val="24"/>
          <w:szCs w:val="24"/>
        </w:rPr>
        <w:t xml:space="preserve">dự thầu </w:t>
      </w:r>
      <w:r w:rsidRPr="005C31B2">
        <w:rPr>
          <w:rFonts w:eastAsia="Times New Roman" w:cs="Times New Roman"/>
          <w:sz w:val="24"/>
          <w:szCs w:val="24"/>
          <w:lang w:val="vi-VN"/>
        </w:rPr>
        <w:t>(gồm file excel và bản scan có đóng dấu và chữ ký của người đại diện hợp pháp của Công ty) đầy đủ thông tin như</w:t>
      </w:r>
      <w:r w:rsidRPr="005C31B2">
        <w:rPr>
          <w:rFonts w:eastAsia="Times New Roman" w:cs="Times New Roman"/>
          <w:sz w:val="24"/>
          <w:szCs w:val="24"/>
        </w:rPr>
        <w:t xml:space="preserve"> </w:t>
      </w:r>
      <w:r w:rsidRPr="005C31B2">
        <w:rPr>
          <w:rFonts w:eastAsia="Times New Roman" w:cs="Times New Roman"/>
          <w:sz w:val="24"/>
          <w:szCs w:val="24"/>
          <w:lang w:val="vi-VN"/>
        </w:rPr>
        <w:t>sau:</w:t>
      </w:r>
    </w:p>
    <w:p w:rsidR="005C31B2" w:rsidRPr="005C31B2" w:rsidRDefault="005C31B2" w:rsidP="005C31B2">
      <w:pPr>
        <w:spacing w:after="0" w:line="240" w:lineRule="auto"/>
        <w:jc w:val="both"/>
        <w:rPr>
          <w:rFonts w:eastAsia="Times New Roman" w:cs="Times New Roman"/>
          <w:sz w:val="24"/>
          <w:szCs w:val="24"/>
          <w:lang w:val="vi-VN"/>
        </w:rPr>
      </w:pPr>
    </w:p>
    <w:p w:rsidR="005C31B2" w:rsidRPr="005C31B2" w:rsidRDefault="005C31B2" w:rsidP="005C31B2">
      <w:pPr>
        <w:spacing w:after="0" w:line="240" w:lineRule="auto"/>
        <w:jc w:val="center"/>
        <w:rPr>
          <w:rFonts w:eastAsia="Times New Roman" w:cs="Times New Roman"/>
          <w:b/>
          <w:bCs/>
          <w:sz w:val="24"/>
          <w:szCs w:val="24"/>
        </w:rPr>
      </w:pPr>
      <w:r w:rsidRPr="005C31B2">
        <w:rPr>
          <w:rFonts w:eastAsia="Times New Roman" w:cs="Times New Roman"/>
          <w:b/>
          <w:bCs/>
          <w:sz w:val="24"/>
          <w:szCs w:val="24"/>
        </w:rPr>
        <w:t>BẢNG THÔNG TIN TỔNG HỢP HÀNG HÓA DỰ THẦU</w:t>
      </w:r>
    </w:p>
    <w:p w:rsidR="005C31B2" w:rsidRPr="005C31B2" w:rsidRDefault="005C31B2" w:rsidP="005C31B2">
      <w:pPr>
        <w:spacing w:after="0" w:line="240" w:lineRule="auto"/>
        <w:jc w:val="center"/>
        <w:rPr>
          <w:rFonts w:eastAsia="Times New Roman" w:cs="Times New Roman"/>
          <w:sz w:val="24"/>
          <w:szCs w:val="24"/>
        </w:rPr>
      </w:pPr>
    </w:p>
    <w:p w:rsidR="005C31B2" w:rsidRPr="005C31B2" w:rsidRDefault="005C31B2" w:rsidP="005C31B2">
      <w:pPr>
        <w:tabs>
          <w:tab w:val="left" w:pos="284"/>
        </w:tabs>
        <w:spacing w:after="0" w:line="240" w:lineRule="auto"/>
        <w:jc w:val="both"/>
        <w:rPr>
          <w:rFonts w:eastAsia="Times New Roman" w:cs="Times New Roman"/>
          <w:sz w:val="24"/>
          <w:szCs w:val="24"/>
        </w:rPr>
      </w:pPr>
      <w:r w:rsidRPr="005C31B2">
        <w:rPr>
          <w:rFonts w:eastAsia="Times New Roman" w:cs="Times New Roman"/>
          <w:sz w:val="24"/>
          <w:szCs w:val="24"/>
        </w:rPr>
        <w:tab/>
        <w:t>+ Tên nhà thầu</w:t>
      </w:r>
    </w:p>
    <w:p w:rsidR="005C31B2" w:rsidRPr="005C31B2" w:rsidRDefault="005C31B2" w:rsidP="005C31B2">
      <w:pPr>
        <w:tabs>
          <w:tab w:val="left" w:pos="284"/>
        </w:tabs>
        <w:spacing w:after="0" w:line="240" w:lineRule="auto"/>
        <w:jc w:val="both"/>
        <w:rPr>
          <w:rFonts w:eastAsia="Times New Roman" w:cs="Times New Roman"/>
          <w:sz w:val="24"/>
          <w:szCs w:val="24"/>
        </w:rPr>
      </w:pPr>
      <w:r w:rsidRPr="005C31B2">
        <w:rPr>
          <w:rFonts w:eastAsia="Times New Roman" w:cs="Times New Roman"/>
          <w:sz w:val="24"/>
          <w:szCs w:val="24"/>
        </w:rPr>
        <w:tab/>
        <w:t>+ Mã định danh:</w:t>
      </w:r>
    </w:p>
    <w:p w:rsidR="005C31B2" w:rsidRPr="005C31B2" w:rsidRDefault="005C31B2" w:rsidP="005C31B2">
      <w:pPr>
        <w:tabs>
          <w:tab w:val="left" w:pos="284"/>
        </w:tabs>
        <w:spacing w:after="0" w:line="240" w:lineRule="auto"/>
        <w:jc w:val="both"/>
        <w:rPr>
          <w:rFonts w:eastAsia="Times New Roman" w:cs="Times New Roman"/>
          <w:sz w:val="24"/>
          <w:szCs w:val="24"/>
        </w:rPr>
      </w:pPr>
      <w:r w:rsidRPr="005C31B2">
        <w:rPr>
          <w:rFonts w:eastAsia="Times New Roman" w:cs="Times New Roman"/>
          <w:sz w:val="24"/>
          <w:szCs w:val="24"/>
        </w:rPr>
        <w:tab/>
        <w:t>+ Địa chỉ:</w:t>
      </w:r>
    </w:p>
    <w:p w:rsidR="005C31B2" w:rsidRPr="005C31B2" w:rsidRDefault="005C31B2" w:rsidP="005C31B2">
      <w:pPr>
        <w:tabs>
          <w:tab w:val="left" w:pos="284"/>
        </w:tabs>
        <w:spacing w:after="0" w:line="240" w:lineRule="auto"/>
        <w:jc w:val="both"/>
        <w:rPr>
          <w:rFonts w:eastAsia="Times New Roman" w:cs="Times New Roman"/>
          <w:sz w:val="24"/>
          <w:szCs w:val="24"/>
        </w:rPr>
      </w:pPr>
      <w:r w:rsidRPr="005C31B2">
        <w:rPr>
          <w:rFonts w:eastAsia="Times New Roman" w:cs="Times New Roman"/>
          <w:sz w:val="24"/>
          <w:szCs w:val="24"/>
        </w:rPr>
        <w:tab/>
        <w:t>+ Số điện thoại nhân sự phụ trách thầu:</w:t>
      </w:r>
    </w:p>
    <w:p w:rsidR="005C31B2" w:rsidRPr="005C31B2" w:rsidRDefault="005C31B2" w:rsidP="005C31B2">
      <w:pPr>
        <w:tabs>
          <w:tab w:val="left" w:pos="284"/>
        </w:tabs>
        <w:spacing w:after="0" w:line="240" w:lineRule="auto"/>
        <w:jc w:val="both"/>
        <w:rPr>
          <w:rFonts w:eastAsia="Times New Roman" w:cs="Times New Roman"/>
          <w:sz w:val="24"/>
          <w:szCs w:val="24"/>
        </w:rPr>
      </w:pPr>
    </w:p>
    <w:tbl>
      <w:tblPr>
        <w:tblW w:w="520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53"/>
        <w:gridCol w:w="993"/>
        <w:gridCol w:w="996"/>
        <w:gridCol w:w="910"/>
        <w:gridCol w:w="934"/>
        <w:gridCol w:w="792"/>
        <w:gridCol w:w="768"/>
        <w:gridCol w:w="710"/>
        <w:gridCol w:w="710"/>
        <w:gridCol w:w="849"/>
        <w:gridCol w:w="852"/>
        <w:gridCol w:w="849"/>
        <w:gridCol w:w="992"/>
        <w:gridCol w:w="710"/>
        <w:gridCol w:w="1135"/>
        <w:gridCol w:w="1123"/>
      </w:tblGrid>
      <w:tr w:rsidR="005C31B2" w:rsidRPr="005C31B2" w:rsidTr="00D14E95">
        <w:trPr>
          <w:trHeight w:val="2775"/>
        </w:trPr>
        <w:tc>
          <w:tcPr>
            <w:tcW w:w="327" w:type="pct"/>
            <w:shd w:val="clear" w:color="auto" w:fill="auto"/>
            <w:vAlign w:val="center"/>
            <w:hideMark/>
          </w:tcPr>
          <w:p w:rsidR="005C31B2" w:rsidRPr="005C31B2" w:rsidRDefault="005C31B2" w:rsidP="005C31B2">
            <w:pPr>
              <w:spacing w:after="0" w:line="240" w:lineRule="auto"/>
              <w:jc w:val="center"/>
              <w:rPr>
                <w:rFonts w:eastAsia="Times New Roman" w:cs="Times New Roman"/>
                <w:b/>
                <w:bCs/>
                <w:sz w:val="22"/>
              </w:rPr>
            </w:pPr>
            <w:r w:rsidRPr="005C31B2">
              <w:rPr>
                <w:rFonts w:eastAsia="Times New Roman" w:cs="Times New Roman"/>
                <w:b/>
                <w:bCs/>
                <w:sz w:val="22"/>
              </w:rPr>
              <w:t>Tên gói thầu trong E-HSMT</w:t>
            </w:r>
          </w:p>
        </w:tc>
        <w:tc>
          <w:tcPr>
            <w:tcW w:w="281" w:type="pct"/>
            <w:vAlign w:val="center"/>
          </w:tcPr>
          <w:p w:rsidR="005C31B2" w:rsidRPr="005C31B2" w:rsidRDefault="005C31B2" w:rsidP="005C31B2">
            <w:pPr>
              <w:spacing w:before="240" w:after="0" w:line="240" w:lineRule="auto"/>
              <w:jc w:val="center"/>
              <w:rPr>
                <w:rFonts w:eastAsia="Times New Roman" w:cs="Times New Roman"/>
                <w:b/>
                <w:bCs/>
                <w:sz w:val="22"/>
              </w:rPr>
            </w:pPr>
            <w:r w:rsidRPr="005C31B2">
              <w:rPr>
                <w:rFonts w:eastAsia="Times New Roman" w:cs="Times New Roman"/>
                <w:b/>
                <w:bCs/>
                <w:sz w:val="22"/>
              </w:rPr>
              <w:t>STT hàng hóa  trong gói thầu</w:t>
            </w:r>
          </w:p>
        </w:tc>
        <w:tc>
          <w:tcPr>
            <w:tcW w:w="327" w:type="pct"/>
            <w:shd w:val="clear" w:color="auto" w:fill="auto"/>
            <w:vAlign w:val="center"/>
          </w:tcPr>
          <w:p w:rsidR="005C31B2" w:rsidRPr="005C31B2" w:rsidRDefault="005C31B2" w:rsidP="005C31B2">
            <w:pPr>
              <w:spacing w:after="0" w:line="240" w:lineRule="auto"/>
              <w:jc w:val="center"/>
              <w:rPr>
                <w:rFonts w:eastAsia="Times New Roman" w:cs="Times New Roman"/>
                <w:b/>
                <w:bCs/>
                <w:sz w:val="22"/>
              </w:rPr>
            </w:pPr>
            <w:r w:rsidRPr="005C31B2">
              <w:rPr>
                <w:rFonts w:eastAsia="Times New Roman" w:cs="Times New Roman"/>
                <w:b/>
                <w:bCs/>
                <w:sz w:val="22"/>
              </w:rPr>
              <w:t>Tên hàng hóa theo E-HSMT</w:t>
            </w:r>
          </w:p>
        </w:tc>
        <w:tc>
          <w:tcPr>
            <w:tcW w:w="328" w:type="pct"/>
            <w:shd w:val="clear" w:color="auto" w:fill="auto"/>
            <w:vAlign w:val="center"/>
          </w:tcPr>
          <w:p w:rsidR="005C31B2" w:rsidRPr="005C31B2" w:rsidRDefault="005C31B2" w:rsidP="005C31B2">
            <w:pPr>
              <w:spacing w:after="0" w:line="240" w:lineRule="auto"/>
              <w:jc w:val="center"/>
              <w:rPr>
                <w:rFonts w:eastAsia="Times New Roman" w:cs="Times New Roman"/>
                <w:b/>
                <w:bCs/>
                <w:sz w:val="22"/>
              </w:rPr>
            </w:pPr>
            <w:r w:rsidRPr="005C31B2">
              <w:rPr>
                <w:rFonts w:eastAsia="Times New Roman" w:cs="Times New Roman"/>
                <w:b/>
                <w:bCs/>
                <w:sz w:val="22"/>
              </w:rPr>
              <w:t>Tên thương mại, ký mã hiệu, nhãn hiệu</w:t>
            </w:r>
          </w:p>
        </w:tc>
        <w:tc>
          <w:tcPr>
            <w:tcW w:w="300" w:type="pct"/>
            <w:shd w:val="clear" w:color="auto" w:fill="auto"/>
            <w:vAlign w:val="center"/>
            <w:hideMark/>
          </w:tcPr>
          <w:p w:rsidR="005C31B2" w:rsidRPr="005C31B2" w:rsidRDefault="005C31B2" w:rsidP="005C31B2">
            <w:pPr>
              <w:spacing w:after="0" w:line="240" w:lineRule="auto"/>
              <w:jc w:val="center"/>
              <w:rPr>
                <w:rFonts w:eastAsia="Times New Roman" w:cs="Times New Roman"/>
                <w:b/>
                <w:bCs/>
                <w:sz w:val="22"/>
              </w:rPr>
            </w:pPr>
            <w:r w:rsidRPr="005C31B2">
              <w:rPr>
                <w:rFonts w:eastAsia="Times New Roman" w:cs="Times New Roman"/>
                <w:b/>
                <w:bCs/>
                <w:sz w:val="22"/>
              </w:rPr>
              <w:t>Thông số kỹ thuật  của hàng hóa dự thầu</w:t>
            </w:r>
          </w:p>
        </w:tc>
        <w:tc>
          <w:tcPr>
            <w:tcW w:w="308" w:type="pct"/>
            <w:shd w:val="clear" w:color="auto" w:fill="auto"/>
            <w:vAlign w:val="center"/>
            <w:hideMark/>
          </w:tcPr>
          <w:p w:rsidR="005C31B2" w:rsidRPr="005C31B2" w:rsidRDefault="005C31B2" w:rsidP="005C31B2">
            <w:pPr>
              <w:spacing w:after="0" w:line="240" w:lineRule="auto"/>
              <w:jc w:val="center"/>
              <w:rPr>
                <w:rFonts w:eastAsia="Times New Roman" w:cs="Times New Roman"/>
                <w:b/>
                <w:bCs/>
                <w:sz w:val="22"/>
              </w:rPr>
            </w:pPr>
            <w:r w:rsidRPr="005C31B2">
              <w:rPr>
                <w:rFonts w:eastAsia="Times New Roman" w:cs="Times New Roman"/>
                <w:b/>
                <w:bCs/>
                <w:sz w:val="22"/>
              </w:rPr>
              <w:t>Số trang tham chiếu tương ứng trong E-HSDT</w:t>
            </w:r>
          </w:p>
        </w:tc>
        <w:tc>
          <w:tcPr>
            <w:tcW w:w="261" w:type="pct"/>
            <w:shd w:val="clear" w:color="auto" w:fill="auto"/>
            <w:vAlign w:val="center"/>
            <w:hideMark/>
          </w:tcPr>
          <w:p w:rsidR="005C31B2" w:rsidRPr="005C31B2" w:rsidRDefault="005C31B2" w:rsidP="005C31B2">
            <w:pPr>
              <w:spacing w:after="0" w:line="240" w:lineRule="auto"/>
              <w:jc w:val="center"/>
              <w:rPr>
                <w:rFonts w:eastAsia="Times New Roman" w:cs="Times New Roman"/>
                <w:b/>
                <w:bCs/>
                <w:sz w:val="22"/>
              </w:rPr>
            </w:pPr>
            <w:r w:rsidRPr="005C31B2">
              <w:rPr>
                <w:rFonts w:eastAsia="Times New Roman" w:cs="Times New Roman"/>
                <w:b/>
                <w:bCs/>
                <w:sz w:val="22"/>
              </w:rPr>
              <w:t>Hãng sản xuất / Hãng sở hữu</w:t>
            </w:r>
          </w:p>
        </w:tc>
        <w:tc>
          <w:tcPr>
            <w:tcW w:w="253" w:type="pct"/>
            <w:shd w:val="clear" w:color="auto" w:fill="auto"/>
            <w:vAlign w:val="center"/>
            <w:hideMark/>
          </w:tcPr>
          <w:p w:rsidR="005C31B2" w:rsidRPr="005C31B2" w:rsidRDefault="005C31B2" w:rsidP="005C31B2">
            <w:pPr>
              <w:spacing w:after="0" w:line="240" w:lineRule="auto"/>
              <w:jc w:val="center"/>
              <w:rPr>
                <w:rFonts w:eastAsia="Times New Roman" w:cs="Times New Roman"/>
                <w:b/>
                <w:bCs/>
                <w:sz w:val="22"/>
              </w:rPr>
            </w:pPr>
            <w:r w:rsidRPr="005C31B2">
              <w:rPr>
                <w:rFonts w:eastAsia="Times New Roman" w:cs="Times New Roman"/>
                <w:b/>
                <w:bCs/>
                <w:sz w:val="22"/>
              </w:rPr>
              <w:t>Nước sản xuất – Năm sản xuất</w:t>
            </w:r>
          </w:p>
        </w:tc>
        <w:tc>
          <w:tcPr>
            <w:tcW w:w="234" w:type="pct"/>
            <w:shd w:val="clear" w:color="auto" w:fill="auto"/>
            <w:vAlign w:val="center"/>
            <w:hideMark/>
          </w:tcPr>
          <w:p w:rsidR="005C31B2" w:rsidRPr="005C31B2" w:rsidRDefault="005C31B2" w:rsidP="005C31B2">
            <w:pPr>
              <w:spacing w:after="0" w:line="240" w:lineRule="auto"/>
              <w:jc w:val="center"/>
              <w:rPr>
                <w:rFonts w:eastAsia="Times New Roman" w:cs="Times New Roman"/>
                <w:b/>
                <w:bCs/>
                <w:sz w:val="22"/>
              </w:rPr>
            </w:pPr>
            <w:r w:rsidRPr="005C31B2">
              <w:rPr>
                <w:rFonts w:eastAsia="Times New Roman" w:cs="Times New Roman"/>
                <w:b/>
                <w:bCs/>
                <w:sz w:val="22"/>
              </w:rPr>
              <w:t>Quy cách đóng gói</w:t>
            </w:r>
          </w:p>
        </w:tc>
        <w:tc>
          <w:tcPr>
            <w:tcW w:w="234" w:type="pct"/>
            <w:shd w:val="clear" w:color="auto" w:fill="auto"/>
            <w:vAlign w:val="center"/>
            <w:hideMark/>
          </w:tcPr>
          <w:p w:rsidR="005C31B2" w:rsidRPr="005C31B2" w:rsidRDefault="005C31B2" w:rsidP="005C31B2">
            <w:pPr>
              <w:spacing w:after="0" w:line="240" w:lineRule="auto"/>
              <w:jc w:val="center"/>
              <w:rPr>
                <w:rFonts w:eastAsia="Times New Roman" w:cs="Times New Roman"/>
                <w:b/>
                <w:bCs/>
                <w:sz w:val="22"/>
              </w:rPr>
            </w:pPr>
            <w:r w:rsidRPr="005C31B2">
              <w:rPr>
                <w:rFonts w:eastAsia="Times New Roman" w:cs="Times New Roman"/>
                <w:b/>
                <w:bCs/>
                <w:sz w:val="22"/>
              </w:rPr>
              <w:t>Đơn vị tính</w:t>
            </w:r>
          </w:p>
        </w:tc>
        <w:tc>
          <w:tcPr>
            <w:tcW w:w="280" w:type="pct"/>
            <w:shd w:val="clear" w:color="auto" w:fill="auto"/>
            <w:vAlign w:val="center"/>
            <w:hideMark/>
          </w:tcPr>
          <w:p w:rsidR="005C31B2" w:rsidRPr="005C31B2" w:rsidRDefault="005C31B2" w:rsidP="005C31B2">
            <w:pPr>
              <w:spacing w:after="0" w:line="240" w:lineRule="auto"/>
              <w:jc w:val="center"/>
              <w:rPr>
                <w:rFonts w:eastAsia="Times New Roman" w:cs="Times New Roman"/>
                <w:b/>
                <w:bCs/>
                <w:sz w:val="22"/>
              </w:rPr>
            </w:pPr>
            <w:r w:rsidRPr="005C31B2">
              <w:rPr>
                <w:rFonts w:eastAsia="Times New Roman" w:cs="Times New Roman"/>
                <w:b/>
                <w:bCs/>
                <w:sz w:val="22"/>
              </w:rPr>
              <w:t>Số lượng</w:t>
            </w:r>
          </w:p>
        </w:tc>
        <w:tc>
          <w:tcPr>
            <w:tcW w:w="281" w:type="pct"/>
            <w:shd w:val="clear" w:color="auto" w:fill="auto"/>
            <w:vAlign w:val="center"/>
          </w:tcPr>
          <w:p w:rsidR="005C31B2" w:rsidRPr="005C31B2" w:rsidRDefault="005C31B2" w:rsidP="005C31B2">
            <w:pPr>
              <w:spacing w:after="0" w:line="240" w:lineRule="auto"/>
              <w:jc w:val="center"/>
              <w:rPr>
                <w:rFonts w:eastAsia="Times New Roman" w:cs="Times New Roman"/>
                <w:b/>
                <w:bCs/>
                <w:sz w:val="22"/>
              </w:rPr>
            </w:pPr>
            <w:r w:rsidRPr="005C31B2">
              <w:rPr>
                <w:rFonts w:eastAsia="Times New Roman" w:cs="Times New Roman"/>
                <w:b/>
                <w:bCs/>
                <w:sz w:val="22"/>
              </w:rPr>
              <w:t>Đơn giá dự thầu (VAT)</w:t>
            </w:r>
          </w:p>
        </w:tc>
        <w:tc>
          <w:tcPr>
            <w:tcW w:w="280" w:type="pct"/>
            <w:shd w:val="clear" w:color="auto" w:fill="auto"/>
            <w:vAlign w:val="center"/>
          </w:tcPr>
          <w:p w:rsidR="005C31B2" w:rsidRPr="005C31B2" w:rsidRDefault="005C31B2" w:rsidP="005C31B2">
            <w:pPr>
              <w:spacing w:after="0" w:line="240" w:lineRule="auto"/>
              <w:jc w:val="center"/>
              <w:rPr>
                <w:rFonts w:eastAsia="Times New Roman" w:cs="Times New Roman"/>
                <w:b/>
                <w:bCs/>
                <w:sz w:val="22"/>
              </w:rPr>
            </w:pPr>
            <w:r w:rsidRPr="005C31B2">
              <w:rPr>
                <w:rFonts w:eastAsia="Times New Roman" w:cs="Times New Roman"/>
                <w:b/>
                <w:bCs/>
                <w:sz w:val="22"/>
              </w:rPr>
              <w:t>Thành tiền (VNĐ)</w:t>
            </w:r>
          </w:p>
        </w:tc>
        <w:tc>
          <w:tcPr>
            <w:tcW w:w="327" w:type="pct"/>
            <w:shd w:val="clear" w:color="auto" w:fill="auto"/>
            <w:vAlign w:val="center"/>
          </w:tcPr>
          <w:p w:rsidR="005C31B2" w:rsidRPr="005C31B2" w:rsidRDefault="005C31B2" w:rsidP="005C31B2">
            <w:pPr>
              <w:spacing w:after="0" w:line="240" w:lineRule="auto"/>
              <w:jc w:val="center"/>
              <w:rPr>
                <w:rFonts w:eastAsia="Times New Roman" w:cs="Times New Roman"/>
                <w:b/>
                <w:bCs/>
                <w:sz w:val="22"/>
              </w:rPr>
            </w:pPr>
            <w:r w:rsidRPr="005C31B2">
              <w:rPr>
                <w:rFonts w:eastAsia="Times New Roman" w:cs="Times New Roman"/>
                <w:b/>
                <w:bCs/>
                <w:sz w:val="22"/>
              </w:rPr>
              <w:t>Số đăng ký lưu hành/ Giấy phép nhập khẩu/ Số công bố tiêu chuẩn áp dụng</w:t>
            </w:r>
          </w:p>
        </w:tc>
        <w:tc>
          <w:tcPr>
            <w:tcW w:w="234" w:type="pct"/>
            <w:shd w:val="clear" w:color="auto" w:fill="auto"/>
            <w:vAlign w:val="center"/>
          </w:tcPr>
          <w:p w:rsidR="005C31B2" w:rsidRPr="005C31B2" w:rsidRDefault="005C31B2" w:rsidP="005C31B2">
            <w:pPr>
              <w:spacing w:after="0" w:line="240" w:lineRule="auto"/>
              <w:jc w:val="center"/>
              <w:rPr>
                <w:rFonts w:eastAsia="Times New Roman" w:cs="Times New Roman"/>
                <w:b/>
                <w:bCs/>
                <w:sz w:val="22"/>
              </w:rPr>
            </w:pPr>
            <w:r w:rsidRPr="005C31B2">
              <w:rPr>
                <w:rFonts w:eastAsia="Times New Roman" w:cs="Times New Roman"/>
                <w:b/>
                <w:bCs/>
                <w:sz w:val="22"/>
              </w:rPr>
              <w:t>Hạn dùng</w:t>
            </w:r>
          </w:p>
        </w:tc>
        <w:tc>
          <w:tcPr>
            <w:tcW w:w="374" w:type="pct"/>
            <w:vAlign w:val="center"/>
          </w:tcPr>
          <w:p w:rsidR="005C31B2" w:rsidRPr="005C31B2" w:rsidRDefault="005C31B2" w:rsidP="005C31B2">
            <w:pPr>
              <w:spacing w:after="0" w:line="240" w:lineRule="auto"/>
              <w:jc w:val="center"/>
              <w:rPr>
                <w:rFonts w:eastAsia="Times New Roman" w:cs="Times New Roman"/>
                <w:b/>
                <w:bCs/>
                <w:sz w:val="22"/>
              </w:rPr>
            </w:pPr>
            <w:r w:rsidRPr="005C31B2">
              <w:rPr>
                <w:rFonts w:eastAsia="Times New Roman" w:cs="Times New Roman"/>
                <w:b/>
                <w:bCs/>
                <w:sz w:val="22"/>
              </w:rPr>
              <w:t>Chứng nhận ISO hoặc tương đương</w:t>
            </w:r>
          </w:p>
        </w:tc>
        <w:tc>
          <w:tcPr>
            <w:tcW w:w="370" w:type="pct"/>
            <w:vAlign w:val="center"/>
          </w:tcPr>
          <w:p w:rsidR="005C31B2" w:rsidRPr="005C31B2" w:rsidRDefault="005C31B2" w:rsidP="005C31B2">
            <w:pPr>
              <w:spacing w:after="0" w:line="240" w:lineRule="auto"/>
              <w:jc w:val="center"/>
              <w:rPr>
                <w:rFonts w:eastAsia="Times New Roman" w:cs="Times New Roman"/>
                <w:b/>
                <w:bCs/>
                <w:sz w:val="22"/>
              </w:rPr>
            </w:pPr>
          </w:p>
          <w:p w:rsidR="005C31B2" w:rsidRPr="005C31B2" w:rsidRDefault="005C31B2" w:rsidP="005C31B2">
            <w:pPr>
              <w:spacing w:after="0" w:line="240" w:lineRule="auto"/>
              <w:jc w:val="center"/>
              <w:rPr>
                <w:rFonts w:eastAsia="Times New Roman" w:cs="Times New Roman"/>
                <w:b/>
                <w:bCs/>
                <w:sz w:val="22"/>
              </w:rPr>
            </w:pPr>
            <w:r w:rsidRPr="005C31B2">
              <w:rPr>
                <w:rFonts w:eastAsia="Times New Roman" w:cs="Times New Roman"/>
                <w:b/>
                <w:bCs/>
                <w:sz w:val="22"/>
              </w:rPr>
              <w:t>Phân loại Thiết bị y tế; Số, ngày cấp, tổ chức cấp Bảng phân loại</w:t>
            </w:r>
          </w:p>
        </w:tc>
      </w:tr>
      <w:tr w:rsidR="005C31B2" w:rsidRPr="005C31B2" w:rsidTr="00D14E95">
        <w:trPr>
          <w:trHeight w:val="310"/>
        </w:trPr>
        <w:tc>
          <w:tcPr>
            <w:tcW w:w="327" w:type="pct"/>
            <w:shd w:val="clear" w:color="auto" w:fill="auto"/>
            <w:noWrap/>
            <w:vAlign w:val="center"/>
            <w:hideMark/>
          </w:tcPr>
          <w:p w:rsidR="005C31B2" w:rsidRPr="005C31B2" w:rsidRDefault="005C31B2" w:rsidP="005C31B2">
            <w:pPr>
              <w:spacing w:after="0" w:line="240" w:lineRule="auto"/>
              <w:jc w:val="center"/>
              <w:rPr>
                <w:rFonts w:eastAsia="Times New Roman" w:cs="Times New Roman"/>
                <w:sz w:val="20"/>
              </w:rPr>
            </w:pPr>
            <w:r w:rsidRPr="005C31B2">
              <w:rPr>
                <w:rFonts w:eastAsia="Times New Roman" w:cs="Times New Roman"/>
                <w:sz w:val="20"/>
              </w:rPr>
              <w:t>(1)</w:t>
            </w:r>
          </w:p>
        </w:tc>
        <w:tc>
          <w:tcPr>
            <w:tcW w:w="281" w:type="pct"/>
            <w:vAlign w:val="center"/>
          </w:tcPr>
          <w:p w:rsidR="005C31B2" w:rsidRPr="005C31B2" w:rsidRDefault="005C31B2" w:rsidP="005C31B2">
            <w:pPr>
              <w:spacing w:after="0" w:line="240" w:lineRule="auto"/>
              <w:jc w:val="center"/>
              <w:rPr>
                <w:rFonts w:eastAsia="Times New Roman" w:cs="Times New Roman"/>
                <w:sz w:val="20"/>
              </w:rPr>
            </w:pPr>
            <w:r w:rsidRPr="005C31B2">
              <w:rPr>
                <w:rFonts w:eastAsia="Times New Roman" w:cs="Times New Roman"/>
                <w:sz w:val="20"/>
              </w:rPr>
              <w:t>(2)</w:t>
            </w:r>
          </w:p>
        </w:tc>
        <w:tc>
          <w:tcPr>
            <w:tcW w:w="327" w:type="pct"/>
            <w:shd w:val="clear" w:color="auto" w:fill="auto"/>
            <w:vAlign w:val="center"/>
          </w:tcPr>
          <w:p w:rsidR="005C31B2" w:rsidRPr="005C31B2" w:rsidRDefault="005C31B2" w:rsidP="005C31B2">
            <w:pPr>
              <w:spacing w:after="0" w:line="240" w:lineRule="auto"/>
              <w:jc w:val="center"/>
              <w:rPr>
                <w:rFonts w:eastAsia="Times New Roman" w:cs="Times New Roman"/>
                <w:sz w:val="20"/>
              </w:rPr>
            </w:pPr>
            <w:r w:rsidRPr="005C31B2">
              <w:rPr>
                <w:rFonts w:eastAsia="Times New Roman" w:cs="Times New Roman"/>
                <w:sz w:val="20"/>
              </w:rPr>
              <w:t>(3)</w:t>
            </w:r>
          </w:p>
        </w:tc>
        <w:tc>
          <w:tcPr>
            <w:tcW w:w="328" w:type="pct"/>
            <w:shd w:val="clear" w:color="auto" w:fill="auto"/>
            <w:noWrap/>
            <w:vAlign w:val="center"/>
            <w:hideMark/>
          </w:tcPr>
          <w:p w:rsidR="005C31B2" w:rsidRPr="005C31B2" w:rsidRDefault="005C31B2" w:rsidP="005C31B2">
            <w:pPr>
              <w:spacing w:after="0" w:line="240" w:lineRule="auto"/>
              <w:jc w:val="center"/>
              <w:rPr>
                <w:rFonts w:eastAsia="Times New Roman" w:cs="Times New Roman"/>
                <w:sz w:val="20"/>
              </w:rPr>
            </w:pPr>
            <w:r w:rsidRPr="005C31B2">
              <w:rPr>
                <w:rFonts w:eastAsia="Times New Roman" w:cs="Times New Roman"/>
                <w:sz w:val="20"/>
              </w:rPr>
              <w:t>(4)</w:t>
            </w:r>
          </w:p>
        </w:tc>
        <w:tc>
          <w:tcPr>
            <w:tcW w:w="300" w:type="pct"/>
            <w:shd w:val="clear" w:color="auto" w:fill="auto"/>
            <w:noWrap/>
            <w:vAlign w:val="center"/>
            <w:hideMark/>
          </w:tcPr>
          <w:p w:rsidR="005C31B2" w:rsidRPr="005C31B2" w:rsidRDefault="005C31B2" w:rsidP="005C31B2">
            <w:pPr>
              <w:spacing w:after="0" w:line="240" w:lineRule="auto"/>
              <w:jc w:val="center"/>
              <w:rPr>
                <w:rFonts w:eastAsia="Times New Roman" w:cs="Times New Roman"/>
                <w:sz w:val="20"/>
              </w:rPr>
            </w:pPr>
            <w:r w:rsidRPr="005C31B2">
              <w:rPr>
                <w:rFonts w:eastAsia="Times New Roman" w:cs="Times New Roman"/>
                <w:sz w:val="20"/>
              </w:rPr>
              <w:t>(5)</w:t>
            </w:r>
          </w:p>
        </w:tc>
        <w:tc>
          <w:tcPr>
            <w:tcW w:w="308" w:type="pct"/>
            <w:shd w:val="clear" w:color="auto" w:fill="auto"/>
            <w:noWrap/>
            <w:vAlign w:val="center"/>
            <w:hideMark/>
          </w:tcPr>
          <w:p w:rsidR="005C31B2" w:rsidRPr="005C31B2" w:rsidRDefault="005C31B2" w:rsidP="005C31B2">
            <w:pPr>
              <w:spacing w:after="0" w:line="240" w:lineRule="auto"/>
              <w:jc w:val="center"/>
              <w:rPr>
                <w:rFonts w:eastAsia="Times New Roman" w:cs="Times New Roman"/>
                <w:sz w:val="20"/>
              </w:rPr>
            </w:pPr>
            <w:r w:rsidRPr="005C31B2">
              <w:rPr>
                <w:rFonts w:eastAsia="Times New Roman" w:cs="Times New Roman"/>
                <w:sz w:val="20"/>
              </w:rPr>
              <w:t>(6)</w:t>
            </w:r>
          </w:p>
        </w:tc>
        <w:tc>
          <w:tcPr>
            <w:tcW w:w="261" w:type="pct"/>
            <w:shd w:val="clear" w:color="auto" w:fill="auto"/>
            <w:noWrap/>
            <w:vAlign w:val="center"/>
            <w:hideMark/>
          </w:tcPr>
          <w:p w:rsidR="005C31B2" w:rsidRPr="005C31B2" w:rsidRDefault="005C31B2" w:rsidP="005C31B2">
            <w:pPr>
              <w:spacing w:after="0" w:line="240" w:lineRule="auto"/>
              <w:jc w:val="center"/>
              <w:rPr>
                <w:rFonts w:eastAsia="Times New Roman" w:cs="Times New Roman"/>
                <w:sz w:val="20"/>
              </w:rPr>
            </w:pPr>
            <w:r w:rsidRPr="005C31B2">
              <w:rPr>
                <w:rFonts w:eastAsia="Times New Roman" w:cs="Times New Roman"/>
                <w:sz w:val="20"/>
              </w:rPr>
              <w:t>(7)</w:t>
            </w:r>
          </w:p>
        </w:tc>
        <w:tc>
          <w:tcPr>
            <w:tcW w:w="253" w:type="pct"/>
            <w:shd w:val="clear" w:color="auto" w:fill="auto"/>
            <w:noWrap/>
            <w:vAlign w:val="center"/>
            <w:hideMark/>
          </w:tcPr>
          <w:p w:rsidR="005C31B2" w:rsidRPr="005C31B2" w:rsidRDefault="005C31B2" w:rsidP="005C31B2">
            <w:pPr>
              <w:spacing w:after="0" w:line="240" w:lineRule="auto"/>
              <w:jc w:val="center"/>
              <w:rPr>
                <w:rFonts w:eastAsia="Times New Roman" w:cs="Times New Roman"/>
                <w:sz w:val="20"/>
              </w:rPr>
            </w:pPr>
            <w:r w:rsidRPr="005C31B2">
              <w:rPr>
                <w:rFonts w:eastAsia="Times New Roman" w:cs="Times New Roman"/>
                <w:sz w:val="20"/>
              </w:rPr>
              <w:t>(8)</w:t>
            </w:r>
          </w:p>
        </w:tc>
        <w:tc>
          <w:tcPr>
            <w:tcW w:w="234" w:type="pct"/>
            <w:shd w:val="clear" w:color="auto" w:fill="auto"/>
            <w:noWrap/>
            <w:vAlign w:val="center"/>
            <w:hideMark/>
          </w:tcPr>
          <w:p w:rsidR="005C31B2" w:rsidRPr="005C31B2" w:rsidRDefault="005C31B2" w:rsidP="005C31B2">
            <w:pPr>
              <w:spacing w:after="0" w:line="240" w:lineRule="auto"/>
              <w:jc w:val="center"/>
              <w:rPr>
                <w:rFonts w:eastAsia="Times New Roman" w:cs="Times New Roman"/>
                <w:sz w:val="20"/>
              </w:rPr>
            </w:pPr>
            <w:r w:rsidRPr="005C31B2">
              <w:rPr>
                <w:rFonts w:eastAsia="Times New Roman" w:cs="Times New Roman"/>
                <w:sz w:val="20"/>
              </w:rPr>
              <w:t>(9)</w:t>
            </w:r>
          </w:p>
        </w:tc>
        <w:tc>
          <w:tcPr>
            <w:tcW w:w="234" w:type="pct"/>
            <w:shd w:val="clear" w:color="auto" w:fill="auto"/>
            <w:noWrap/>
            <w:vAlign w:val="center"/>
            <w:hideMark/>
          </w:tcPr>
          <w:p w:rsidR="005C31B2" w:rsidRPr="005C31B2" w:rsidRDefault="005C31B2" w:rsidP="005C31B2">
            <w:pPr>
              <w:spacing w:after="0" w:line="240" w:lineRule="auto"/>
              <w:jc w:val="center"/>
              <w:rPr>
                <w:rFonts w:eastAsia="Times New Roman" w:cs="Times New Roman"/>
                <w:sz w:val="20"/>
              </w:rPr>
            </w:pPr>
            <w:r w:rsidRPr="005C31B2">
              <w:rPr>
                <w:rFonts w:eastAsia="Times New Roman" w:cs="Times New Roman"/>
                <w:sz w:val="20"/>
              </w:rPr>
              <w:t>(10)</w:t>
            </w:r>
          </w:p>
        </w:tc>
        <w:tc>
          <w:tcPr>
            <w:tcW w:w="280" w:type="pct"/>
            <w:shd w:val="clear" w:color="auto" w:fill="auto"/>
            <w:noWrap/>
            <w:vAlign w:val="center"/>
            <w:hideMark/>
          </w:tcPr>
          <w:p w:rsidR="005C31B2" w:rsidRPr="005C31B2" w:rsidRDefault="005C31B2" w:rsidP="005C31B2">
            <w:pPr>
              <w:spacing w:after="0" w:line="240" w:lineRule="auto"/>
              <w:jc w:val="center"/>
              <w:rPr>
                <w:rFonts w:eastAsia="Times New Roman" w:cs="Times New Roman"/>
                <w:sz w:val="20"/>
              </w:rPr>
            </w:pPr>
            <w:r w:rsidRPr="005C31B2">
              <w:rPr>
                <w:rFonts w:eastAsia="Times New Roman" w:cs="Times New Roman"/>
                <w:sz w:val="20"/>
              </w:rPr>
              <w:t>(11)</w:t>
            </w:r>
          </w:p>
        </w:tc>
        <w:tc>
          <w:tcPr>
            <w:tcW w:w="281" w:type="pct"/>
            <w:shd w:val="clear" w:color="auto" w:fill="auto"/>
            <w:noWrap/>
            <w:vAlign w:val="center"/>
            <w:hideMark/>
          </w:tcPr>
          <w:p w:rsidR="005C31B2" w:rsidRPr="005C31B2" w:rsidRDefault="005C31B2" w:rsidP="005C31B2">
            <w:pPr>
              <w:spacing w:after="0" w:line="240" w:lineRule="auto"/>
              <w:jc w:val="center"/>
              <w:rPr>
                <w:rFonts w:eastAsia="Times New Roman" w:cs="Times New Roman"/>
                <w:sz w:val="20"/>
              </w:rPr>
            </w:pPr>
            <w:r w:rsidRPr="005C31B2">
              <w:rPr>
                <w:rFonts w:eastAsia="Times New Roman" w:cs="Times New Roman"/>
                <w:sz w:val="20"/>
              </w:rPr>
              <w:t>(12)</w:t>
            </w:r>
          </w:p>
        </w:tc>
        <w:tc>
          <w:tcPr>
            <w:tcW w:w="280" w:type="pct"/>
            <w:shd w:val="clear" w:color="auto" w:fill="auto"/>
            <w:noWrap/>
            <w:vAlign w:val="center"/>
            <w:hideMark/>
          </w:tcPr>
          <w:p w:rsidR="005C31B2" w:rsidRPr="005C31B2" w:rsidRDefault="005C31B2" w:rsidP="005C31B2">
            <w:pPr>
              <w:spacing w:after="0" w:line="240" w:lineRule="auto"/>
              <w:jc w:val="center"/>
              <w:rPr>
                <w:rFonts w:eastAsia="Times New Roman" w:cs="Times New Roman"/>
                <w:sz w:val="20"/>
              </w:rPr>
            </w:pPr>
            <w:r w:rsidRPr="005C31B2">
              <w:rPr>
                <w:rFonts w:eastAsia="Times New Roman" w:cs="Times New Roman"/>
                <w:sz w:val="20"/>
              </w:rPr>
              <w:t>(13)</w:t>
            </w:r>
          </w:p>
        </w:tc>
        <w:tc>
          <w:tcPr>
            <w:tcW w:w="327" w:type="pct"/>
            <w:shd w:val="clear" w:color="auto" w:fill="auto"/>
            <w:noWrap/>
            <w:vAlign w:val="center"/>
            <w:hideMark/>
          </w:tcPr>
          <w:p w:rsidR="005C31B2" w:rsidRPr="005C31B2" w:rsidRDefault="005C31B2" w:rsidP="005C31B2">
            <w:pPr>
              <w:spacing w:after="0" w:line="240" w:lineRule="auto"/>
              <w:jc w:val="center"/>
              <w:rPr>
                <w:rFonts w:eastAsia="Times New Roman" w:cs="Times New Roman"/>
                <w:sz w:val="20"/>
              </w:rPr>
            </w:pPr>
            <w:r w:rsidRPr="005C31B2">
              <w:rPr>
                <w:rFonts w:eastAsia="Times New Roman" w:cs="Times New Roman"/>
                <w:sz w:val="20"/>
              </w:rPr>
              <w:t>(14)</w:t>
            </w:r>
          </w:p>
        </w:tc>
        <w:tc>
          <w:tcPr>
            <w:tcW w:w="234" w:type="pct"/>
            <w:shd w:val="clear" w:color="auto" w:fill="auto"/>
            <w:noWrap/>
            <w:vAlign w:val="center"/>
            <w:hideMark/>
          </w:tcPr>
          <w:p w:rsidR="005C31B2" w:rsidRPr="005C31B2" w:rsidRDefault="005C31B2" w:rsidP="005C31B2">
            <w:pPr>
              <w:spacing w:after="0" w:line="240" w:lineRule="auto"/>
              <w:jc w:val="center"/>
              <w:rPr>
                <w:rFonts w:eastAsia="Times New Roman" w:cs="Times New Roman"/>
                <w:sz w:val="20"/>
              </w:rPr>
            </w:pPr>
            <w:r w:rsidRPr="005C31B2">
              <w:rPr>
                <w:rFonts w:eastAsia="Times New Roman" w:cs="Times New Roman"/>
                <w:sz w:val="20"/>
              </w:rPr>
              <w:t>(15)</w:t>
            </w:r>
          </w:p>
        </w:tc>
        <w:tc>
          <w:tcPr>
            <w:tcW w:w="374" w:type="pct"/>
            <w:vAlign w:val="center"/>
          </w:tcPr>
          <w:p w:rsidR="005C31B2" w:rsidRPr="005C31B2" w:rsidRDefault="005C31B2" w:rsidP="005C31B2">
            <w:pPr>
              <w:spacing w:after="0" w:line="240" w:lineRule="auto"/>
              <w:jc w:val="center"/>
              <w:rPr>
                <w:rFonts w:eastAsia="Times New Roman" w:cs="Times New Roman"/>
                <w:sz w:val="20"/>
              </w:rPr>
            </w:pPr>
            <w:r w:rsidRPr="005C31B2">
              <w:rPr>
                <w:rFonts w:eastAsia="Times New Roman" w:cs="Times New Roman"/>
                <w:sz w:val="20"/>
              </w:rPr>
              <w:t>(16)</w:t>
            </w:r>
          </w:p>
        </w:tc>
        <w:tc>
          <w:tcPr>
            <w:tcW w:w="370" w:type="pct"/>
            <w:vAlign w:val="center"/>
          </w:tcPr>
          <w:p w:rsidR="005C31B2" w:rsidRPr="005C31B2" w:rsidRDefault="005C31B2" w:rsidP="005C31B2">
            <w:pPr>
              <w:spacing w:after="0" w:line="240" w:lineRule="auto"/>
              <w:jc w:val="center"/>
              <w:rPr>
                <w:rFonts w:eastAsia="Times New Roman" w:cs="Times New Roman"/>
                <w:sz w:val="20"/>
              </w:rPr>
            </w:pPr>
            <w:r w:rsidRPr="005C31B2">
              <w:rPr>
                <w:rFonts w:eastAsia="Times New Roman" w:cs="Times New Roman"/>
                <w:sz w:val="20"/>
              </w:rPr>
              <w:t>(17)</w:t>
            </w:r>
          </w:p>
        </w:tc>
      </w:tr>
      <w:tr w:rsidR="005C31B2" w:rsidRPr="005C31B2" w:rsidTr="00D14E95">
        <w:trPr>
          <w:trHeight w:val="2791"/>
        </w:trPr>
        <w:tc>
          <w:tcPr>
            <w:tcW w:w="327" w:type="pct"/>
            <w:shd w:val="clear" w:color="auto" w:fill="auto"/>
            <w:noWrap/>
            <w:vAlign w:val="center"/>
          </w:tcPr>
          <w:p w:rsidR="005C31B2" w:rsidRPr="005C31B2" w:rsidRDefault="005C31B2" w:rsidP="005C31B2">
            <w:pPr>
              <w:spacing w:after="0" w:line="240" w:lineRule="auto"/>
              <w:jc w:val="center"/>
              <w:rPr>
                <w:rFonts w:eastAsia="Times New Roman" w:cs="Times New Roman"/>
                <w:sz w:val="18"/>
                <w:szCs w:val="18"/>
              </w:rPr>
            </w:pPr>
          </w:p>
        </w:tc>
        <w:tc>
          <w:tcPr>
            <w:tcW w:w="281" w:type="pct"/>
            <w:vAlign w:val="center"/>
          </w:tcPr>
          <w:p w:rsidR="005C31B2" w:rsidRPr="005C31B2" w:rsidRDefault="005C31B2" w:rsidP="005C31B2">
            <w:pPr>
              <w:spacing w:after="0" w:line="240" w:lineRule="auto"/>
              <w:jc w:val="center"/>
              <w:rPr>
                <w:rFonts w:eastAsia="Times New Roman" w:cs="Times New Roman"/>
                <w:sz w:val="18"/>
                <w:szCs w:val="18"/>
              </w:rPr>
            </w:pPr>
          </w:p>
        </w:tc>
        <w:tc>
          <w:tcPr>
            <w:tcW w:w="327" w:type="pct"/>
            <w:vAlign w:val="center"/>
          </w:tcPr>
          <w:p w:rsidR="005C31B2" w:rsidRPr="005C31B2" w:rsidRDefault="005C31B2" w:rsidP="005C31B2">
            <w:pPr>
              <w:spacing w:after="0" w:line="240" w:lineRule="auto"/>
              <w:jc w:val="center"/>
              <w:rPr>
                <w:rFonts w:eastAsia="Times New Roman" w:cs="Times New Roman"/>
                <w:sz w:val="18"/>
                <w:szCs w:val="18"/>
              </w:rPr>
            </w:pPr>
          </w:p>
        </w:tc>
        <w:tc>
          <w:tcPr>
            <w:tcW w:w="328" w:type="pct"/>
            <w:shd w:val="clear" w:color="auto" w:fill="auto"/>
            <w:noWrap/>
            <w:vAlign w:val="center"/>
          </w:tcPr>
          <w:p w:rsidR="005C31B2" w:rsidRPr="005C31B2" w:rsidRDefault="005C31B2" w:rsidP="005C31B2">
            <w:pPr>
              <w:spacing w:after="0" w:line="240" w:lineRule="auto"/>
              <w:jc w:val="center"/>
              <w:rPr>
                <w:rFonts w:eastAsia="Times New Roman" w:cs="Times New Roman"/>
                <w:sz w:val="18"/>
                <w:szCs w:val="18"/>
              </w:rPr>
            </w:pPr>
            <w:r w:rsidRPr="005C31B2">
              <w:rPr>
                <w:rFonts w:eastAsia="Times New Roman" w:cs="Times New Roman"/>
                <w:sz w:val="18"/>
                <w:szCs w:val="18"/>
              </w:rPr>
              <w:t>Nhà thầu kê khai đầy đủ và cụ thể các mã hàng hóa dự thầu</w:t>
            </w:r>
          </w:p>
        </w:tc>
        <w:tc>
          <w:tcPr>
            <w:tcW w:w="300" w:type="pct"/>
            <w:shd w:val="clear" w:color="auto" w:fill="auto"/>
            <w:noWrap/>
            <w:vAlign w:val="center"/>
          </w:tcPr>
          <w:p w:rsidR="005C31B2" w:rsidRPr="005C31B2" w:rsidRDefault="005C31B2" w:rsidP="005C31B2">
            <w:pPr>
              <w:spacing w:after="0" w:line="240" w:lineRule="auto"/>
              <w:jc w:val="center"/>
              <w:rPr>
                <w:rFonts w:eastAsia="Times New Roman" w:cs="Times New Roman"/>
                <w:sz w:val="18"/>
                <w:szCs w:val="18"/>
                <w:lang w:val="vi-VN"/>
              </w:rPr>
            </w:pPr>
            <w:r w:rsidRPr="005C31B2">
              <w:rPr>
                <w:rFonts w:eastAsia="Times New Roman" w:cs="Times New Roman"/>
                <w:sz w:val="18"/>
                <w:szCs w:val="18"/>
              </w:rPr>
              <w:t>Nhà thầu kê khai thông số kỹ thuật của nhà sản xuất</w:t>
            </w:r>
            <w:r w:rsidRPr="005C31B2">
              <w:rPr>
                <w:rFonts w:eastAsia="Times New Roman" w:cs="Times New Roman"/>
                <w:sz w:val="18"/>
                <w:szCs w:val="18"/>
                <w:lang w:val="vi-VN"/>
              </w:rPr>
              <w:t xml:space="preserve"> tương ứng với E-HSMT</w:t>
            </w:r>
          </w:p>
        </w:tc>
        <w:tc>
          <w:tcPr>
            <w:tcW w:w="308" w:type="pct"/>
            <w:shd w:val="clear" w:color="auto" w:fill="auto"/>
            <w:noWrap/>
            <w:vAlign w:val="center"/>
          </w:tcPr>
          <w:p w:rsidR="005C31B2" w:rsidRPr="005C31B2" w:rsidRDefault="005C31B2" w:rsidP="005C31B2">
            <w:pPr>
              <w:spacing w:after="0" w:line="240" w:lineRule="auto"/>
              <w:jc w:val="center"/>
              <w:rPr>
                <w:rFonts w:eastAsia="Times New Roman" w:cs="Times New Roman"/>
                <w:sz w:val="18"/>
                <w:szCs w:val="18"/>
              </w:rPr>
            </w:pPr>
            <w:r w:rsidRPr="005C31B2">
              <w:rPr>
                <w:rFonts w:eastAsia="Times New Roman" w:cs="Times New Roman"/>
                <w:sz w:val="18"/>
                <w:szCs w:val="18"/>
              </w:rPr>
              <w:t>Nhà thầu ghi số trang các tài liệu tương ứng của E-HSDT theo kê khai cột (5)</w:t>
            </w:r>
          </w:p>
        </w:tc>
        <w:tc>
          <w:tcPr>
            <w:tcW w:w="261" w:type="pct"/>
            <w:shd w:val="clear" w:color="auto" w:fill="auto"/>
            <w:noWrap/>
            <w:vAlign w:val="center"/>
          </w:tcPr>
          <w:p w:rsidR="005C31B2" w:rsidRPr="005C31B2" w:rsidRDefault="005C31B2" w:rsidP="005C31B2">
            <w:pPr>
              <w:spacing w:after="0" w:line="240" w:lineRule="auto"/>
              <w:jc w:val="center"/>
              <w:rPr>
                <w:rFonts w:eastAsia="Times New Roman" w:cs="Times New Roman"/>
                <w:sz w:val="18"/>
                <w:szCs w:val="18"/>
              </w:rPr>
            </w:pPr>
          </w:p>
        </w:tc>
        <w:tc>
          <w:tcPr>
            <w:tcW w:w="253" w:type="pct"/>
            <w:shd w:val="clear" w:color="auto" w:fill="auto"/>
            <w:noWrap/>
            <w:vAlign w:val="center"/>
          </w:tcPr>
          <w:p w:rsidR="005C31B2" w:rsidRPr="005C31B2" w:rsidRDefault="005C31B2" w:rsidP="005C31B2">
            <w:pPr>
              <w:spacing w:after="0" w:line="240" w:lineRule="auto"/>
              <w:jc w:val="center"/>
              <w:rPr>
                <w:rFonts w:eastAsia="Times New Roman" w:cs="Times New Roman"/>
                <w:sz w:val="18"/>
                <w:szCs w:val="18"/>
              </w:rPr>
            </w:pPr>
          </w:p>
        </w:tc>
        <w:tc>
          <w:tcPr>
            <w:tcW w:w="234" w:type="pct"/>
            <w:shd w:val="clear" w:color="auto" w:fill="auto"/>
            <w:noWrap/>
            <w:vAlign w:val="center"/>
          </w:tcPr>
          <w:p w:rsidR="005C31B2" w:rsidRPr="005C31B2" w:rsidRDefault="005C31B2" w:rsidP="005C31B2">
            <w:pPr>
              <w:spacing w:after="0" w:line="240" w:lineRule="auto"/>
              <w:jc w:val="center"/>
              <w:rPr>
                <w:rFonts w:eastAsia="Times New Roman" w:cs="Times New Roman"/>
                <w:sz w:val="18"/>
                <w:szCs w:val="18"/>
              </w:rPr>
            </w:pPr>
          </w:p>
        </w:tc>
        <w:tc>
          <w:tcPr>
            <w:tcW w:w="234" w:type="pct"/>
            <w:shd w:val="clear" w:color="auto" w:fill="auto"/>
            <w:noWrap/>
            <w:vAlign w:val="center"/>
          </w:tcPr>
          <w:p w:rsidR="005C31B2" w:rsidRPr="005C31B2" w:rsidRDefault="005C31B2" w:rsidP="005C31B2">
            <w:pPr>
              <w:spacing w:after="0" w:line="240" w:lineRule="auto"/>
              <w:jc w:val="center"/>
              <w:rPr>
                <w:rFonts w:eastAsia="Times New Roman" w:cs="Times New Roman"/>
                <w:sz w:val="18"/>
                <w:szCs w:val="18"/>
              </w:rPr>
            </w:pPr>
          </w:p>
        </w:tc>
        <w:tc>
          <w:tcPr>
            <w:tcW w:w="280" w:type="pct"/>
            <w:shd w:val="clear" w:color="auto" w:fill="auto"/>
            <w:noWrap/>
            <w:vAlign w:val="center"/>
          </w:tcPr>
          <w:p w:rsidR="005C31B2" w:rsidRPr="005C31B2" w:rsidRDefault="005C31B2" w:rsidP="005C31B2">
            <w:pPr>
              <w:spacing w:after="0" w:line="240" w:lineRule="auto"/>
              <w:jc w:val="center"/>
              <w:rPr>
                <w:rFonts w:eastAsia="Times New Roman" w:cs="Times New Roman"/>
                <w:sz w:val="18"/>
                <w:szCs w:val="18"/>
              </w:rPr>
            </w:pPr>
          </w:p>
        </w:tc>
        <w:tc>
          <w:tcPr>
            <w:tcW w:w="281" w:type="pct"/>
            <w:shd w:val="clear" w:color="auto" w:fill="auto"/>
            <w:noWrap/>
            <w:vAlign w:val="center"/>
          </w:tcPr>
          <w:p w:rsidR="005C31B2" w:rsidRPr="005C31B2" w:rsidRDefault="005C31B2" w:rsidP="005C31B2">
            <w:pPr>
              <w:spacing w:after="0" w:line="240" w:lineRule="auto"/>
              <w:jc w:val="center"/>
              <w:rPr>
                <w:rFonts w:eastAsia="Times New Roman" w:cs="Times New Roman"/>
                <w:sz w:val="18"/>
                <w:szCs w:val="18"/>
              </w:rPr>
            </w:pPr>
          </w:p>
        </w:tc>
        <w:tc>
          <w:tcPr>
            <w:tcW w:w="280" w:type="pct"/>
            <w:shd w:val="clear" w:color="auto" w:fill="auto"/>
            <w:noWrap/>
            <w:vAlign w:val="center"/>
          </w:tcPr>
          <w:p w:rsidR="005C31B2" w:rsidRPr="005C31B2" w:rsidRDefault="005C31B2" w:rsidP="005C31B2">
            <w:pPr>
              <w:spacing w:after="0" w:line="240" w:lineRule="auto"/>
              <w:jc w:val="center"/>
              <w:rPr>
                <w:rFonts w:eastAsia="Times New Roman" w:cs="Times New Roman"/>
                <w:sz w:val="18"/>
                <w:szCs w:val="18"/>
              </w:rPr>
            </w:pPr>
          </w:p>
        </w:tc>
        <w:tc>
          <w:tcPr>
            <w:tcW w:w="327" w:type="pct"/>
            <w:shd w:val="clear" w:color="auto" w:fill="auto"/>
            <w:noWrap/>
            <w:vAlign w:val="center"/>
          </w:tcPr>
          <w:p w:rsidR="005C31B2" w:rsidRPr="005C31B2" w:rsidRDefault="005C31B2" w:rsidP="005C31B2">
            <w:pPr>
              <w:spacing w:after="0" w:line="240" w:lineRule="auto"/>
              <w:jc w:val="center"/>
              <w:rPr>
                <w:rFonts w:eastAsia="Times New Roman" w:cs="Times New Roman"/>
                <w:sz w:val="18"/>
                <w:szCs w:val="18"/>
              </w:rPr>
            </w:pPr>
          </w:p>
        </w:tc>
        <w:tc>
          <w:tcPr>
            <w:tcW w:w="234" w:type="pct"/>
            <w:shd w:val="clear" w:color="auto" w:fill="auto"/>
            <w:noWrap/>
            <w:vAlign w:val="center"/>
          </w:tcPr>
          <w:p w:rsidR="005C31B2" w:rsidRPr="005C31B2" w:rsidRDefault="005C31B2" w:rsidP="005C31B2">
            <w:pPr>
              <w:spacing w:after="0" w:line="240" w:lineRule="auto"/>
              <w:jc w:val="center"/>
              <w:rPr>
                <w:rFonts w:eastAsia="Times New Roman" w:cs="Times New Roman"/>
                <w:sz w:val="18"/>
                <w:szCs w:val="18"/>
              </w:rPr>
            </w:pPr>
          </w:p>
        </w:tc>
        <w:tc>
          <w:tcPr>
            <w:tcW w:w="374" w:type="pct"/>
            <w:vAlign w:val="center"/>
          </w:tcPr>
          <w:p w:rsidR="005C31B2" w:rsidRPr="005C31B2" w:rsidRDefault="005C31B2" w:rsidP="005C31B2">
            <w:pPr>
              <w:spacing w:after="0" w:line="240" w:lineRule="auto"/>
              <w:jc w:val="center"/>
              <w:rPr>
                <w:rFonts w:eastAsia="Times New Roman" w:cs="Times New Roman"/>
                <w:sz w:val="18"/>
                <w:szCs w:val="18"/>
              </w:rPr>
            </w:pPr>
            <w:r w:rsidRPr="005C31B2">
              <w:rPr>
                <w:rFonts w:eastAsia="Times New Roman" w:cs="Times New Roman"/>
                <w:sz w:val="18"/>
                <w:szCs w:val="18"/>
              </w:rPr>
              <w:t xml:space="preserve">Ghi tên chứng nhận tiêu chuẩn chất lượng và </w:t>
            </w:r>
            <w:r w:rsidRPr="005C31B2">
              <w:rPr>
                <w:rFonts w:eastAsia="Times New Roman" w:cs="Times New Roman"/>
                <w:b/>
                <w:sz w:val="18"/>
                <w:szCs w:val="18"/>
              </w:rPr>
              <w:t>hiệu lực đến ngày/tháng/năm</w:t>
            </w:r>
          </w:p>
          <w:p w:rsidR="005C31B2" w:rsidRPr="005C31B2" w:rsidRDefault="005C31B2" w:rsidP="005C31B2">
            <w:pPr>
              <w:spacing w:after="0" w:line="240" w:lineRule="auto"/>
              <w:jc w:val="both"/>
              <w:rPr>
                <w:rFonts w:eastAsia="Times New Roman" w:cs="Times New Roman"/>
                <w:sz w:val="18"/>
                <w:szCs w:val="18"/>
              </w:rPr>
            </w:pPr>
          </w:p>
          <w:p w:rsidR="005C31B2" w:rsidRPr="005C31B2" w:rsidRDefault="005C31B2" w:rsidP="005C31B2">
            <w:pPr>
              <w:spacing w:after="0" w:line="240" w:lineRule="auto"/>
              <w:jc w:val="both"/>
              <w:rPr>
                <w:rFonts w:eastAsia="Times New Roman" w:cs="Times New Roman"/>
                <w:sz w:val="18"/>
                <w:szCs w:val="18"/>
              </w:rPr>
            </w:pPr>
          </w:p>
        </w:tc>
        <w:tc>
          <w:tcPr>
            <w:tcW w:w="370" w:type="pct"/>
            <w:vAlign w:val="center"/>
          </w:tcPr>
          <w:p w:rsidR="005C31B2" w:rsidRPr="005C31B2" w:rsidRDefault="005C31B2" w:rsidP="005C31B2">
            <w:pPr>
              <w:spacing w:after="0" w:line="240" w:lineRule="auto"/>
              <w:jc w:val="center"/>
              <w:rPr>
                <w:rFonts w:eastAsia="Times New Roman" w:cs="Times New Roman"/>
                <w:sz w:val="18"/>
                <w:szCs w:val="18"/>
              </w:rPr>
            </w:pPr>
            <w:r w:rsidRPr="005C31B2">
              <w:rPr>
                <w:rFonts w:eastAsia="Times New Roman" w:cs="Times New Roman"/>
                <w:sz w:val="18"/>
                <w:szCs w:val="18"/>
              </w:rPr>
              <w:t>Loại A, 123xxx ngày 01/01/2024, Công ty  ABC</w:t>
            </w:r>
          </w:p>
        </w:tc>
      </w:tr>
    </w:tbl>
    <w:p w:rsidR="005C31B2" w:rsidRPr="005C31B2" w:rsidRDefault="005C31B2" w:rsidP="005C31B2">
      <w:pPr>
        <w:spacing w:after="0" w:line="240" w:lineRule="auto"/>
        <w:jc w:val="both"/>
        <w:rPr>
          <w:rFonts w:eastAsia="Times New Roman" w:cs="Times New Roman"/>
          <w:sz w:val="24"/>
          <w:szCs w:val="20"/>
          <w:lang w:val="nl-NL"/>
        </w:rPr>
        <w:sectPr w:rsidR="005C31B2" w:rsidRPr="005C31B2" w:rsidSect="00ED7BCB">
          <w:footnotePr>
            <w:numRestart w:val="eachPage"/>
          </w:footnotePr>
          <w:endnotePr>
            <w:numFmt w:val="decimal"/>
          </w:endnotePr>
          <w:pgSz w:w="16838" w:h="11906" w:orient="landscape" w:code="9"/>
          <w:pgMar w:top="1418" w:right="1134" w:bottom="1134" w:left="1134" w:header="720" w:footer="255" w:gutter="0"/>
          <w:cols w:space="720"/>
          <w:noEndnote/>
          <w:docGrid w:linePitch="381"/>
        </w:sectPr>
      </w:pPr>
    </w:p>
    <w:p w:rsidR="005C31B2" w:rsidRPr="005C31B2" w:rsidRDefault="005C31B2" w:rsidP="005C31B2">
      <w:pPr>
        <w:numPr>
          <w:ilvl w:val="1"/>
          <w:numId w:val="2"/>
        </w:numPr>
        <w:spacing w:before="120" w:after="120" w:line="264" w:lineRule="auto"/>
        <w:contextualSpacing/>
        <w:jc w:val="both"/>
        <w:rPr>
          <w:rFonts w:eastAsia="Times New Roman" w:cs="Times New Roman"/>
          <w:b/>
          <w:i/>
          <w:sz w:val="24"/>
          <w:szCs w:val="24"/>
          <w:lang w:val="nl-NL"/>
        </w:rPr>
      </w:pPr>
      <w:r w:rsidRPr="005C31B2">
        <w:rPr>
          <w:rFonts w:eastAsia="Times New Roman" w:cs="Times New Roman"/>
          <w:b/>
          <w:i/>
          <w:sz w:val="24"/>
          <w:szCs w:val="24"/>
          <w:lang w:val="nl-NL"/>
        </w:rPr>
        <w:lastRenderedPageBreak/>
        <w:t xml:space="preserve"> Các yêu cầu khác:</w:t>
      </w:r>
    </w:p>
    <w:p w:rsidR="005C31B2" w:rsidRPr="005C31B2" w:rsidRDefault="005C31B2" w:rsidP="005C31B2">
      <w:pPr>
        <w:spacing w:before="120" w:after="120" w:line="264" w:lineRule="auto"/>
        <w:ind w:firstLine="284"/>
        <w:contextualSpacing/>
        <w:jc w:val="both"/>
        <w:rPr>
          <w:rFonts w:eastAsia="Times New Roman" w:cs="Times New Roman"/>
          <w:sz w:val="24"/>
          <w:szCs w:val="24"/>
          <w:lang w:val="vi-VN"/>
        </w:rPr>
      </w:pPr>
      <w:r w:rsidRPr="005C31B2">
        <w:rPr>
          <w:rFonts w:eastAsia="Times New Roman" w:cs="Times New Roman"/>
          <w:sz w:val="24"/>
          <w:szCs w:val="24"/>
          <w:lang w:val="nl-NL"/>
        </w:rPr>
        <w:t xml:space="preserve">- Nhà thầu cung cấp </w:t>
      </w:r>
      <w:r w:rsidRPr="005C31B2">
        <w:rPr>
          <w:rFonts w:eastAsia="Times New Roman" w:cs="Times New Roman"/>
          <w:sz w:val="24"/>
          <w:szCs w:val="24"/>
          <w:lang w:val="vi-VN"/>
        </w:rPr>
        <w:t xml:space="preserve">các tài liệu kỹ thuật của </w:t>
      </w:r>
      <w:r w:rsidRPr="005C31B2">
        <w:rPr>
          <w:rFonts w:eastAsia="Times New Roman" w:cs="Times New Roman"/>
          <w:sz w:val="24"/>
          <w:szCs w:val="24"/>
          <w:lang w:val="nl-NL"/>
        </w:rPr>
        <w:t>hàng hóa dự thầu</w:t>
      </w:r>
      <w:r w:rsidRPr="005C31B2">
        <w:rPr>
          <w:rFonts w:eastAsia="Times New Roman" w:cs="Times New Roman"/>
          <w:sz w:val="24"/>
          <w:szCs w:val="24"/>
          <w:lang w:val="vi-VN"/>
        </w:rPr>
        <w:t xml:space="preserve"> phải là file scan </w:t>
      </w:r>
      <w:r w:rsidRPr="005C31B2">
        <w:rPr>
          <w:rFonts w:eastAsia="Times New Roman" w:cs="Times New Roman"/>
          <w:sz w:val="24"/>
          <w:szCs w:val="24"/>
          <w:lang w:val="nl-NL"/>
        </w:rPr>
        <w:t xml:space="preserve">bản gốc hoặc </w:t>
      </w:r>
      <w:r w:rsidRPr="005C31B2">
        <w:rPr>
          <w:rFonts w:eastAsia="Times New Roman" w:cs="Times New Roman"/>
          <w:sz w:val="24"/>
          <w:szCs w:val="24"/>
          <w:lang w:val="vi-VN"/>
        </w:rPr>
        <w:t>file scan bản sao y từ bản gốc của nhà sản xuất ( hướng dẫn sử dụng, catalogue, nhãn hàng hóa...) và highlight các nội dung tương ứng với thông tin đã kê khai.</w:t>
      </w:r>
    </w:p>
    <w:p w:rsidR="005C31B2" w:rsidRPr="005C31B2" w:rsidRDefault="005C31B2" w:rsidP="005C31B2">
      <w:pPr>
        <w:spacing w:before="120" w:after="120" w:line="264" w:lineRule="auto"/>
        <w:ind w:firstLine="284"/>
        <w:contextualSpacing/>
        <w:jc w:val="both"/>
        <w:rPr>
          <w:rFonts w:eastAsia="Times New Roman" w:cs="Times New Roman"/>
          <w:sz w:val="24"/>
          <w:szCs w:val="24"/>
          <w:lang w:val="nl-NL"/>
        </w:rPr>
      </w:pPr>
      <w:r w:rsidRPr="005C31B2">
        <w:rPr>
          <w:rFonts w:eastAsia="Times New Roman" w:cs="Times New Roman"/>
          <w:sz w:val="24"/>
          <w:szCs w:val="24"/>
          <w:lang w:val="vi-VN"/>
        </w:rPr>
        <w:t>- Nhà thầu cung cấp giấy chứng nhận hàng hóa dự thầu được sử dụng trong chẩn đoán (IVD) hoặc tài liệu tương đương thể hiện mục đích sử dụng ( ký hiệu IVD trên bao bì sản phẩm của nhà sản xuất, thông tin tại giấy đăng ký lưu hành...).</w:t>
      </w:r>
    </w:p>
    <w:p w:rsidR="005C31B2" w:rsidRPr="005C31B2" w:rsidRDefault="005C31B2" w:rsidP="005C31B2">
      <w:pPr>
        <w:spacing w:before="120" w:after="120" w:line="264" w:lineRule="auto"/>
        <w:ind w:firstLine="284"/>
        <w:contextualSpacing/>
        <w:jc w:val="both"/>
        <w:rPr>
          <w:rFonts w:eastAsia="Times New Roman" w:cs="Times New Roman"/>
          <w:sz w:val="24"/>
          <w:szCs w:val="24"/>
          <w:lang w:val="nl-NL"/>
        </w:rPr>
      </w:pPr>
      <w:r w:rsidRPr="005C31B2">
        <w:rPr>
          <w:rFonts w:eastAsia="Times New Roman" w:cs="Times New Roman"/>
          <w:sz w:val="24"/>
          <w:szCs w:val="24"/>
          <w:lang w:val="nl-NL"/>
        </w:rPr>
        <w:t xml:space="preserve">- Nhà thầu phải có Bản cam kết theo mẫu sau: </w:t>
      </w:r>
    </w:p>
    <w:p w:rsidR="005C31B2" w:rsidRPr="005C31B2" w:rsidRDefault="005C31B2" w:rsidP="005C31B2">
      <w:pPr>
        <w:spacing w:before="120" w:after="120" w:line="264" w:lineRule="auto"/>
        <w:contextualSpacing/>
        <w:jc w:val="both"/>
        <w:rPr>
          <w:rFonts w:eastAsia="Times New Roman" w:cs="Times New Roman"/>
          <w:sz w:val="20"/>
          <w:szCs w:val="24"/>
          <w:lang w:val="nl-NL"/>
        </w:rPr>
      </w:pPr>
    </w:p>
    <w:p w:rsidR="005C31B2" w:rsidRPr="005C31B2" w:rsidRDefault="005C31B2" w:rsidP="005C31B2">
      <w:pPr>
        <w:spacing w:before="120" w:after="120" w:line="264" w:lineRule="auto"/>
        <w:contextualSpacing/>
        <w:jc w:val="center"/>
        <w:rPr>
          <w:rFonts w:eastAsia="Times New Roman" w:cs="Times New Roman"/>
          <w:b/>
          <w:sz w:val="24"/>
          <w:szCs w:val="24"/>
          <w:lang w:val="nl-NL"/>
        </w:rPr>
      </w:pPr>
      <w:r w:rsidRPr="005C31B2">
        <w:rPr>
          <w:rFonts w:eastAsia="Times New Roman" w:cs="Times New Roman"/>
          <w:b/>
          <w:sz w:val="24"/>
          <w:szCs w:val="24"/>
          <w:lang w:val="nl-NL"/>
        </w:rPr>
        <w:t>CỘNG HÒA XÃ HỘI CHỦ NGHĨA VIỆT NAM</w:t>
      </w:r>
    </w:p>
    <w:p w:rsidR="005C31B2" w:rsidRPr="005C31B2" w:rsidRDefault="005C31B2" w:rsidP="005C31B2">
      <w:pPr>
        <w:spacing w:before="120" w:after="120" w:line="264" w:lineRule="auto"/>
        <w:contextualSpacing/>
        <w:jc w:val="center"/>
        <w:rPr>
          <w:rFonts w:eastAsia="Times New Roman" w:cs="Times New Roman"/>
          <w:b/>
          <w:sz w:val="24"/>
          <w:szCs w:val="24"/>
          <w:lang w:val="nl-NL"/>
        </w:rPr>
      </w:pPr>
      <w:r w:rsidRPr="005C31B2">
        <w:rPr>
          <w:rFonts w:eastAsia="Times New Roman" w:cs="Times New Roman"/>
          <w:b/>
          <w:sz w:val="24"/>
          <w:szCs w:val="24"/>
          <w:lang w:val="nl-NL"/>
        </w:rPr>
        <w:t>Độc lập – Tự do – Hạnh phúc</w:t>
      </w:r>
    </w:p>
    <w:p w:rsidR="005C31B2" w:rsidRPr="005C31B2" w:rsidRDefault="005C31B2" w:rsidP="005C31B2">
      <w:pPr>
        <w:spacing w:before="120" w:after="120" w:line="264" w:lineRule="auto"/>
        <w:ind w:left="1429"/>
        <w:contextualSpacing/>
        <w:jc w:val="center"/>
        <w:rPr>
          <w:rFonts w:eastAsia="Times New Roman" w:cs="Times New Roman"/>
          <w:b/>
          <w:sz w:val="20"/>
          <w:szCs w:val="24"/>
          <w:lang w:val="nl-NL"/>
        </w:rPr>
      </w:pPr>
    </w:p>
    <w:p w:rsidR="005C31B2" w:rsidRPr="005C31B2" w:rsidRDefault="005C31B2" w:rsidP="005C31B2">
      <w:pPr>
        <w:spacing w:before="120" w:after="120" w:line="264" w:lineRule="auto"/>
        <w:contextualSpacing/>
        <w:jc w:val="center"/>
        <w:rPr>
          <w:rFonts w:eastAsia="Times New Roman" w:cs="Times New Roman"/>
          <w:b/>
          <w:sz w:val="24"/>
          <w:szCs w:val="24"/>
          <w:lang w:val="nl-NL"/>
        </w:rPr>
      </w:pPr>
      <w:r w:rsidRPr="005C31B2">
        <w:rPr>
          <w:rFonts w:eastAsia="Times New Roman" w:cs="Times New Roman"/>
          <w:b/>
          <w:sz w:val="24"/>
          <w:szCs w:val="24"/>
          <w:lang w:val="nl-NL"/>
        </w:rPr>
        <w:t>BẢN CAM KẾT</w:t>
      </w:r>
    </w:p>
    <w:p w:rsidR="005C31B2" w:rsidRPr="005C31B2" w:rsidRDefault="005C31B2" w:rsidP="005C31B2">
      <w:pPr>
        <w:spacing w:before="120" w:after="120" w:line="264" w:lineRule="auto"/>
        <w:ind w:left="1429"/>
        <w:contextualSpacing/>
        <w:jc w:val="center"/>
        <w:rPr>
          <w:rFonts w:eastAsia="Times New Roman" w:cs="Times New Roman"/>
          <w:sz w:val="20"/>
          <w:szCs w:val="24"/>
          <w:lang w:val="nl-NL"/>
        </w:rPr>
      </w:pPr>
    </w:p>
    <w:p w:rsidR="005C31B2" w:rsidRPr="005C31B2" w:rsidRDefault="005C31B2" w:rsidP="005C31B2">
      <w:pPr>
        <w:tabs>
          <w:tab w:val="left" w:pos="9641"/>
        </w:tabs>
        <w:spacing w:before="120" w:after="120" w:line="264" w:lineRule="auto"/>
        <w:contextualSpacing/>
        <w:jc w:val="center"/>
        <w:rPr>
          <w:rFonts w:eastAsia="Times New Roman" w:cs="Times New Roman"/>
          <w:sz w:val="24"/>
          <w:szCs w:val="24"/>
          <w:lang w:val="nl-NL"/>
        </w:rPr>
      </w:pPr>
      <w:r w:rsidRPr="005C31B2">
        <w:rPr>
          <w:rFonts w:eastAsia="Times New Roman" w:cs="Times New Roman"/>
          <w:sz w:val="24"/>
          <w:szCs w:val="24"/>
          <w:lang w:val="nl-NL"/>
        </w:rPr>
        <w:t>Kính gửi: Bệnh viện Đa khoa Tiền Giang</w:t>
      </w:r>
    </w:p>
    <w:p w:rsidR="005C31B2" w:rsidRPr="005C31B2" w:rsidRDefault="005C31B2" w:rsidP="005C31B2">
      <w:pPr>
        <w:tabs>
          <w:tab w:val="left" w:pos="9641"/>
        </w:tabs>
        <w:spacing w:before="120" w:after="120" w:line="264" w:lineRule="auto"/>
        <w:contextualSpacing/>
        <w:jc w:val="center"/>
        <w:rPr>
          <w:rFonts w:eastAsia="Times New Roman" w:cs="Times New Roman"/>
          <w:sz w:val="20"/>
          <w:szCs w:val="24"/>
          <w:lang w:val="nl-NL"/>
        </w:rPr>
      </w:pPr>
    </w:p>
    <w:p w:rsidR="005C31B2" w:rsidRPr="005C31B2" w:rsidRDefault="005C31B2" w:rsidP="005C31B2">
      <w:pPr>
        <w:spacing w:before="120" w:after="120" w:line="264" w:lineRule="auto"/>
        <w:ind w:left="1429" w:hanging="1003"/>
        <w:contextualSpacing/>
        <w:jc w:val="both"/>
        <w:rPr>
          <w:rFonts w:eastAsia="Times New Roman" w:cs="Times New Roman"/>
          <w:sz w:val="24"/>
          <w:szCs w:val="24"/>
          <w:lang w:val="nl-NL"/>
        </w:rPr>
      </w:pPr>
      <w:r w:rsidRPr="005C31B2">
        <w:rPr>
          <w:rFonts w:eastAsia="Times New Roman" w:cs="Times New Roman"/>
          <w:sz w:val="24"/>
          <w:szCs w:val="24"/>
          <w:lang w:val="nl-NL"/>
        </w:rPr>
        <w:t>Sau khi nghiên cứu E-HSMT gói thầu: .........................................................................</w:t>
      </w:r>
    </w:p>
    <w:p w:rsidR="005C31B2" w:rsidRPr="005C31B2" w:rsidRDefault="005C31B2" w:rsidP="005C31B2">
      <w:pPr>
        <w:spacing w:before="120" w:after="120" w:line="264" w:lineRule="auto"/>
        <w:ind w:firstLine="426"/>
        <w:contextualSpacing/>
        <w:jc w:val="both"/>
        <w:rPr>
          <w:rFonts w:eastAsia="Times New Roman" w:cs="Times New Roman"/>
          <w:sz w:val="24"/>
          <w:szCs w:val="24"/>
          <w:lang w:val="nl-NL"/>
        </w:rPr>
      </w:pPr>
      <w:r w:rsidRPr="005C31B2">
        <w:rPr>
          <w:rFonts w:eastAsia="Times New Roman" w:cs="Times New Roman"/>
          <w:b/>
          <w:sz w:val="24"/>
          <w:szCs w:val="24"/>
          <w:lang w:val="nl-NL"/>
        </w:rPr>
        <w:t>[Tên nhà thầu],</w:t>
      </w:r>
      <w:r w:rsidRPr="005C31B2">
        <w:rPr>
          <w:rFonts w:eastAsia="Times New Roman" w:cs="Times New Roman"/>
          <w:sz w:val="24"/>
          <w:szCs w:val="24"/>
          <w:lang w:val="nl-NL"/>
        </w:rPr>
        <w:t xml:space="preserve"> cam kết các nội dung sau:</w:t>
      </w:r>
    </w:p>
    <w:p w:rsidR="005C31B2" w:rsidRPr="005C31B2" w:rsidRDefault="005C31B2" w:rsidP="005C31B2">
      <w:pPr>
        <w:spacing w:before="120" w:after="120" w:line="264" w:lineRule="auto"/>
        <w:ind w:left="567"/>
        <w:contextualSpacing/>
        <w:jc w:val="both"/>
        <w:rPr>
          <w:rFonts w:eastAsia="Times New Roman" w:cs="Times New Roman"/>
          <w:sz w:val="22"/>
          <w:lang w:val="nl-NL"/>
        </w:rPr>
      </w:pPr>
      <w:r w:rsidRPr="005C31B2">
        <w:rPr>
          <w:rFonts w:eastAsia="Times New Roman" w:cs="Times New Roman"/>
          <w:sz w:val="22"/>
          <w:lang w:val="nl-NL"/>
        </w:rPr>
        <w:t xml:space="preserve">1. Cung cấp hàng hóa mới 100%. </w:t>
      </w:r>
    </w:p>
    <w:p w:rsidR="005C31B2" w:rsidRPr="005C31B2" w:rsidRDefault="005C31B2" w:rsidP="005C31B2">
      <w:pPr>
        <w:spacing w:before="120" w:after="120" w:line="264" w:lineRule="auto"/>
        <w:ind w:left="567"/>
        <w:contextualSpacing/>
        <w:jc w:val="both"/>
        <w:rPr>
          <w:rFonts w:eastAsia="Times New Roman" w:cs="Times New Roman"/>
          <w:sz w:val="22"/>
          <w:lang w:val="nl-NL"/>
        </w:rPr>
      </w:pPr>
      <w:r w:rsidRPr="005C31B2">
        <w:rPr>
          <w:rFonts w:eastAsia="Times New Roman" w:cs="Times New Roman"/>
          <w:sz w:val="22"/>
          <w:lang w:val="nl-NL"/>
        </w:rPr>
        <w:t>2. Hàng hóa sẽ được cung cấp làm nhiều đợt theo nhu cầu sử dụng của Bệnh viện. Thời hạn giao hàng là 72 giờ kể từ khi nhận được yêu cầu giao hàng của Bệnh viện.Hàng hóa cung cấp phải đảm bảo đầy đủ số lượng, chất lượng, kỹ thuật, quy cách hàng hóa và giao hàng tại kho của Bệnh viện.</w:t>
      </w:r>
    </w:p>
    <w:p w:rsidR="005C31B2" w:rsidRPr="005C31B2" w:rsidRDefault="005C31B2" w:rsidP="005C31B2">
      <w:pPr>
        <w:spacing w:before="120" w:after="120" w:line="264" w:lineRule="auto"/>
        <w:ind w:left="567"/>
        <w:contextualSpacing/>
        <w:jc w:val="both"/>
        <w:rPr>
          <w:rFonts w:eastAsia="Times New Roman" w:cs="Times New Roman"/>
          <w:sz w:val="22"/>
          <w:lang w:val="nl-NL"/>
        </w:rPr>
      </w:pPr>
      <w:r w:rsidRPr="005C31B2">
        <w:rPr>
          <w:rFonts w:eastAsia="Times New Roman" w:cs="Times New Roman"/>
          <w:sz w:val="22"/>
          <w:lang w:val="nl-NL"/>
        </w:rPr>
        <w:t>- Nếu xảy ra việc hàng hóa không đáp ứng yêu cầu về một trong những yếu tố như: chất lượng, chủng loại, số lượng, khối lượng… như đã nêu trong hợp đồng, hồ sơ mời thầu và hồ sơ thầu dự thầu của nhà thầu, trong vòng tối đa 72 giờ nhà thầu sẽ cung cấp hàng hóa mới cùng loại để thay thế. Trong trường hợp này, nhà thầu có trách nhiệm thu hồi hàng hóa không đạt yêu cầu.</w:t>
      </w:r>
    </w:p>
    <w:p w:rsidR="005C31B2" w:rsidRPr="005C31B2" w:rsidRDefault="005C31B2" w:rsidP="005C31B2">
      <w:pPr>
        <w:spacing w:before="120" w:after="120" w:line="264" w:lineRule="auto"/>
        <w:ind w:left="567"/>
        <w:contextualSpacing/>
        <w:jc w:val="both"/>
        <w:rPr>
          <w:rFonts w:eastAsia="Times New Roman" w:cs="Times New Roman"/>
          <w:sz w:val="22"/>
          <w:lang w:val="nl-NL"/>
        </w:rPr>
      </w:pPr>
      <w:r w:rsidRPr="005C31B2">
        <w:rPr>
          <w:rFonts w:eastAsia="Times New Roman" w:cs="Times New Roman"/>
          <w:sz w:val="22"/>
          <w:lang w:val="nl-NL"/>
        </w:rPr>
        <w:t>- Thu hồi và đổi trả nếu hàng hóa bị lỗi do nhà sản xuất và lỗi do quá trình vận chuyển đến kho của Bệnh viện Đa khoa Tiền Giang hoặc có thông báo thu hồi của cơ quan có thẩm quyền mà nguyên nhân không do lỗi của chủ đầu tư.</w:t>
      </w:r>
    </w:p>
    <w:p w:rsidR="005C31B2" w:rsidRPr="005C31B2" w:rsidRDefault="005C31B2" w:rsidP="005C31B2">
      <w:pPr>
        <w:spacing w:before="120" w:after="120" w:line="264" w:lineRule="auto"/>
        <w:ind w:left="567"/>
        <w:contextualSpacing/>
        <w:jc w:val="both"/>
        <w:rPr>
          <w:rFonts w:eastAsia="Times New Roman" w:cs="Times New Roman"/>
          <w:sz w:val="22"/>
          <w:lang w:val="nl-NL"/>
        </w:rPr>
      </w:pPr>
      <w:r w:rsidRPr="005C31B2">
        <w:rPr>
          <w:rFonts w:eastAsia="Times New Roman" w:cs="Times New Roman"/>
          <w:sz w:val="22"/>
          <w:lang w:val="nl-NL"/>
        </w:rPr>
        <w:t>3. Hạn dùng của hàng hóa như quy định của E-HSMT.Hạn sử dụng còn lại của hàng hóa trúng thầu (tính từ thời điểm hàng hóa được cung ứng cho đơn vị trúng thầu).</w:t>
      </w:r>
    </w:p>
    <w:p w:rsidR="005C31B2" w:rsidRPr="005C31B2" w:rsidRDefault="005C31B2" w:rsidP="005C31B2">
      <w:pPr>
        <w:spacing w:before="120" w:after="120" w:line="264" w:lineRule="auto"/>
        <w:ind w:left="567"/>
        <w:contextualSpacing/>
        <w:jc w:val="both"/>
        <w:rPr>
          <w:rFonts w:eastAsia="Times New Roman" w:cs="Times New Roman"/>
          <w:sz w:val="22"/>
          <w:lang w:val="nl-NL"/>
        </w:rPr>
      </w:pPr>
      <w:r w:rsidRPr="005C31B2">
        <w:rPr>
          <w:rFonts w:eastAsia="Times New Roman" w:cs="Times New Roman"/>
          <w:sz w:val="22"/>
          <w:lang w:val="nl-NL"/>
        </w:rPr>
        <w:t>4. Các thông tin trong E-HSDT đã cung cấp là chính xác, hợp pháp và chịu hoàn toàn trách nhiệm trước pháp luật về các nội dung đã cung cấp.</w:t>
      </w:r>
    </w:p>
    <w:p w:rsidR="005C31B2" w:rsidRPr="005C31B2" w:rsidRDefault="005C31B2" w:rsidP="005C31B2">
      <w:pPr>
        <w:spacing w:before="120" w:after="120" w:line="264" w:lineRule="auto"/>
        <w:ind w:left="567"/>
        <w:contextualSpacing/>
        <w:jc w:val="both"/>
        <w:rPr>
          <w:rFonts w:eastAsia="Times New Roman" w:cs="Times New Roman"/>
          <w:sz w:val="22"/>
          <w:lang w:val="nl-NL"/>
        </w:rPr>
      </w:pPr>
      <w:r w:rsidRPr="005C31B2">
        <w:rPr>
          <w:rFonts w:eastAsia="Times New Roman" w:cs="Times New Roman"/>
          <w:sz w:val="22"/>
          <w:lang w:val="nl-NL"/>
        </w:rPr>
        <w:t>-</w:t>
      </w:r>
      <w:r w:rsidRPr="005C31B2">
        <w:rPr>
          <w:rFonts w:eastAsia="Times New Roman" w:cs="Times New Roman"/>
          <w:sz w:val="22"/>
          <w:lang w:val="nl-NL"/>
        </w:rPr>
        <w:tab/>
        <w:t>Tài liệu kỹ thuật, catalogue cung cấp trong E-HSDT đều được nhà sản xuất công bố. Trong trường hợp Chủ đầu tư phát hiện có sự sai khác giữa bản nhà thầu nộp trong E-HSDT và bản do nhà sản xuất công bố thì nhà thầu sẽ chịu trách nhiệm giải trình cho sự sai khác này, đồng thời Chủ đầu tư có thể yêu cầu nhà thầu mang hàng hóa đến để kiểm tra, thử nghiệm, đối chiếu với nội dung đã nộp trong E-HSDT.</w:t>
      </w:r>
    </w:p>
    <w:p w:rsidR="005C31B2" w:rsidRPr="005C31B2" w:rsidRDefault="005C31B2" w:rsidP="005C31B2">
      <w:pPr>
        <w:spacing w:before="120" w:after="120" w:line="264" w:lineRule="auto"/>
        <w:ind w:left="567"/>
        <w:contextualSpacing/>
        <w:jc w:val="both"/>
        <w:rPr>
          <w:rFonts w:eastAsia="Times New Roman" w:cs="Times New Roman"/>
          <w:sz w:val="22"/>
          <w:lang w:val="nl-NL"/>
        </w:rPr>
      </w:pPr>
      <w:r w:rsidRPr="005C31B2">
        <w:rPr>
          <w:rFonts w:eastAsia="Times New Roman" w:cs="Times New Roman"/>
          <w:sz w:val="22"/>
          <w:lang w:val="nl-NL"/>
        </w:rPr>
        <w:t>-</w:t>
      </w:r>
      <w:r w:rsidRPr="005C31B2">
        <w:rPr>
          <w:rFonts w:eastAsia="Times New Roman" w:cs="Times New Roman"/>
          <w:sz w:val="22"/>
          <w:lang w:val="nl-NL"/>
        </w:rPr>
        <w:tab/>
        <w:t>Nội dung tại tờ hướng dẫn sử dụng, nhãn phụ (đối với hàng hóa nhập khẩu), catalogue đi kèm với hàng hóa khi cung ứng cho Chủ đầu tư hoàn toàn trùng khớp với nội dung trong tờ hướng dẫn sử dụng, catalogue kèm theo hồ sơ đăng ký đã được Bộ Y tế (hoặc cơ quan có thẩm quyền) cấp phép. Trường hợp để xảy ra sai lệch thông tin ảnh hưởng đến chất lượng khi sử dụng, gây ảnh hưởng về sức khỏe, tính mạng và kinh tế của người bệnh cũng như của Chủ đầu tư thì chúng tôi cam kết chịu hoàn toàn trách nhiệm trước pháp luật.</w:t>
      </w:r>
    </w:p>
    <w:p w:rsidR="005C31B2" w:rsidRPr="005C31B2" w:rsidRDefault="005C31B2" w:rsidP="005C31B2">
      <w:pPr>
        <w:spacing w:before="120" w:after="120" w:line="264" w:lineRule="auto"/>
        <w:ind w:left="567"/>
        <w:contextualSpacing/>
        <w:jc w:val="both"/>
        <w:rPr>
          <w:rFonts w:eastAsia="Times New Roman" w:cs="Times New Roman"/>
          <w:sz w:val="22"/>
          <w:lang w:val="nl-NL"/>
        </w:rPr>
      </w:pPr>
      <w:r w:rsidRPr="005C31B2">
        <w:rPr>
          <w:rFonts w:eastAsia="Times New Roman" w:cs="Times New Roman"/>
          <w:sz w:val="22"/>
          <w:lang w:val="nl-NL"/>
        </w:rPr>
        <w:t>5. Chịu trách nhiệm giải trình về giá các mặt hàng tham dự thầu với cơ quan chức năng khi có yêu cầu.</w:t>
      </w:r>
    </w:p>
    <w:p w:rsidR="005C31B2" w:rsidRPr="005C31B2" w:rsidRDefault="005C31B2" w:rsidP="005C31B2">
      <w:pPr>
        <w:spacing w:before="120" w:after="120" w:line="264" w:lineRule="auto"/>
        <w:ind w:left="567"/>
        <w:contextualSpacing/>
        <w:jc w:val="both"/>
        <w:rPr>
          <w:rFonts w:eastAsia="Times New Roman" w:cs="Times New Roman"/>
          <w:sz w:val="22"/>
          <w:lang w:val="nl-NL"/>
        </w:rPr>
      </w:pPr>
      <w:r w:rsidRPr="005C31B2">
        <w:rPr>
          <w:rFonts w:eastAsia="Times New Roman" w:cs="Times New Roman"/>
          <w:sz w:val="22"/>
          <w:lang w:val="nl-NL"/>
        </w:rPr>
        <w:t>[Tên nhà thầu] hoàn toàn chịu trách nhiệm về tính chính xác của thông tin nêu trên.</w:t>
      </w:r>
    </w:p>
    <w:p w:rsidR="005C31B2" w:rsidRPr="005C31B2" w:rsidRDefault="005C31B2" w:rsidP="005C31B2">
      <w:pPr>
        <w:spacing w:before="120" w:after="120" w:line="264" w:lineRule="auto"/>
        <w:ind w:left="1429"/>
        <w:contextualSpacing/>
        <w:jc w:val="right"/>
        <w:rPr>
          <w:rFonts w:eastAsia="Times New Roman" w:cs="Times New Roman"/>
          <w:b/>
          <w:i/>
          <w:sz w:val="22"/>
          <w:lang w:val="nl-NL"/>
        </w:rPr>
      </w:pPr>
      <w:r w:rsidRPr="005C31B2">
        <w:rPr>
          <w:rFonts w:eastAsia="Times New Roman" w:cs="Times New Roman"/>
          <w:b/>
          <w:i/>
          <w:sz w:val="22"/>
          <w:lang w:val="nl-NL"/>
        </w:rPr>
        <w:t>ĐẠI DIỆN HỢP PHÁP CỦA NHÀ THẦU</w:t>
      </w:r>
    </w:p>
    <w:p w:rsidR="005C31B2" w:rsidRPr="005C31B2" w:rsidRDefault="005C31B2" w:rsidP="005C31B2">
      <w:pPr>
        <w:spacing w:before="120" w:after="120" w:line="264" w:lineRule="auto"/>
        <w:ind w:left="1429"/>
        <w:contextualSpacing/>
        <w:jc w:val="right"/>
        <w:rPr>
          <w:rFonts w:eastAsia="Times New Roman" w:cs="Times New Roman"/>
          <w:b/>
          <w:i/>
          <w:sz w:val="22"/>
          <w:lang w:val="nl-NL"/>
        </w:rPr>
      </w:pPr>
      <w:r w:rsidRPr="005C31B2">
        <w:rPr>
          <w:rFonts w:eastAsia="Times New Roman" w:cs="Times New Roman"/>
          <w:b/>
          <w:i/>
          <w:sz w:val="22"/>
          <w:lang w:val="nl-NL"/>
        </w:rPr>
        <w:t>(ghi tên, chức danh, ký tên và đóng dấu)</w:t>
      </w:r>
    </w:p>
    <w:p w:rsidR="005C31B2" w:rsidRPr="005C31B2" w:rsidRDefault="005C31B2" w:rsidP="005C31B2">
      <w:pPr>
        <w:spacing w:before="120" w:after="120" w:line="264" w:lineRule="auto"/>
        <w:rPr>
          <w:rFonts w:eastAsia="Times New Roman" w:cs="Times New Roman"/>
          <w:b/>
          <w:sz w:val="24"/>
          <w:szCs w:val="24"/>
          <w:lang w:val="nl-NL"/>
        </w:rPr>
      </w:pPr>
      <w:r w:rsidRPr="005C31B2">
        <w:rPr>
          <w:rFonts w:eastAsia="Times New Roman" w:cs="Times New Roman"/>
          <w:b/>
          <w:sz w:val="24"/>
          <w:szCs w:val="24"/>
          <w:lang w:val="nl-NL"/>
        </w:rPr>
        <w:lastRenderedPageBreak/>
        <w:t>Mục 2. Bản vẽ: không có bản vẽ.</w:t>
      </w:r>
    </w:p>
    <w:p w:rsidR="005C31B2" w:rsidRPr="005C31B2" w:rsidRDefault="005C31B2" w:rsidP="005C31B2">
      <w:pPr>
        <w:widowControl w:val="0"/>
        <w:spacing w:before="120" w:after="120" w:line="264" w:lineRule="auto"/>
        <w:rPr>
          <w:rFonts w:eastAsia="Times New Roman" w:cs="Times New Roman"/>
          <w:b/>
          <w:sz w:val="24"/>
          <w:szCs w:val="24"/>
        </w:rPr>
      </w:pPr>
      <w:r w:rsidRPr="005C31B2">
        <w:rPr>
          <w:rFonts w:eastAsia="Times New Roman" w:cs="Times New Roman"/>
          <w:b/>
          <w:sz w:val="24"/>
          <w:szCs w:val="24"/>
        </w:rPr>
        <w:t>Mục 3. Kiểm tra và thử nghiệm:</w:t>
      </w:r>
    </w:p>
    <w:p w:rsidR="005C31B2" w:rsidRPr="005C31B2" w:rsidRDefault="005C31B2" w:rsidP="005C31B2">
      <w:pPr>
        <w:spacing w:after="0" w:line="240" w:lineRule="auto"/>
        <w:rPr>
          <w:rFonts w:eastAsia="Times New Roman" w:cs="Times New Roman"/>
          <w:sz w:val="24"/>
          <w:szCs w:val="24"/>
        </w:rPr>
        <w:sectPr w:rsidR="005C31B2" w:rsidRPr="005C31B2" w:rsidSect="00CF2D01">
          <w:footnotePr>
            <w:numRestart w:val="eachPage"/>
          </w:footnotePr>
          <w:endnotePr>
            <w:numFmt w:val="decimal"/>
          </w:endnotePr>
          <w:pgSz w:w="11906" w:h="16838" w:code="9"/>
          <w:pgMar w:top="1134" w:right="1134" w:bottom="1134" w:left="1418" w:header="720" w:footer="255" w:gutter="0"/>
          <w:cols w:space="720"/>
          <w:noEndnote/>
          <w:docGrid w:linePitch="381"/>
        </w:sectPr>
      </w:pPr>
      <w:r w:rsidRPr="005C31B2">
        <w:rPr>
          <w:rFonts w:eastAsia="Times New Roman" w:cs="Times New Roman"/>
          <w:sz w:val="24"/>
          <w:szCs w:val="24"/>
        </w:rPr>
        <w:t>Các kiểm tra và thử nghiệm cần tiến hành gồm có: khi có yêu cầu.</w:t>
      </w:r>
    </w:p>
    <w:p w:rsidR="00FD78BD" w:rsidRDefault="005C31B2">
      <w:bookmarkStart w:id="0" w:name="_GoBack"/>
      <w:bookmarkEnd w:id="0"/>
    </w:p>
    <w:sectPr w:rsidR="00FD78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328511"/>
      <w:docPartObj>
        <w:docPartGallery w:val="Page Numbers (Top of Page)"/>
        <w:docPartUnique/>
      </w:docPartObj>
    </w:sdtPr>
    <w:sdtEndPr>
      <w:rPr>
        <w:noProof/>
        <w:sz w:val="24"/>
        <w:szCs w:val="24"/>
      </w:rPr>
    </w:sdtEndPr>
    <w:sdtContent>
      <w:p w:rsidR="00002F9D" w:rsidRPr="008E5CC7" w:rsidRDefault="005C31B2" w:rsidP="00ED7BCB">
        <w:pPr>
          <w:pStyle w:val="Header"/>
          <w:tabs>
            <w:tab w:val="clear" w:pos="4680"/>
            <w:tab w:val="left" w:pos="3893"/>
            <w:tab w:val="center" w:pos="4677"/>
            <w:tab w:val="left" w:pos="8865"/>
          </w:tabs>
          <w:jc w:val="center"/>
          <w:rPr>
            <w:sz w:val="24"/>
            <w:szCs w:val="24"/>
          </w:rPr>
        </w:pPr>
        <w:r w:rsidRPr="008E5CC7">
          <w:rPr>
            <w:sz w:val="24"/>
            <w:szCs w:val="24"/>
          </w:rPr>
          <w:fldChar w:fldCharType="begin"/>
        </w:r>
        <w:r w:rsidRPr="008E5CC7">
          <w:rPr>
            <w:sz w:val="24"/>
            <w:szCs w:val="24"/>
          </w:rPr>
          <w:instrText xml:space="preserve"> PAGE   \* MERGEFORMAT </w:instrText>
        </w:r>
        <w:r w:rsidRPr="008E5CC7">
          <w:rPr>
            <w:sz w:val="24"/>
            <w:szCs w:val="24"/>
          </w:rPr>
          <w:fldChar w:fldCharType="separate"/>
        </w:r>
        <w:r>
          <w:rPr>
            <w:noProof/>
            <w:sz w:val="24"/>
            <w:szCs w:val="24"/>
          </w:rPr>
          <w:t>6</w:t>
        </w:r>
        <w:r w:rsidRPr="008E5CC7">
          <w:rPr>
            <w:noProof/>
            <w:sz w:val="24"/>
            <w:szCs w:val="24"/>
          </w:rPr>
          <w:fldChar w:fldCharType="end"/>
        </w:r>
      </w:p>
    </w:sdtContent>
  </w:sdt>
  <w:p w:rsidR="00002F9D" w:rsidRDefault="005C31B2">
    <w:pPr>
      <w:pStyle w:val="Header"/>
    </w:pPr>
  </w:p>
  <w:p w:rsidR="00002F9D" w:rsidRDefault="005C31B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D342D"/>
    <w:multiLevelType w:val="multilevel"/>
    <w:tmpl w:val="B9DE2CDA"/>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5EA17F41"/>
    <w:multiLevelType w:val="multilevel"/>
    <w:tmpl w:val="65CE1136"/>
    <w:lvl w:ilvl="0">
      <w:start w:val="1"/>
      <w:numFmt w:val="decimal"/>
      <w:lvlText w:val="%1."/>
      <w:lvlJc w:val="left"/>
      <w:pPr>
        <w:ind w:left="497" w:hanging="497"/>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1B2"/>
    <w:rsid w:val="003541CF"/>
    <w:rsid w:val="005C31B2"/>
    <w:rsid w:val="009F7A71"/>
    <w:rsid w:val="00B91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8C06F-4D2C-4000-BFF6-BFF33326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C31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3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Khoa Duoc</dc:creator>
  <cp:keywords/>
  <dc:description/>
  <cp:lastModifiedBy>Khoa Duoc</cp:lastModifiedBy>
  <cp:revision>1</cp:revision>
  <dcterms:created xsi:type="dcterms:W3CDTF">2025-11-24T04:13:00Z</dcterms:created>
  <dcterms:modified xsi:type="dcterms:W3CDTF">2025-11-24T04:13:00Z</dcterms:modified>
</cp:coreProperties>
</file>