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B45" w:rsidRPr="00DD5B45" w:rsidRDefault="00DD5B45" w:rsidP="00DD5B45">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DD5B45">
        <w:rPr>
          <w:b/>
          <w:color w:val="000000" w:themeColor="text1"/>
          <w:sz w:val="28"/>
          <w:szCs w:val="28"/>
          <w:lang w:val="vi-VN"/>
        </w:rPr>
        <w:t>Chương V. YÊU CẦU VỀ KỸ THUẬT</w:t>
      </w:r>
    </w:p>
    <w:p w:rsidR="00DD5B45" w:rsidRPr="00DD5B45" w:rsidRDefault="00DD5B45" w:rsidP="00DD5B45">
      <w:pPr>
        <w:tabs>
          <w:tab w:val="left" w:pos="1418"/>
        </w:tabs>
        <w:spacing w:before="120" w:after="120" w:line="264" w:lineRule="auto"/>
        <w:ind w:firstLine="567"/>
        <w:jc w:val="both"/>
        <w:rPr>
          <w:rFonts w:cs="Times New Roman"/>
          <w:b/>
          <w:color w:val="000000" w:themeColor="text1"/>
          <w:szCs w:val="28"/>
          <w:lang w:val="vi-VN"/>
        </w:rPr>
      </w:pPr>
      <w:r w:rsidRPr="00DD5B45">
        <w:rPr>
          <w:rFonts w:cs="Times New Roman"/>
          <w:b/>
          <w:color w:val="000000" w:themeColor="text1"/>
          <w:szCs w:val="28"/>
          <w:lang w:val="vi-VN"/>
        </w:rPr>
        <w:t>I. Giới thiệu về gói thầu</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1. Người phê duyệt: Chủ tịch UBND xã Pù Nhi</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2. Tên công trình: Trường THCS Pù Nhi, huyện Mường Lát.</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3. Loại, cấp công trình: Công trình dân dụng, Cấp III.</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 xml:space="preserve">4. Địa điểm xây dựng: xã Pù Nhi, </w:t>
      </w:r>
      <w:r w:rsidR="00B70CCB">
        <w:rPr>
          <w:rFonts w:cs="Times New Roman"/>
          <w:color w:val="000000" w:themeColor="text1"/>
          <w:szCs w:val="28"/>
        </w:rPr>
        <w:t>tỉnh Thanh Hóa</w:t>
      </w:r>
      <w:bookmarkStart w:id="0" w:name="_GoBack"/>
      <w:bookmarkEnd w:id="0"/>
      <w:r w:rsidRPr="00DD5B45">
        <w:rPr>
          <w:rFonts w:cs="Times New Roman"/>
          <w:color w:val="000000" w:themeColor="text1"/>
          <w:szCs w:val="28"/>
          <w:lang w:val="vi-VN"/>
        </w:rPr>
        <w:t>.</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5. Nhà thầu khảo sát, lập thiết kế bản vẽ thi công: Công ty cổ phần công nghệ xây dựng và thương mại Sao Việt.</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6. Nhà thầu thẩm tra thiết kế BVTC và dự toán: Công ty TNHH xây dựng Hà Quang Anh.</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7. Quy mô đầu tư, giải pháp thiết kế chủ yếu:</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7.1. Hạng mục Nhà lớp học 2 tầng 8 phòng:</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a) Giải pháp kiến trúc:</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Nhà lớp học 2 tầng có diện tích xây dựng 9,6mx42,9m. Chiều cao nhà là 9,6m tính từ cos ±0,00 trong đó chiều cao mái là 2,40m, cos ±0,00 cao hơn cos sân hoàn thiện 0,45m. Kiến trúc khu nhà lớp học 2 tầng bao gồm:</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 Tầng 1: Gồm các phòng sau: 04 phòng học có diên tích 61,3m2. Hành lang rộng 2,4m, khu vệ sinh rộng 19,71m, 01 cầu thang rộng 3,9m</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 Tầng 2: Gồm các phòng sau: 04 phòng học có diên tích 61,3m2. Hành lang rộng 2,4m, khu vệ sinh rộng 19,71m, 01 cầu thang rộng 3,9m</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Cửa đi dùng cửa nhôm hệ kính trắng an toàn dày 6,38mm. Hoa sắt sử dụng hệ thép hộp 20x20mm dày 1,5mm sơn màu trắng. Lam chắn nắng và lan can hành lang sử dụng hệ thép sơn màu xanh (chi tiết cụ thể xem bản vẽ thiết kế thi công). Nền nhà lát gạch 600x600, tam cấp và cầu thang lát đá granit, lớp bê tông lót nền đá 4x6 vữa XMC B7,5 (M100#) dày 10cm, đắp đất tôn nền đầm chặt K=0,90. Bậc tam cấp hoàn thiện lát đá granite tự nhiên, bậc xây gạch không nung VXM M50#. Tường sơn màu vàng 1 lớp lót, 2 lớp màu.</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b) Giải pháp kết cấu:</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Phần móng: Móng băng BTCT đá 1x2 vữa XMC B20 (M250)#, cổ cột được đổ BTCT đá 1x2 vữa XMC B20 (M250#), gi ng móng đổ BTCT B20 (M250#) có kích thước 0,22x0,3m; lót móng bê tông đá 4x6 vữa XMC B7,5 (M100#).</w:t>
      </w:r>
    </w:p>
    <w:p w:rsidR="00DD5B45" w:rsidRPr="00DD5B45" w:rsidRDefault="00DD5B45" w:rsidP="00DD5B45">
      <w:pPr>
        <w:ind w:firstLine="567"/>
        <w:jc w:val="both"/>
        <w:rPr>
          <w:rFonts w:cs="Times New Roman"/>
          <w:color w:val="000000" w:themeColor="text1"/>
          <w:szCs w:val="24"/>
          <w:lang w:val="vi-VN"/>
        </w:rPr>
      </w:pPr>
      <w:r w:rsidRPr="00DD5B45">
        <w:rPr>
          <w:rFonts w:cs="Times New Roman"/>
          <w:color w:val="000000" w:themeColor="text1"/>
          <w:szCs w:val="28"/>
          <w:lang w:val="vi-VN"/>
        </w:rPr>
        <w:t>Phần thân: Cột, dầm, sàn trần, lanh tô sử dụng BTCT đá 1x2 vữa XMC B20 (M250#). Cột có kích thước 220x400mm và 220x220mm, dầm có kích thước 600x220mm và 300x220mm, sàn dày 100mm. Tường nhà xây gạch bê tông không</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lastRenderedPageBreak/>
        <w:t>nung 22x10,5x6,0cm VXM cát M50#, trát tường trong VXM cát M75#; trát tường ngoài, trát trần, dầm, hèm cửa VXM cát M75#.</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Phần mái: Tường thu hồi dày 110mm xây gạch vữa xây XMC M50#; xà gồ thép hộp 80x40x1.4mm khoảng cách xà gồ a=850mm, mái lợp tôn múi liên doanh màu xanh dày 0,40mm. Phần sê nô chống thấm b ng dung dịch chuyên dụng theo quy trình tư vấn thiết kế đề ra, sau khi chống thấm xong láng VXM M75#, dày 2cm tạo dốc. Thoát nước mái b ng ống nhựa PVC D90mm.</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c) Phần điện chiếu sáng: Nguồn điện lấy từ tủ điện tổng của trường. Dây dẫn trong phòng dùng dây Cu/XLPE/PVC. Hệ thống dây dẫn điện luồn trong ống nhựa và đi ngầm trong tường, trần.</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d) Phần thoát nước: Được thiết kế đồng bộ, phù hợp với yêu cầu và công năng sử dụng của công trình.</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7.2. Hạng mục: Nhà ở công vụ.</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a) Giải pháp kiến trúc:</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 Công trình có quy mô 02 tầng, mặt b ng hình chữ nhật, diện tích xây dựng khoảng 10x18m. Chiều cao công trình là 10,05m (tính từ cos mặt sân hoàn thiện đến cos đỉnh mái), cos 0.00 là cos nền tầng 1 cao hơn cos mặt sân hoàn thiện 0,45m. Tầng 1 cao 3,6m, tầng 2 cao 3,6m, mái cao 2,4m.</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 Mặt bằng tầng 1 bố trí 04 phòng công vụ, giao thông đứng b ng 01 thang bộ, giao thông ngang b ng hành lang trước rộng 2,4m. Lối tiếp cận công trình b ng hệ thống sảnh chính.</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 Mặt bằng tầng 2 bố trí 04 phòng công vụ, giao thông đứng b ng 01 thang bộ, giao thông ngang b ng hành lang trước rộng 2,4m. Lối tiếp cận công trình b ng hệ thống sảnh chính.</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Cửa đi dùng cửa nhôm hệ kính trắng an toàn dày 6,38mm. Hoa sắt sử dụng hệ thép hộp 20x20mm dày 1,5mm. Nền nhà lát gạch 600x60mm, bê tông lót nền đá 4x6 vữa XMC B7,5 (M100#) dày 10cm, đắp đất tôn nền đầm chặt K=0,90. Bậc tam cấp hoàn thiện lát đá granite tự nhiên, bậc xây gạch không nung VXM M50#. Tường sơn màu vàng 1 lớp lót, 2 lớp màu. Tường nhà bếp ốp gạch 600x300 cao 2,7m.</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b) Giải pháp kết cấu:</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Phần móng: Móng sử dụng hệ móng băng, Kết cấu móng sử dụng BTCT đá 1x2 vữa XMC B20 (M250#), cổ cột được đổ BTCT đá 1x2 vữa XMC B20 (M250#), gi ng móng đổ BTCT M250; lót móng bê tông đá 4x6 vữa XMC B7,5 (M100#)</w:t>
      </w:r>
    </w:p>
    <w:p w:rsidR="00DD5B45" w:rsidRPr="00DD5B45" w:rsidRDefault="00DD5B45" w:rsidP="00DD5B45">
      <w:pPr>
        <w:ind w:firstLine="567"/>
        <w:jc w:val="both"/>
        <w:rPr>
          <w:rFonts w:cs="Times New Roman"/>
          <w:color w:val="000000" w:themeColor="text1"/>
          <w:szCs w:val="24"/>
          <w:lang w:val="vi-VN"/>
        </w:rPr>
      </w:pPr>
      <w:r w:rsidRPr="00DD5B45">
        <w:rPr>
          <w:rFonts w:cs="Times New Roman"/>
          <w:color w:val="000000" w:themeColor="text1"/>
          <w:szCs w:val="28"/>
          <w:lang w:val="vi-VN"/>
        </w:rPr>
        <w:lastRenderedPageBreak/>
        <w:t>Phần thân: Cột, dầm, sàn trần, lanh tô sử dụng BTCT đá 1x2 vữa XMC B20 (M250#). Cột có kích thước 220x300mm và 220x220mm, dầm có kích thước 600x220mm và 300x220mm, sàn dày 100mm. Tường nhà xây gạch bê tông không nung 22x10,5x6,0cm VXM cát M50#, trát tường trong VXM cát M75#; trát tường ngoài, trát trần, dầm, hèm cửa VXM cát M75#.</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Phần mái: Tường thu hồi dày 110mm xây gạch vữa xây XMC M50#; xà gồ thép hộp 80x40x1.4mm, mái lợp tôn múi liên doanh màu xanh dày 0,40mm. Phần sê nô chống thấm b ng dung dịch chuyên dụng theo quy trình tư vấn thiết kế đề ra, sau khi chống thấm xong láng VXM M75#, dày 2cm tạo dốc. Thoát nước mái b ng ống nhựa PVC D90mm.</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c) Phần điện chiếu sáng:</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Nguồn điện lấy từ tủ điện tổng của trường. Dây dẫn trong phòng dùng dây Cu/XLPE/PVC. Hệ thống dây dẫn điện luồn trong ống nhựa và đi ngầm trong tường, trần.</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d) Phần thoát nước:</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Được thiết kế đồng bộ, phù hợp với yêu cầu và công năng sử dụng của công trình.</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7.3. Cổng tường rào:</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 Xây mới cổng trường tại vị trí cổng cũ. Cổng mới gồm 3 trụ BTCT ốp đá Granite có chiều rộng tổng 7.5m. Biển tên trường rộng 2,5m ốp đá Granite gắn chữ màu vàng. Cửa cổng rộng 4m làm b ng sắt hộp. Chiều cao trụ công là 2,5m.</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 Tường rào được bố trí dọc khu vực ngăn cách giữa trường Tiểu học và THCS. Tường rào làm b ng sắt hộp để tạo không gian thoáng đáng giữa 2 trường.</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7.4. Hạ tầng kỹ thuật:</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 San lấp hạng mục công trình: Đào san nền để triền khai dự án. Cao độ san lấp được thực hiện đảm bảo tính tương đồng với cao độ san lấp hoàn thiện của khu vực.</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 Sân trên đổ Bê tông đá 1x2 mác 250# dày 10cm; - Xây dựng hệ thống rãnh thoát nước: Xây dựng rãnh thoát nước xây gạch, đáy đổ bê tông đá 1x2, tấm đan sử dụng tấm đan btct, kích thước rãnh B300. Đấu nối thoát nước ra phía ngoài công trình.</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 Lắp đặt đường ống cấp nước từ bể nước tới các hạng mục công trình, sử dụng ống HDPE cứng đi dưới lớp bê tông mặt sân.</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lastRenderedPageBreak/>
        <w:t>- Lắp đặt hệ thống cấp điện 3 Pha tổng thể bao gồm tủ điện tổng đặt tại nhà bảo về, hệ thống cáp ngầm DSTA đi trong hào cáp tới các hạng mục công trình, hệ thống đèn cao áp chiếu sáng sân đường nội bộ.</w:t>
      </w:r>
    </w:p>
    <w:p w:rsidR="00DD5B45" w:rsidRPr="00DD5B45" w:rsidRDefault="00DD5B45" w:rsidP="00DD5B45">
      <w:pPr>
        <w:ind w:firstLine="567"/>
        <w:jc w:val="both"/>
        <w:rPr>
          <w:rFonts w:cs="Times New Roman"/>
          <w:color w:val="000000" w:themeColor="text1"/>
          <w:szCs w:val="28"/>
          <w:lang w:val="vi-VN"/>
        </w:rPr>
      </w:pPr>
      <w:r w:rsidRPr="00DD5B45">
        <w:rPr>
          <w:rFonts w:cs="Times New Roman"/>
          <w:color w:val="000000" w:themeColor="text1"/>
          <w:szCs w:val="28"/>
          <w:lang w:val="vi-VN"/>
        </w:rPr>
        <w:t>- Giải pháp phòng cháy chữa cháy cho công trình gồm hệ thống báo cháy tự động, hệ thống đền exit sự cố, hệ thống chữa cháy... bể nước pccc và nhà bơm.</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7.5. San lấp mặt b ng:</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a) Nguyên tắc thiết kế san nền:</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 Cơ bản tuân thủ theo hướng dốc địa hình khu đất hiện trạng.</w:t>
      </w:r>
    </w:p>
    <w:p w:rsidR="00DD5B45" w:rsidRPr="00DD5B45" w:rsidRDefault="00DD5B45" w:rsidP="00DD5B45">
      <w:pPr>
        <w:ind w:firstLine="567"/>
        <w:jc w:val="both"/>
        <w:rPr>
          <w:rFonts w:cs="Times New Roman"/>
          <w:color w:val="000000" w:themeColor="text1"/>
          <w:szCs w:val="24"/>
        </w:rPr>
      </w:pPr>
      <w:r w:rsidRPr="00DD5B45">
        <w:rPr>
          <w:rFonts w:cs="Times New Roman"/>
          <w:color w:val="000000" w:themeColor="text1"/>
          <w:szCs w:val="28"/>
        </w:rPr>
        <w:t>- Đảm bảo khả năng tiêu thoát nước cho khu vực thi công công trình cũng như khu vực dân cư hiện trạng bị ảnh hưởng bởi việc thi công và sử dụng.</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 Đảm bảo đấu nối về cao độ san nền và thoát nước dự kiến xây dựng mới và hiện trạng.</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b) Giải pháp san nền cụ thể:</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 Hướng san nền chủ yếu theo hướng Bắc – Nam.</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 Độ dốc san nền 0,5%</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 xml:space="preserve">- Thiết kế san nền theo phương pháp đường đồng mức thiết kế với độ chênh lệch cao giữa hai đường đồng mức </w:t>
      </w:r>
      <w:r w:rsidRPr="00DD5B45">
        <w:rPr>
          <w:rFonts w:cs="Times New Roman"/>
          <w:color w:val="000000" w:themeColor="text1"/>
          <w:szCs w:val="28"/>
        </w:rPr>
        <w:sym w:font="Symbol" w:char="F044"/>
      </w:r>
      <w:r w:rsidRPr="00DD5B45">
        <w:rPr>
          <w:rFonts w:cs="Times New Roman"/>
          <w:color w:val="000000" w:themeColor="text1"/>
          <w:szCs w:val="28"/>
        </w:rPr>
        <w:t xml:space="preserve">h= 0,05m bảo đảm cho mái dốc của nền có độ dốc i </w:t>
      </w:r>
      <w:r w:rsidRPr="00DD5B45">
        <w:rPr>
          <w:rFonts w:cs="Times New Roman"/>
          <w:color w:val="000000" w:themeColor="text1"/>
          <w:szCs w:val="28"/>
        </w:rPr>
        <w:sym w:font="Symbol" w:char="F0B3"/>
      </w:r>
      <w:r w:rsidRPr="00DD5B45">
        <w:rPr>
          <w:rFonts w:cs="Times New Roman"/>
          <w:color w:val="000000" w:themeColor="text1"/>
          <w:szCs w:val="28"/>
        </w:rPr>
        <w:t xml:space="preserve"> 0,004.</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 Tính toán khối lượng san lấp: Đường đồng mức thiết kế được thiết kế với chênh cao đường đồng mức 0,05m. Khối lượng san lấp được tính toán theo phương pháp lưới ô vuông, ô lưới được chia theo kích thước cơ bản là 5x5m.</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 Vật liệu đắp nền: Tận dụng đất đào, hệ số đầm chặt K90.</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 Đào bạt mái taluy: Taluy đào bạt mái thay đổi với độ dốc từ 1/0,5 – 1/0,75 đối với lớp địa chất là đá và 1/0,75 – 1/1 đối với lớp địa chất là đất.</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c) Giải pháp thiết kế tường chắn và ốp mái taluy:</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 Thiết kế theo thiết kế định hình 86-06X: Móng và thân tường chắn b ng BTXM B12,5 (M150#), đá 1x2 đặt trên lớp đá dăm lót 4x6, dày 10cm. Gi ng đỉnh tường b ng BTCT B15 (M200#) kích thước (0,4x0,2)m.</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 Các đốt tường chắn dài 15m (Đối với tường đặt trên nền đá) và 8m (Đối với đoạn tường đặt trên nền đất), khe nối rộng 2cm được chèn b ng bao tải tẩm nhựa đường; Bịt mặt trong tường chắn b ng vải địa kỹ thuật rộng 50cm.</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Bố trí tầng lọc ngược b ng đá dăm 4x6. Cứ 2m bố trí 1 lỗ thoát nước b ng ồng nhựa PVC D100.</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lastRenderedPageBreak/>
        <w:t>- Công tác đất tuân thủ theo quy định của TCVN 4447-2012: Công tác đất, thi công và nghiệm thu, đảm bảo an toàn kỹ thuật theo QCVN 18:2021/BXD: An toàn trong thi công xây dựng.</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 Ốp mái taluy BTCT M200 đá 1x2 dày 20cm (mái dốc 1:1) chiều cao ốp mái H=1.9m. Khoá mái BTCT M200 KT 300x500mm. Chiều dài ốp mái taluy L=92.17m.</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7.6. Đường lên:</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 Thiết kế đường lên chiều dài 46.53m: Độ dốc dọc i=14,16%.</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 Quy mô mặt cắt ngang: Bề rộng mặt đường Bm=3.5m, độ dốc mặt im=2%</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 Vuối nối với đường bê tông hiện trạng với bán kính R3m.</w:t>
      </w:r>
    </w:p>
    <w:p w:rsidR="00DD5B45" w:rsidRPr="00DD5B45" w:rsidRDefault="00DD5B45" w:rsidP="00DD5B45">
      <w:pPr>
        <w:ind w:firstLine="567"/>
        <w:jc w:val="both"/>
        <w:rPr>
          <w:rFonts w:cs="Times New Roman"/>
          <w:color w:val="000000" w:themeColor="text1"/>
          <w:szCs w:val="24"/>
        </w:rPr>
      </w:pPr>
      <w:r w:rsidRPr="00DD5B45">
        <w:rPr>
          <w:rFonts w:cs="Times New Roman"/>
          <w:color w:val="000000" w:themeColor="text1"/>
          <w:szCs w:val="28"/>
        </w:rPr>
        <w:t>- Đoạn từ cọc 2 – cọc 4: thiết kế tường BTXM B12,5 (M150#) 2 bên: Móng tường kích thước (0,5x0,8)m đặt trên lớp đá dăm 4x6, dày 10cm, gi ng đỉnh kích thước (0,4x0,2)m b ng BTCT B15 (M200#), cao độ đỉnh tường b ng với cao độ lát gạch nền sân trường. Thiết kế lan can an toàn phía trên (Chiều cao tường thay đổi, kích thước chi tiết xem từng mặt cắt).</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 Nền đường: Taluy đắp 1/1,5, độ chặt nền đường K95.</w:t>
      </w:r>
    </w:p>
    <w:p w:rsidR="00DD5B45" w:rsidRPr="00DD5B45" w:rsidRDefault="00DD5B45" w:rsidP="00DD5B45">
      <w:pPr>
        <w:ind w:firstLine="567"/>
        <w:jc w:val="both"/>
        <w:rPr>
          <w:rFonts w:cs="Times New Roman"/>
          <w:color w:val="000000" w:themeColor="text1"/>
          <w:szCs w:val="28"/>
        </w:rPr>
      </w:pPr>
      <w:r w:rsidRPr="00DD5B45">
        <w:rPr>
          <w:rFonts w:cs="Times New Roman"/>
          <w:color w:val="000000" w:themeColor="text1"/>
          <w:szCs w:val="28"/>
        </w:rPr>
        <w:t>- Kết cấu mặt đường: Mặt đường BTXM B20 (M250#), dày 15cm, lót lớp nilon cách ly trước khi đổ. 1.7. Phá dỡ hiện trạng: Phá dỡ toàn bộ nhà lớp học cũ có diện tích (32,6mx8,6m) đã xuống cấp.</w:t>
      </w:r>
    </w:p>
    <w:p w:rsidR="00DD5B45" w:rsidRPr="00DD5B45" w:rsidRDefault="00DD5B45" w:rsidP="00DD5B45">
      <w:pPr>
        <w:ind w:firstLine="567"/>
        <w:jc w:val="both"/>
        <w:rPr>
          <w:rFonts w:cs="Times New Roman"/>
          <w:i/>
          <w:iCs/>
          <w:color w:val="000000" w:themeColor="text1"/>
          <w:szCs w:val="28"/>
        </w:rPr>
      </w:pPr>
      <w:r w:rsidRPr="00DD5B45">
        <w:rPr>
          <w:rFonts w:cs="Times New Roman"/>
          <w:i/>
          <w:iCs/>
          <w:color w:val="000000" w:themeColor="text1"/>
          <w:szCs w:val="28"/>
        </w:rPr>
        <w:t>(Chi tiết như hồ sơ thiết kế xây dựng triển khai sau TKCS kèm theo)</w:t>
      </w:r>
    </w:p>
    <w:p w:rsidR="00DD5B45" w:rsidRPr="00DD5B45" w:rsidRDefault="00DD5B45" w:rsidP="00DD5B45">
      <w:pPr>
        <w:ind w:firstLine="567"/>
        <w:jc w:val="both"/>
        <w:rPr>
          <w:rFonts w:cs="Times New Roman"/>
          <w:i/>
          <w:iCs/>
          <w:color w:val="000000" w:themeColor="text1"/>
          <w:szCs w:val="28"/>
        </w:rPr>
      </w:pPr>
      <w:r w:rsidRPr="00DD5B45">
        <w:rPr>
          <w:rFonts w:cs="Times New Roman"/>
          <w:b/>
          <w:bCs/>
          <w:color w:val="000000" w:themeColor="text1"/>
          <w:szCs w:val="28"/>
        </w:rPr>
        <w:t xml:space="preserve">8. Giá trị dự toán xây dựng theo từng khoản mục chi phí: 14.578.837.000 </w:t>
      </w:r>
      <w:r w:rsidRPr="00DD5B45">
        <w:rPr>
          <w:rFonts w:cs="Times New Roman"/>
          <w:i/>
          <w:iCs/>
          <w:color w:val="000000" w:themeColor="text1"/>
          <w:szCs w:val="28"/>
        </w:rPr>
        <w:t>(Mười bốn tỷ, năm trăm bảy mươi tám triệu, tám trăm ba mươi bảy nghìn đồng).</w:t>
      </w:r>
    </w:p>
    <w:p w:rsidR="00DD5B45" w:rsidRPr="00DD5B45" w:rsidRDefault="00DD5B45" w:rsidP="00DD5B45">
      <w:pPr>
        <w:widowControl w:val="0"/>
        <w:tabs>
          <w:tab w:val="left" w:pos="1418"/>
        </w:tabs>
        <w:spacing w:before="120" w:after="120" w:line="264" w:lineRule="auto"/>
        <w:ind w:firstLine="567"/>
        <w:jc w:val="both"/>
        <w:rPr>
          <w:rFonts w:cs="Times New Roman"/>
          <w:color w:val="000000" w:themeColor="text1"/>
          <w:szCs w:val="28"/>
        </w:rPr>
      </w:pPr>
      <w:r w:rsidRPr="00DD5B45">
        <w:rPr>
          <w:rFonts w:cs="Times New Roman"/>
          <w:b/>
          <w:bCs/>
          <w:color w:val="000000" w:themeColor="text1"/>
          <w:szCs w:val="28"/>
        </w:rPr>
        <w:t xml:space="preserve">9. Nguồn vốn đầu tư: </w:t>
      </w:r>
      <w:r w:rsidRPr="00DD5B45">
        <w:rPr>
          <w:rFonts w:cs="Times New Roman"/>
          <w:color w:val="000000" w:themeColor="text1"/>
          <w:szCs w:val="28"/>
        </w:rPr>
        <w:t>Ngân sách tỉnh hỗ trợ có mục tiêu 100% cho ngân sách huyện theo Quyết định số 4848/QĐ-UBND ngày 19/12/2023 của UBND tỉnh Thanh Hóa.</w:t>
      </w:r>
    </w:p>
    <w:p w:rsidR="00DD5B45" w:rsidRPr="00DD5B45" w:rsidRDefault="00DD5B45" w:rsidP="00DD5B45">
      <w:pPr>
        <w:widowControl w:val="0"/>
        <w:tabs>
          <w:tab w:val="left" w:pos="1418"/>
        </w:tabs>
        <w:spacing w:before="120" w:after="120" w:line="264" w:lineRule="auto"/>
        <w:ind w:firstLine="567"/>
        <w:jc w:val="both"/>
        <w:rPr>
          <w:rFonts w:cs="Times New Roman"/>
          <w:b/>
          <w:color w:val="000000" w:themeColor="text1"/>
          <w:szCs w:val="28"/>
          <w:lang w:val="vi-VN"/>
        </w:rPr>
      </w:pPr>
      <w:r w:rsidRPr="00DD5B45">
        <w:rPr>
          <w:rFonts w:cs="Times New Roman"/>
          <w:color w:val="000000" w:themeColor="text1"/>
          <w:szCs w:val="24"/>
        </w:rPr>
        <w:t xml:space="preserve"> </w:t>
      </w:r>
      <w:r w:rsidRPr="00DD5B45">
        <w:rPr>
          <w:rFonts w:cs="Times New Roman"/>
          <w:b/>
          <w:color w:val="000000" w:themeColor="text1"/>
          <w:szCs w:val="28"/>
          <w:lang w:val="vi-VN"/>
        </w:rPr>
        <w:t>II. Yêu cầu về tiến độ thực hiện</w:t>
      </w:r>
    </w:p>
    <w:p w:rsidR="00DD5B45" w:rsidRPr="00DD5B45" w:rsidRDefault="00DD5B45" w:rsidP="00DD5B45">
      <w:pPr>
        <w:widowControl w:val="0"/>
        <w:tabs>
          <w:tab w:val="left" w:pos="1418"/>
        </w:tabs>
        <w:spacing w:before="120" w:after="120" w:line="264" w:lineRule="auto"/>
        <w:ind w:firstLine="567"/>
        <w:jc w:val="both"/>
        <w:rPr>
          <w:rFonts w:cs="Times New Roman"/>
          <w:color w:val="000000" w:themeColor="text1"/>
          <w:szCs w:val="28"/>
          <w:lang w:val="es-ES"/>
        </w:rPr>
      </w:pPr>
      <w:r w:rsidRPr="00DD5B45">
        <w:rPr>
          <w:rFonts w:cs="Times New Roman"/>
          <w:color w:val="000000" w:themeColor="text1"/>
          <w:szCs w:val="28"/>
          <w:lang w:val="es-ES"/>
        </w:rPr>
        <w:t xml:space="preserve">Nêu yêu cầu về thời gian từ khi khởi công </w:t>
      </w:r>
      <w:r w:rsidRPr="00DD5B45">
        <w:rPr>
          <w:rFonts w:eastAsia="Calibri" w:cs="Times New Roman"/>
          <w:color w:val="000000" w:themeColor="text1"/>
          <w:kern w:val="24"/>
          <w:szCs w:val="28"/>
          <w:lang w:val="vi-VN" w:eastAsia="vi-VN"/>
        </w:rPr>
        <w:t>đến</w:t>
      </w:r>
      <w:r w:rsidRPr="00DD5B45">
        <w:rPr>
          <w:rFonts w:cs="Times New Roman"/>
          <w:color w:val="000000" w:themeColor="text1"/>
          <w:szCs w:val="28"/>
          <w:lang w:val="es-ES"/>
        </w:rPr>
        <w:t xml:space="preserve"> khi hoàn thành hạng mục công trình/công trình theo ngày/tuần/tháng.</w:t>
      </w:r>
    </w:p>
    <w:p w:rsidR="00DD5B45" w:rsidRPr="00DD5B45" w:rsidRDefault="00DD5B45" w:rsidP="00DD5B45">
      <w:pPr>
        <w:widowControl w:val="0"/>
        <w:tabs>
          <w:tab w:val="left" w:pos="1418"/>
        </w:tabs>
        <w:spacing w:before="120" w:after="120" w:line="264" w:lineRule="auto"/>
        <w:ind w:firstLine="567"/>
        <w:jc w:val="both"/>
        <w:rPr>
          <w:rFonts w:cs="Times New Roman"/>
          <w:color w:val="000000" w:themeColor="text1"/>
          <w:szCs w:val="28"/>
          <w:lang w:val="es-ES"/>
        </w:rPr>
      </w:pPr>
      <w:r w:rsidRPr="00DD5B45">
        <w:rPr>
          <w:rFonts w:cs="Times New Roman"/>
          <w:color w:val="000000" w:themeColor="text1"/>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DD5B45" w:rsidRPr="00DD5B45" w:rsidTr="00F06E41">
        <w:trPr>
          <w:trHeight w:val="552"/>
        </w:trPr>
        <w:tc>
          <w:tcPr>
            <w:tcW w:w="992" w:type="dxa"/>
            <w:shd w:val="clear" w:color="auto" w:fill="auto"/>
            <w:vAlign w:val="center"/>
          </w:tcPr>
          <w:p w:rsidR="00DD5B45" w:rsidRPr="00DD5B45" w:rsidRDefault="00DD5B45" w:rsidP="00DD5B45">
            <w:pPr>
              <w:widowControl w:val="0"/>
              <w:spacing w:before="120" w:after="120" w:line="264" w:lineRule="auto"/>
              <w:jc w:val="both"/>
              <w:rPr>
                <w:rFonts w:cs="Times New Roman"/>
                <w:b/>
                <w:color w:val="000000" w:themeColor="text1"/>
                <w:szCs w:val="28"/>
                <w:lang w:val="en-GB"/>
              </w:rPr>
            </w:pPr>
            <w:r w:rsidRPr="00DD5B45">
              <w:rPr>
                <w:rFonts w:cs="Times New Roman"/>
                <w:b/>
                <w:color w:val="000000" w:themeColor="text1"/>
                <w:szCs w:val="28"/>
              </w:rPr>
              <w:t>STT</w:t>
            </w:r>
          </w:p>
        </w:tc>
        <w:tc>
          <w:tcPr>
            <w:tcW w:w="2904" w:type="dxa"/>
            <w:shd w:val="clear" w:color="auto" w:fill="auto"/>
            <w:vAlign w:val="center"/>
          </w:tcPr>
          <w:p w:rsidR="00DD5B45" w:rsidRPr="00DD5B45" w:rsidRDefault="00DD5B45" w:rsidP="00DD5B45">
            <w:pPr>
              <w:widowControl w:val="0"/>
              <w:spacing w:before="120" w:after="120" w:line="264" w:lineRule="auto"/>
              <w:jc w:val="both"/>
              <w:rPr>
                <w:rFonts w:cs="Times New Roman"/>
                <w:b/>
                <w:color w:val="000000" w:themeColor="text1"/>
                <w:szCs w:val="28"/>
              </w:rPr>
            </w:pPr>
            <w:r w:rsidRPr="00DD5B45">
              <w:rPr>
                <w:rFonts w:cs="Times New Roman"/>
                <w:b/>
                <w:color w:val="000000" w:themeColor="text1"/>
                <w:szCs w:val="28"/>
              </w:rPr>
              <w:t>Hạng mục công trình</w:t>
            </w:r>
          </w:p>
        </w:tc>
        <w:tc>
          <w:tcPr>
            <w:tcW w:w="2289" w:type="dxa"/>
            <w:shd w:val="clear" w:color="auto" w:fill="auto"/>
            <w:vAlign w:val="center"/>
          </w:tcPr>
          <w:p w:rsidR="00DD5B45" w:rsidRPr="00DD5B45" w:rsidRDefault="00DD5B45" w:rsidP="00DD5B45">
            <w:pPr>
              <w:widowControl w:val="0"/>
              <w:spacing w:before="120" w:after="120" w:line="264" w:lineRule="auto"/>
              <w:jc w:val="both"/>
              <w:rPr>
                <w:rFonts w:cs="Times New Roman"/>
                <w:b/>
                <w:color w:val="000000" w:themeColor="text1"/>
                <w:szCs w:val="28"/>
              </w:rPr>
            </w:pPr>
            <w:r w:rsidRPr="00DD5B45">
              <w:rPr>
                <w:rFonts w:cs="Times New Roman"/>
                <w:b/>
                <w:color w:val="000000" w:themeColor="text1"/>
                <w:szCs w:val="28"/>
              </w:rPr>
              <w:t>Ngày bắt đầu</w:t>
            </w:r>
          </w:p>
        </w:tc>
        <w:tc>
          <w:tcPr>
            <w:tcW w:w="2806" w:type="dxa"/>
            <w:shd w:val="clear" w:color="auto" w:fill="auto"/>
            <w:vAlign w:val="center"/>
          </w:tcPr>
          <w:p w:rsidR="00DD5B45" w:rsidRPr="00DD5B45" w:rsidRDefault="00DD5B45" w:rsidP="00DD5B45">
            <w:pPr>
              <w:widowControl w:val="0"/>
              <w:spacing w:before="120" w:after="120" w:line="264" w:lineRule="auto"/>
              <w:jc w:val="both"/>
              <w:rPr>
                <w:rFonts w:cs="Times New Roman"/>
                <w:b/>
                <w:color w:val="000000" w:themeColor="text1"/>
                <w:szCs w:val="28"/>
                <w:lang w:val="en-GB"/>
              </w:rPr>
            </w:pPr>
            <w:r w:rsidRPr="00DD5B45">
              <w:rPr>
                <w:rFonts w:cs="Times New Roman"/>
                <w:b/>
                <w:color w:val="000000" w:themeColor="text1"/>
                <w:szCs w:val="28"/>
              </w:rPr>
              <w:t>Ngày hoàn thành</w:t>
            </w:r>
          </w:p>
        </w:tc>
      </w:tr>
      <w:tr w:rsidR="00DD5B45" w:rsidRPr="00DD5B45" w:rsidTr="00F06E41">
        <w:tc>
          <w:tcPr>
            <w:tcW w:w="992" w:type="dxa"/>
            <w:shd w:val="clear" w:color="auto" w:fill="auto"/>
          </w:tcPr>
          <w:p w:rsidR="00DD5B45" w:rsidRPr="00DD5B45" w:rsidRDefault="00DD5B45" w:rsidP="00DD5B45">
            <w:pPr>
              <w:widowControl w:val="0"/>
              <w:spacing w:before="120" w:after="120" w:line="264" w:lineRule="auto"/>
              <w:jc w:val="both"/>
              <w:rPr>
                <w:rFonts w:cs="Times New Roman"/>
                <w:color w:val="000000" w:themeColor="text1"/>
                <w:szCs w:val="28"/>
                <w:lang w:val="en-GB"/>
              </w:rPr>
            </w:pPr>
            <w:r w:rsidRPr="00DD5B45">
              <w:rPr>
                <w:rFonts w:cs="Times New Roman"/>
                <w:color w:val="000000" w:themeColor="text1"/>
                <w:szCs w:val="28"/>
                <w:lang w:val="en-GB"/>
              </w:rPr>
              <w:lastRenderedPageBreak/>
              <w:t>1</w:t>
            </w:r>
          </w:p>
        </w:tc>
        <w:tc>
          <w:tcPr>
            <w:tcW w:w="2904" w:type="dxa"/>
            <w:shd w:val="clear" w:color="auto" w:fill="auto"/>
            <w:vAlign w:val="center"/>
          </w:tcPr>
          <w:p w:rsidR="00DD5B45" w:rsidRPr="00DD5B45" w:rsidRDefault="00DD5B45" w:rsidP="00DD5B45">
            <w:pPr>
              <w:widowControl w:val="0"/>
              <w:spacing w:before="120" w:after="120" w:line="264" w:lineRule="auto"/>
              <w:jc w:val="both"/>
              <w:rPr>
                <w:rFonts w:cs="Times New Roman"/>
                <w:color w:val="000000" w:themeColor="text1"/>
                <w:szCs w:val="28"/>
                <w:lang w:val="en-GB"/>
              </w:rPr>
            </w:pPr>
            <w:r w:rsidRPr="00DD5B45">
              <w:rPr>
                <w:rFonts w:cs="Times New Roman"/>
                <w:color w:val="000000" w:themeColor="text1"/>
                <w:kern w:val="2"/>
                <w:szCs w:val="28"/>
                <w:lang w:val="en-GB"/>
              </w:rPr>
              <w:t>Toàn bộ gói thầu</w:t>
            </w:r>
          </w:p>
        </w:tc>
        <w:tc>
          <w:tcPr>
            <w:tcW w:w="2289" w:type="dxa"/>
            <w:shd w:val="clear" w:color="auto" w:fill="auto"/>
          </w:tcPr>
          <w:p w:rsidR="00DD5B45" w:rsidRPr="00DD5B45" w:rsidRDefault="00DD5B45" w:rsidP="00DD5B45">
            <w:pPr>
              <w:widowControl w:val="0"/>
              <w:spacing w:before="120" w:after="120" w:line="264" w:lineRule="auto"/>
              <w:jc w:val="both"/>
              <w:rPr>
                <w:rFonts w:cs="Times New Roman"/>
                <w:color w:val="000000" w:themeColor="text1"/>
                <w:szCs w:val="28"/>
                <w:lang w:val="en-GB"/>
              </w:rPr>
            </w:pPr>
            <w:r w:rsidRPr="00DD5B45">
              <w:rPr>
                <w:rFonts w:cs="Times New Roman"/>
                <w:color w:val="000000" w:themeColor="text1"/>
                <w:kern w:val="2"/>
                <w:szCs w:val="28"/>
                <w:lang w:val="en-GB"/>
              </w:rPr>
              <w:t>Kể từ ngày bàn giao mặt bằng</w:t>
            </w:r>
          </w:p>
        </w:tc>
        <w:tc>
          <w:tcPr>
            <w:tcW w:w="2806" w:type="dxa"/>
            <w:shd w:val="clear" w:color="auto" w:fill="auto"/>
            <w:vAlign w:val="center"/>
          </w:tcPr>
          <w:p w:rsidR="00DD5B45" w:rsidRPr="00DD5B45" w:rsidRDefault="00DD5B45" w:rsidP="00DD5B45">
            <w:pPr>
              <w:widowControl w:val="0"/>
              <w:spacing w:before="120" w:after="120" w:line="264" w:lineRule="auto"/>
              <w:jc w:val="both"/>
              <w:rPr>
                <w:rFonts w:cs="Times New Roman"/>
                <w:color w:val="000000" w:themeColor="text1"/>
                <w:szCs w:val="28"/>
                <w:lang w:val="en-GB"/>
              </w:rPr>
            </w:pPr>
            <w:r w:rsidRPr="00DD5B45">
              <w:rPr>
                <w:rFonts w:cs="Times New Roman"/>
                <w:color w:val="000000" w:themeColor="text1"/>
                <w:kern w:val="2"/>
                <w:szCs w:val="28"/>
                <w:lang w:val="en-GB"/>
              </w:rPr>
              <w:t>240 ngày kể từ ngày bàn giao mặt bằng thi công</w:t>
            </w:r>
          </w:p>
        </w:tc>
      </w:tr>
    </w:tbl>
    <w:p w:rsidR="00DD5B45" w:rsidRPr="00DD5B45" w:rsidRDefault="00DD5B45" w:rsidP="00DD5B45">
      <w:pPr>
        <w:widowControl w:val="0"/>
        <w:tabs>
          <w:tab w:val="left" w:pos="700"/>
          <w:tab w:val="left" w:pos="1418"/>
        </w:tabs>
        <w:spacing w:before="120" w:after="120" w:line="264" w:lineRule="auto"/>
        <w:ind w:firstLine="567"/>
        <w:jc w:val="both"/>
        <w:rPr>
          <w:rFonts w:cs="Times New Roman"/>
          <w:b/>
          <w:bCs/>
          <w:color w:val="000000" w:themeColor="text1"/>
          <w:szCs w:val="28"/>
        </w:rPr>
      </w:pPr>
      <w:r w:rsidRPr="00DD5B45">
        <w:rPr>
          <w:rFonts w:cs="Times New Roman"/>
          <w:b/>
          <w:bCs/>
          <w:color w:val="000000" w:themeColor="text1"/>
          <w:szCs w:val="28"/>
        </w:rPr>
        <w:t>III. Yêu cầu về kỹ thuật/chỉ dẫn kỹ thuật</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xml:space="preserve">Nhà thầu phải tuân thủ theo các yêu cầu kỹ thuật/chỉ dẫn kỹ thuật thể hiện trên bản vẽ thiết kế thi công. Ngoài ra, nhà thầu còn phải thực hiện các công việc cần thiết trong quá trình xây dựng theo quy định của pháp luật về xây dựng bao gồm tổ chức thi công, giám sát, nghiệm thu, thử nghiệm, an toàn lao động, vệ sinh môi trường, phòng chống cháy nổ, huy động thiết bị, kiểm tra, giám sát chất lượng và các yêu cầu khác (nếu có).  </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Yêu cầu về mặt kỹ thuật/chỉ dẫn kỹ thuật bao gồm các nội dung chủ yếu sau:</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b/>
          <w:color w:val="000000" w:themeColor="text1"/>
          <w:szCs w:val="28"/>
          <w:lang w:val="vi-VN"/>
        </w:rPr>
      </w:pPr>
      <w:r w:rsidRPr="00DD5B45">
        <w:rPr>
          <w:rFonts w:eastAsia="Arial" w:cs="Times New Roman"/>
          <w:b/>
          <w:color w:val="000000" w:themeColor="text1"/>
          <w:szCs w:val="28"/>
          <w:lang w:val="vi-VN"/>
        </w:rPr>
        <w:t>1. Quy định chung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Đơn vị thi công cần đề ra biện pháp thi công sao cho không gây hư hại đến các công trình lân cận. Nhà thầu phải thực thi mọi biện pháp nhằm đảm bảo an toàn tuyệt đối cho các công trình lân cận, công trình liền kề và phải chịu hoàn toàn trách nhiệm về những hư hỏng của những công trình này gây ra bởi quá trình thi công gói thầu này. Nhà thầu phải dừng thi công nếu thấy xuất hiện các dấu hiệu gây hư hại cho công trình lân cận, công trình liền kề do việc thi công công trình gây lên và thực hiện ngay các biện pháp nhằm hạn chế, khắc phục kịp thời những hư hại này. Do đó, nhà thầu cần phải nghiên cứu, tính toán kỹ biện pháp thi công trên cơ sở tuân thủ đầy đủ các yêu cầu kỹ thuật nêu trong HSMT này và quy chuẩn, tiêu chuẩn xây dựng, các quy định hiện hành của pháp luật Việt Nam.</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Yêu cầu kỹ thuật đòi hỏi thực hiện thi công tuân thủ theo các tiêu chuẩn quy phạm Nhà nước về công tác xây dựng đã quy định trong Tiêu chuẩn Xây dựng Việt Nam do Bộ Xây Dựng ban hành và các chỉ định kỹ thuật trong bản vẽ thi công.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Cần tuân theo những quy định về an toàn lao động, phòng cháy chữa cháy cũng như các tiêu chuẩn khác có liên quan do Nhà nước ban hành.</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Yêu cầu kỹ thuật thi công cho công trình.</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Theo hợp đồng, nhà thầu phải chịu trách nhiệm cung cấp toàn bộ máy móc, thiết bị, vật liệu xây dựng, công nhân và nhà xưởng thi công.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Nhà thầu chịu trách nhiệm khảo sát hiện trường, kiểm tra, xác định toàn bộ các kích thước, cao độ và điều kiện làm việc trước khi thi công.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xml:space="preserve">+ Nhà thầu phải phối hợp với các nhà thầu phụ (nếu có) trong các vấn đề theo </w:t>
      </w:r>
      <w:r w:rsidRPr="00DD5B45">
        <w:rPr>
          <w:rFonts w:eastAsia="Arial" w:cs="Times New Roman"/>
          <w:color w:val="000000" w:themeColor="text1"/>
          <w:szCs w:val="28"/>
          <w:lang w:val="vi-VN"/>
        </w:rPr>
        <w:lastRenderedPageBreak/>
        <w:t>đúng chỉ định của bản vẽ kỹ thuật.</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Trong quá trình thi công, nhà thầu cần báo cho Chủ đầu tư và cơ quan thiết kế biết về những vấn đề còn chưa rõ ràng trong Hồ sơ thiết kế để xử lý.</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Trong quá trình thi công, những thay đổi về thiết kế và những công tác phát sinh ngoài thiết kế phải được sự đồng ý của Chủ đầu tư và phải được ghi chép, vẽ chi tiết, lưu giữ để làm cơ sở cho việc thanh toán, lập Hồ sơ hoàn công sau khi được nghiệm thu và đưa vào sử dụng.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Toàn bộ quá trình thi công phải tiến hành công tác nghiệm thu từng công việc, từng giai đoạn thi công theo kế hoạch và trình tự thi công đã thoả thuận trong hợp đồng. Toàn bộ các biên bản nghiệm thu từng đợt và biên bản nghiệm thu bàn giao sử dụng phải được giữ làm cơ sở lập Hồ sơ hoàn công sau này.</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Vật liệu xây dựng và chất lượng sản phẩm phải đạt yêu cầu tốt nhất và phải thoả mãn các quy định của yêu cầu kỹ thuật và Tiêu chuẩn quy phạm. Trong trường hợp không có các quy định và tiêu chuẩn của Việt Nam thì phải tuân thủ theo các tiêu chuẩn Quốc tế tương đương do Nhà thầu đề xuất và được sự chấp thuận của Chủ đầu tư, cơ quan thiết kế và Kỹ sư giám sát chất lượng.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Tất cả các công việc phải được hoàn thành đúng hạn, không có sai sót và</w:t>
      </w:r>
      <w:r w:rsidRPr="00DD5B45">
        <w:rPr>
          <w:rFonts w:eastAsia="Arial" w:cs="Times New Roman"/>
          <w:color w:val="000000" w:themeColor="text1"/>
          <w:szCs w:val="28"/>
          <w:lang w:val="vi-VN"/>
        </w:rPr>
        <w:br/>
        <w:t>phải được sự chấp nhận của kỹ sư giám sát chất lượng.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Các loại vật liệu phải đạt quy chuẩn, tiêu chẩu chất lượng quy định</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Máy trộn vữa sẽ theo chỉ định của kỹ sư giám sát chất lượng. Máy trộn phải được rửa sạch 2 lần một ngày trong quá trình sử dụng, nếu thỉnh thoảng dùng thì phải được rửa sạch ngay sau khi sử dụng. Không trộn vật liệu quá 5 phút.</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Vữa sau khi trộn chỉ được sử dụng trong vòng 30 phút, không được trộn lại.</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Việc tuân thủ các quy phạm trong thiết kế phải được thực hiện nhất quán.</w:t>
      </w:r>
      <w:r w:rsidRPr="00DD5B45">
        <w:rPr>
          <w:rFonts w:eastAsia="Arial" w:cs="Times New Roman"/>
          <w:color w:val="000000" w:themeColor="text1"/>
          <w:szCs w:val="28"/>
          <w:lang w:val="vi-VN"/>
        </w:rPr>
        <w:br/>
        <w:t>Trong quá trình thực hiện thi công, yêu cầu nhà thầu phối hợp với Chủ đầu tư, đơn vị thiết kế và cơ quan Quản lý chất lượng xây dựng cơ bản ở địa phương để đảm bảo công tác thi công và nghiệm thu công trình.</w:t>
      </w:r>
    </w:p>
    <w:p w:rsidR="00DD5B45" w:rsidRPr="00DD5B45" w:rsidRDefault="00DD5B45" w:rsidP="00DD5B45">
      <w:pPr>
        <w:spacing w:before="120"/>
        <w:ind w:firstLine="567"/>
        <w:contextualSpacing/>
        <w:jc w:val="both"/>
        <w:rPr>
          <w:rFonts w:eastAsia="Arial" w:cs="Times New Roman"/>
          <w:b/>
          <w:color w:val="000000" w:themeColor="text1"/>
          <w:szCs w:val="28"/>
          <w:lang w:val="vi-VN"/>
        </w:rPr>
      </w:pPr>
      <w:r w:rsidRPr="00DD5B45">
        <w:rPr>
          <w:rFonts w:eastAsia="Arial" w:cs="Times New Roman"/>
          <w:b/>
          <w:bCs/>
          <w:color w:val="000000" w:themeColor="text1"/>
          <w:szCs w:val="28"/>
          <w:lang w:val="vi-VN"/>
        </w:rPr>
        <w:t>2. Công tác chuẩn bị và tổ chức mặt bằng thi công: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Tổ chức công trường: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Biển báo thi công: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Mỗi công trình được vây quanh bằng hàng rào, Nhà thầu bố trí bảo vệ và lắp đặt bảng hiệu công trình có ghi thông tin về dự án, kích thước và nội dung của biển báo phải được bên mời thầu và giám sát thi công đồng ý.</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xml:space="preserve">- Công trình xây dựng được bố trí một Ban chỉ huy điều hành và phục vụ y tế; Nhà vệ sinh hiện trường và vật liệu thải, được thu dọn hàng ngày đảm bảo tiêu </w:t>
      </w:r>
      <w:r w:rsidRPr="00DD5B45">
        <w:rPr>
          <w:rFonts w:eastAsia="Arial" w:cs="Times New Roman"/>
          <w:color w:val="000000" w:themeColor="text1"/>
          <w:szCs w:val="28"/>
          <w:lang w:val="vi-VN"/>
        </w:rPr>
        <w:lastRenderedPageBreak/>
        <w:t>chuẩn vệ sinh; Xưởng gia công cốt thép, ván khuôn, kho chứa xi măng, kho chứa vật tư, thiết bị, sân trộn bê tông, bể nước thi công, bãi chứa vật liệu .v.v. được bố trí phù hợp với thời điểm thi công và điều kiện mặt bằng.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Cấp điện thi công: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Nhà thầu liên hệ với ban quản lý điện tại địa phương để làm hợp đồng cấp điện phục vụ thi công. Trong trường hợp nguồn điện không cấp được điện cho công trường, Nhà thầu phải dùng máy phát điện để đảm bảo thi công liên tục. Tại khu vực thi công có bố trí các hộp cầu dao có nắp che chắn bảo vệ và hệ thống đường dây treo trên cột dẫn tới các điểm dùng điện, phải đảm bảo an toàn theo đúng tiêu chuẩn an toàn về điện hiện hành.</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Cấp nước thi công: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Nhà thầu phải đảm bảo có nước sạch đủ tiêu chuẩn phục vụ thi công và sinh hoạt ở lán trại, văn phòng, cần xây dựng giếng nước và một số bể chứa nhỏ phục vụ thi công. Nước phục vụ thi công đảm bảo TCVN 4506-2012.</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Thoát nước:</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Trên mặt bằng thi công, Nhà thầu bố trí hệ thống thoát nước tạm bằng mương và ống thích hợp. Phần đào móng sâu có hệ thống mương thu nước móng dồn về hố thu, dùng bơm thoát nước bơm từ hố thu vào hệ thống thoát nước tạm.</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Đường thi công: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Nhà thầu làm đường tạm để phục vụ thi công được thuận tiện. Ngoài ra Nhà thầu có thể chủ động gia cố đường để đảm bảo phục vụ thi công, hoàn thành đúng tiến độ.</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Thông tin liên lạc:</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Nhà thầu cần đặt máy điện thoại tạm thời tại khu vực công trường để đảm bảo liên lạc với các bên liên quan liên tục 24/24 giờ.</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Hệ thống cứu hoả :</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Để đề phòng và xử lý cháy nổ trên công trường phải đặt một số bình cứu hoả tại các điểm cần thiết, có khả năng dễ xảy ra hoả hoạn. hàng ngày có cán bộ kiểm tra thường xuyên việc phòng cháy.</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xml:space="preserve">Những nội dung chưa nêu trong phần chỉ dẫn này, Nhà thầu phải căn cứ vào yêu cầu thiết kế để xác lập biện pháp thi công đúng quy trình, quy phạm kỹ thuật, đảm bảo chất lượng cao nhất và phải tuân thủ đầy đủ các nội dung trong quy định quản lý giám sát chất lượng công trình xây dựng ban hành kèm theo Nghị định số 06/2021/NĐ-CP ngày 26/01/2021 của Chính phủ Quy định chi tiết một số nội dung về quản lý chất lượng, thi công xây dựng và bảo trì công trình xây dựng. </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b/>
          <w:color w:val="000000" w:themeColor="text1"/>
          <w:szCs w:val="28"/>
          <w:lang w:val="vi-VN"/>
        </w:rPr>
      </w:pPr>
      <w:r w:rsidRPr="00DD5B45">
        <w:rPr>
          <w:rFonts w:eastAsia="Arial" w:cs="Times New Roman"/>
          <w:b/>
          <w:color w:val="000000" w:themeColor="text1"/>
          <w:szCs w:val="28"/>
          <w:lang w:val="vi-VN"/>
        </w:rPr>
        <w:lastRenderedPageBreak/>
        <w:t>3. Yêu cầu về chủng loại, chất lượng vật tư, máy móc, thiết bị (kèm theo các tiêu chuẩn về phương pháp thử);</w:t>
      </w:r>
    </w:p>
    <w:p w:rsidR="00DD5B45" w:rsidRPr="00DD5B45" w:rsidRDefault="00DD5B45" w:rsidP="00DD5B45">
      <w:pPr>
        <w:tabs>
          <w:tab w:val="left" w:pos="851"/>
        </w:tabs>
        <w:autoSpaceDE w:val="0"/>
        <w:autoSpaceDN w:val="0"/>
        <w:adjustRightInd w:val="0"/>
        <w:spacing w:before="120"/>
        <w:ind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xml:space="preserve"> 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b/>
          <w:color w:val="000000" w:themeColor="text1"/>
          <w:szCs w:val="28"/>
          <w:lang w:val="vi-VN"/>
        </w:rPr>
      </w:pPr>
      <w:r w:rsidRPr="00DD5B45">
        <w:rPr>
          <w:rFonts w:eastAsia="Arial" w:cs="Times New Roman"/>
          <w:b/>
          <w:color w:val="000000" w:themeColor="text1"/>
          <w:szCs w:val="28"/>
          <w:lang w:val="vi-VN"/>
        </w:rPr>
        <w:t>4. Yêu cầu về trình tự thi công, lắp đặt;</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b/>
          <w:color w:val="000000" w:themeColor="text1"/>
          <w:szCs w:val="28"/>
          <w:lang w:val="vi-VN"/>
        </w:rPr>
      </w:pPr>
      <w:r w:rsidRPr="00DD5B45">
        <w:rPr>
          <w:rFonts w:eastAsia="Arial" w:cs="Times New Roman"/>
          <w:b/>
          <w:color w:val="000000" w:themeColor="text1"/>
          <w:szCs w:val="28"/>
          <w:lang w:val="vi-VN"/>
        </w:rPr>
        <w:t>5. Yêu cầu về vận hành thử nghiệm, an toàn;</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ab/>
        <w:t>Sau khi thi công xây dựng xong Nhà thầu phải có kế hoạch đào tạo, vận hành thử nghiệm toàn bộ hệ thống và chuyển giao công nghệ cho Chủ đầu tư.</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b/>
          <w:color w:val="000000" w:themeColor="text1"/>
          <w:szCs w:val="28"/>
          <w:lang w:val="vi-VN"/>
        </w:rPr>
      </w:pPr>
      <w:r w:rsidRPr="00DD5B45">
        <w:rPr>
          <w:rFonts w:eastAsia="Arial" w:cs="Times New Roman"/>
          <w:b/>
          <w:color w:val="000000" w:themeColor="text1"/>
          <w:szCs w:val="28"/>
          <w:lang w:val="vi-VN"/>
        </w:rPr>
        <w:t>6. Yêu cầu về phòng, chống cháy, nổ (nếu có);</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Tuân thủ theo đúng các quy định hiện hành về an toàn phòng, chống cháy, nổ trong suốt quá trình thi công xây dựng công trình.</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b/>
          <w:color w:val="000000" w:themeColor="text1"/>
          <w:szCs w:val="28"/>
          <w:lang w:val="vi-VN"/>
        </w:rPr>
      </w:pPr>
      <w:r w:rsidRPr="00DD5B45">
        <w:rPr>
          <w:rFonts w:eastAsia="Arial" w:cs="Times New Roman"/>
          <w:b/>
          <w:color w:val="000000" w:themeColor="text1"/>
          <w:szCs w:val="28"/>
          <w:lang w:val="vi-VN"/>
        </w:rPr>
        <w:t>7. Yêu cầu về vệ sinh môi trường;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Có biện pháp bảo đảm vệ sinh môi trường hợp lý, khả thi phù hợp với đề xuất về biện pháp tổ chức thi công.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Nhà thầu phải dọn dẹp toàn bộ hệ thống kho bãi công trình, tổng vệ sinh các hạng mục, thu dọn phế thải để hoàn nguyên cảnh quan khu vực trước khi tiến hành nghiệm thu bàn giao công trình.</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b/>
          <w:color w:val="000000" w:themeColor="text1"/>
          <w:szCs w:val="28"/>
          <w:lang w:val="vi-VN"/>
        </w:rPr>
      </w:pPr>
      <w:r w:rsidRPr="00DD5B45">
        <w:rPr>
          <w:rFonts w:eastAsia="Arial" w:cs="Times New Roman"/>
          <w:b/>
          <w:color w:val="000000" w:themeColor="text1"/>
          <w:szCs w:val="28"/>
          <w:lang w:val="vi-VN"/>
        </w:rPr>
        <w:t>8. Yêu cầu về an toàn lao động;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pacing w:val="-2"/>
          <w:szCs w:val="28"/>
          <w:lang w:val="vi-VN"/>
        </w:rPr>
      </w:pPr>
      <w:r w:rsidRPr="00DD5B45">
        <w:rPr>
          <w:rFonts w:eastAsia="Arial" w:cs="Times New Roman"/>
          <w:b/>
          <w:color w:val="000000" w:themeColor="text1"/>
          <w:spacing w:val="-2"/>
          <w:szCs w:val="28"/>
          <w:lang w:val="vi-VN"/>
        </w:rPr>
        <w:tab/>
      </w:r>
      <w:r w:rsidRPr="00DD5B45">
        <w:rPr>
          <w:rFonts w:eastAsia="Arial" w:cs="Times New Roman"/>
          <w:color w:val="000000" w:themeColor="text1"/>
          <w:spacing w:val="-2"/>
          <w:szCs w:val="28"/>
          <w:lang w:val="vi-VN"/>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Ngay trước khi bắt đầu tiến hành thi công . Nhà thầu phải trình Kỹ sư bản biện pháp an toàn lao động. Biện pháp này bao gồm cả huấn luyện an toàn cho toàn nhân viên, người chỉ huy việc thực hiện gói thầu này.</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xml:space="preserve">Nhà thầu phải tiến hành các biện pháp phòng ngừa và bảo vệ cần thiết để đảm bảo cho nhân viên hoặc bất cứ người nào khác trong hoặc ngoài công trường khỏi </w:t>
      </w:r>
      <w:r w:rsidRPr="00DD5B45">
        <w:rPr>
          <w:rFonts w:eastAsia="Arial" w:cs="Times New Roman"/>
          <w:color w:val="000000" w:themeColor="text1"/>
          <w:szCs w:val="28"/>
          <w:lang w:val="vi-VN"/>
        </w:rPr>
        <w:lastRenderedPageBreak/>
        <w:t>bị nguy hiểm do các phương pháp làm việc của Nhà thầu.</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b/>
          <w:color w:val="000000" w:themeColor="text1"/>
          <w:szCs w:val="28"/>
          <w:lang w:val="vi-VN"/>
        </w:rPr>
      </w:pPr>
      <w:r w:rsidRPr="00DD5B45">
        <w:rPr>
          <w:rFonts w:eastAsia="Arial" w:cs="Times New Roman"/>
          <w:b/>
          <w:color w:val="000000" w:themeColor="text1"/>
          <w:szCs w:val="28"/>
          <w:lang w:val="vi-VN"/>
        </w:rPr>
        <w:t>9. Biện pháp huy động nhân lực và thiết bị phục vụ thi công;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Nhà thầu phải có biện pháp huy động nhân lực và thiết bị phục vụ thi công hợp lý, đáp ứng yêu cầu kỹ thuật và tiến độ cam kết trong HSDT.</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b/>
          <w:color w:val="000000" w:themeColor="text1"/>
          <w:szCs w:val="28"/>
          <w:lang w:val="vi-VN"/>
        </w:rPr>
      </w:pPr>
      <w:r w:rsidRPr="00DD5B45">
        <w:rPr>
          <w:rFonts w:eastAsia="Arial" w:cs="Times New Roman"/>
          <w:color w:val="000000" w:themeColor="text1"/>
          <w:szCs w:val="28"/>
          <w:lang w:val="vi-VN"/>
        </w:rPr>
        <w:t>Những thiết bị xe máy đưa vào công trình đều là loại được lựa chọn có công suất và tính năng phù hợp, chất lượng còn tốt, đảm bảo an toàn, vệ sinh môi trường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b/>
          <w:color w:val="000000" w:themeColor="text1"/>
          <w:szCs w:val="28"/>
          <w:lang w:val="vi-VN"/>
        </w:rPr>
      </w:pPr>
      <w:r w:rsidRPr="00DD5B45">
        <w:rPr>
          <w:rFonts w:eastAsia="Arial" w:cs="Times New Roman"/>
          <w:b/>
          <w:color w:val="000000" w:themeColor="text1"/>
          <w:szCs w:val="28"/>
          <w:lang w:val="vi-VN"/>
        </w:rPr>
        <w:t>10. Yêu cầu về biện pháp tổ chức thi công tổng thể và các hạng mục;</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 gây thiệt hại cho nhà thầu.</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a) Trong bản yêu cầu kỹ thuật này biện pháp thi công bao gồm các phần sau:</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Tiến độ thi công.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Bản vẽ biện pháp thi công thể hiện các chi tiết yêu cầu cần đặc biệt lưu ý các biện pháp để tổ chức thi công gói thầu.</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Tính toán thiết kế các công trình tạm.</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Vật liệu, máy móc và nhân công cần thiết cho mỗi giai đoạn thi công.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Các nhu cầu cần thiết khác.</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xml:space="preserve">b) Tiếp nhận mặt bằng công trình: </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Nhà thầu phải nộp bản tường trình biện pháp thi công chi tiết của cả việc thi công công trình chính và công trình tạm để Kỹ sư giám sát xem xét trước khi khởi công công trình.</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 xml:space="preserve">+ Nhà thầu liên hệ với chính quyền địa phương và các đơn vị có liên quan để </w:t>
      </w:r>
      <w:r w:rsidRPr="00DD5B45">
        <w:rPr>
          <w:rFonts w:eastAsia="Arial" w:cs="Times New Roman"/>
          <w:color w:val="000000" w:themeColor="text1"/>
          <w:szCs w:val="28"/>
          <w:lang w:val="vi-VN"/>
        </w:rPr>
        <w:lastRenderedPageBreak/>
        <w:t>xin phép sử dụng các phương tiện công cộng ở địa phương cũng như phối hợp công tác giữ gìn an ninh trật tự trong khu vực thi công.</w:t>
      </w:r>
    </w:p>
    <w:p w:rsidR="00DD5B45" w:rsidRPr="00DD5B45" w:rsidRDefault="00DD5B45" w:rsidP="00DD5B45">
      <w:pPr>
        <w:widowControl w:val="0"/>
        <w:autoSpaceDE w:val="0"/>
        <w:autoSpaceDN w:val="0"/>
        <w:adjustRightInd w:val="0"/>
        <w:spacing w:before="120"/>
        <w:ind w:right="-14" w:firstLine="567"/>
        <w:contextualSpacing/>
        <w:jc w:val="both"/>
        <w:rPr>
          <w:rFonts w:eastAsia="Arial" w:cs="Times New Roman"/>
          <w:color w:val="000000" w:themeColor="text1"/>
          <w:szCs w:val="28"/>
          <w:lang w:val="vi-VN"/>
        </w:rPr>
      </w:pPr>
      <w:r w:rsidRPr="00DD5B45">
        <w:rPr>
          <w:rFonts w:eastAsia="Arial" w:cs="Times New Roman"/>
          <w:color w:val="000000" w:themeColor="text1"/>
          <w:szCs w:val="28"/>
          <w:lang w:val="vi-VN"/>
        </w:rPr>
        <w:t>c) Nhà thầu phải đảm bảo thi công đúng biện pháp thi công được duyệt, phải tuân theo các hướng dẫn của kỹ sư giám sát để đảm bảo biện pháp thi công đảm bảo an toàn và không được kéo dài thời gian.</w:t>
      </w:r>
    </w:p>
    <w:p w:rsidR="00DD5B45" w:rsidRPr="00DD5B45" w:rsidRDefault="00DD5B45" w:rsidP="00DD5B45">
      <w:pPr>
        <w:spacing w:line="300" w:lineRule="exact"/>
        <w:ind w:firstLine="567"/>
        <w:jc w:val="both"/>
        <w:rPr>
          <w:rFonts w:cs="Times New Roman"/>
          <w:color w:val="000000" w:themeColor="text1"/>
          <w:szCs w:val="28"/>
          <w:lang w:val="pt-BR"/>
        </w:rPr>
      </w:pPr>
      <w:r w:rsidRPr="00DD5B45">
        <w:rPr>
          <w:rFonts w:eastAsia="Arial" w:cs="Times New Roman"/>
          <w:color w:val="000000" w:themeColor="text1"/>
          <w:szCs w:val="28"/>
          <w:lang w:val="vi-VN"/>
        </w:rPr>
        <w:t>d)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w:t>
      </w:r>
      <w:r w:rsidRPr="00DD5B45">
        <w:rPr>
          <w:rFonts w:cs="Times New Roman"/>
          <w:color w:val="000000" w:themeColor="text1"/>
          <w:szCs w:val="28"/>
          <w:lang w:val="pt-BR"/>
        </w:rPr>
        <w:t>.</w:t>
      </w:r>
    </w:p>
    <w:p w:rsidR="00DD5B45" w:rsidRPr="00DD5B45" w:rsidRDefault="00DD5B45" w:rsidP="00DD5B45">
      <w:pPr>
        <w:widowControl w:val="0"/>
        <w:tabs>
          <w:tab w:val="left" w:pos="1418"/>
        </w:tabs>
        <w:spacing w:before="120" w:after="120" w:line="264" w:lineRule="auto"/>
        <w:ind w:firstLine="567"/>
        <w:jc w:val="both"/>
        <w:rPr>
          <w:rFonts w:cs="Times New Roman"/>
          <w:b/>
          <w:color w:val="000000" w:themeColor="text1"/>
          <w:szCs w:val="28"/>
          <w:lang w:val="pt-BR"/>
        </w:rPr>
      </w:pPr>
      <w:r w:rsidRPr="00DD5B45">
        <w:rPr>
          <w:rFonts w:cs="Times New Roman"/>
          <w:b/>
          <w:color w:val="000000" w:themeColor="text1"/>
          <w:szCs w:val="28"/>
          <w:lang w:val="pt-BR"/>
        </w:rPr>
        <w:t>IV. Các bản vẽ</w:t>
      </w:r>
    </w:p>
    <w:p w:rsidR="0023282D" w:rsidRPr="00DD5B45" w:rsidRDefault="00DD5B45" w:rsidP="00DD5B45">
      <w:pPr>
        <w:jc w:val="both"/>
        <w:rPr>
          <w:rFonts w:cs="Times New Roman"/>
          <w:color w:val="000000" w:themeColor="text1"/>
        </w:rPr>
      </w:pPr>
      <w:r w:rsidRPr="00DD5B45">
        <w:rPr>
          <w:rFonts w:cs="Times New Roman"/>
          <w:color w:val="000000" w:themeColor="text1"/>
          <w:spacing w:val="-4"/>
          <w:szCs w:val="28"/>
          <w:lang w:val="pt-BR"/>
        </w:rPr>
        <w:t>Được đăng tải cùng E-HSMT</w:t>
      </w:r>
    </w:p>
    <w:sectPr w:rsidR="0023282D" w:rsidRPr="00DD5B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B2B" w:rsidRDefault="00F57B2B" w:rsidP="00DD5B45">
      <w:pPr>
        <w:spacing w:line="240" w:lineRule="auto"/>
      </w:pPr>
      <w:r>
        <w:separator/>
      </w:r>
    </w:p>
  </w:endnote>
  <w:endnote w:type="continuationSeparator" w:id="0">
    <w:p w:rsidR="00F57B2B" w:rsidRDefault="00F57B2B" w:rsidP="00DD5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270353"/>
      <w:docPartObj>
        <w:docPartGallery w:val="Page Numbers (Bottom of Page)"/>
        <w:docPartUnique/>
      </w:docPartObj>
    </w:sdtPr>
    <w:sdtEndPr>
      <w:rPr>
        <w:noProof/>
      </w:rPr>
    </w:sdtEndPr>
    <w:sdtContent>
      <w:p w:rsidR="00DD5B45" w:rsidRDefault="00DD5B45">
        <w:pPr>
          <w:pStyle w:val="Footer"/>
          <w:jc w:val="center"/>
        </w:pPr>
        <w:r>
          <w:fldChar w:fldCharType="begin"/>
        </w:r>
        <w:r>
          <w:instrText xml:space="preserve"> PAGE   \* MERGEFORMAT </w:instrText>
        </w:r>
        <w:r>
          <w:fldChar w:fldCharType="separate"/>
        </w:r>
        <w:r w:rsidR="00B70CCB">
          <w:rPr>
            <w:noProof/>
          </w:rPr>
          <w:t>1</w:t>
        </w:r>
        <w:r>
          <w:rPr>
            <w:noProof/>
          </w:rPr>
          <w:fldChar w:fldCharType="end"/>
        </w:r>
      </w:p>
    </w:sdtContent>
  </w:sdt>
  <w:p w:rsidR="00DD5B45" w:rsidRDefault="00DD5B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B2B" w:rsidRDefault="00F57B2B" w:rsidP="00DD5B45">
      <w:pPr>
        <w:spacing w:line="240" w:lineRule="auto"/>
      </w:pPr>
      <w:r>
        <w:separator/>
      </w:r>
    </w:p>
  </w:footnote>
  <w:footnote w:type="continuationSeparator" w:id="0">
    <w:p w:rsidR="00F57B2B" w:rsidRDefault="00F57B2B" w:rsidP="00DD5B4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45"/>
    <w:rsid w:val="0023282D"/>
    <w:rsid w:val="00640E85"/>
    <w:rsid w:val="00B70CCB"/>
    <w:rsid w:val="00DD5B45"/>
    <w:rsid w:val="00F5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D5B45"/>
    <w:pPr>
      <w:widowControl w:val="0"/>
      <w:autoSpaceDE w:val="0"/>
      <w:autoSpaceDN w:val="0"/>
      <w:spacing w:line="384" w:lineRule="atLeast"/>
    </w:pPr>
    <w:rPr>
      <w:rFonts w:eastAsia="Times New Roman" w:cs="Times New Roman"/>
      <w:sz w:val="24"/>
      <w:szCs w:val="24"/>
    </w:rPr>
  </w:style>
  <w:style w:type="paragraph" w:styleId="Header">
    <w:name w:val="header"/>
    <w:basedOn w:val="Normal"/>
    <w:link w:val="HeaderChar"/>
    <w:uiPriority w:val="99"/>
    <w:unhideWhenUsed/>
    <w:rsid w:val="00DD5B45"/>
    <w:pPr>
      <w:tabs>
        <w:tab w:val="center" w:pos="4680"/>
        <w:tab w:val="right" w:pos="9360"/>
      </w:tabs>
      <w:spacing w:line="240" w:lineRule="auto"/>
    </w:pPr>
  </w:style>
  <w:style w:type="character" w:customStyle="1" w:styleId="HeaderChar">
    <w:name w:val="Header Char"/>
    <w:basedOn w:val="DefaultParagraphFont"/>
    <w:link w:val="Header"/>
    <w:uiPriority w:val="99"/>
    <w:rsid w:val="00DD5B45"/>
  </w:style>
  <w:style w:type="paragraph" w:styleId="Footer">
    <w:name w:val="footer"/>
    <w:basedOn w:val="Normal"/>
    <w:link w:val="FooterChar"/>
    <w:uiPriority w:val="99"/>
    <w:unhideWhenUsed/>
    <w:rsid w:val="00DD5B45"/>
    <w:pPr>
      <w:tabs>
        <w:tab w:val="center" w:pos="4680"/>
        <w:tab w:val="right" w:pos="9360"/>
      </w:tabs>
      <w:spacing w:line="240" w:lineRule="auto"/>
    </w:pPr>
  </w:style>
  <w:style w:type="character" w:customStyle="1" w:styleId="FooterChar">
    <w:name w:val="Footer Char"/>
    <w:basedOn w:val="DefaultParagraphFont"/>
    <w:link w:val="Footer"/>
    <w:uiPriority w:val="99"/>
    <w:rsid w:val="00DD5B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D5B45"/>
    <w:pPr>
      <w:widowControl w:val="0"/>
      <w:autoSpaceDE w:val="0"/>
      <w:autoSpaceDN w:val="0"/>
      <w:spacing w:line="384" w:lineRule="atLeast"/>
    </w:pPr>
    <w:rPr>
      <w:rFonts w:eastAsia="Times New Roman" w:cs="Times New Roman"/>
      <w:sz w:val="24"/>
      <w:szCs w:val="24"/>
    </w:rPr>
  </w:style>
  <w:style w:type="paragraph" w:styleId="Header">
    <w:name w:val="header"/>
    <w:basedOn w:val="Normal"/>
    <w:link w:val="HeaderChar"/>
    <w:uiPriority w:val="99"/>
    <w:unhideWhenUsed/>
    <w:rsid w:val="00DD5B45"/>
    <w:pPr>
      <w:tabs>
        <w:tab w:val="center" w:pos="4680"/>
        <w:tab w:val="right" w:pos="9360"/>
      </w:tabs>
      <w:spacing w:line="240" w:lineRule="auto"/>
    </w:pPr>
  </w:style>
  <w:style w:type="character" w:customStyle="1" w:styleId="HeaderChar">
    <w:name w:val="Header Char"/>
    <w:basedOn w:val="DefaultParagraphFont"/>
    <w:link w:val="Header"/>
    <w:uiPriority w:val="99"/>
    <w:rsid w:val="00DD5B45"/>
  </w:style>
  <w:style w:type="paragraph" w:styleId="Footer">
    <w:name w:val="footer"/>
    <w:basedOn w:val="Normal"/>
    <w:link w:val="FooterChar"/>
    <w:uiPriority w:val="99"/>
    <w:unhideWhenUsed/>
    <w:rsid w:val="00DD5B45"/>
    <w:pPr>
      <w:tabs>
        <w:tab w:val="center" w:pos="4680"/>
        <w:tab w:val="right" w:pos="9360"/>
      </w:tabs>
      <w:spacing w:line="240" w:lineRule="auto"/>
    </w:pPr>
  </w:style>
  <w:style w:type="character" w:customStyle="1" w:styleId="FooterChar">
    <w:name w:val="Footer Char"/>
    <w:basedOn w:val="DefaultParagraphFont"/>
    <w:link w:val="Footer"/>
    <w:uiPriority w:val="99"/>
    <w:rsid w:val="00DD5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3232</Words>
  <Characters>18427</Characters>
  <Application>Microsoft Office Word</Application>
  <DocSecurity>0</DocSecurity>
  <Lines>153</Lines>
  <Paragraphs>43</Paragraphs>
  <ScaleCrop>false</ScaleCrop>
  <Company/>
  <LinksUpToDate>false</LinksUpToDate>
  <CharactersWithSpaces>21616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2025-11-30T13:38:00Z</dcterms:created>
  <dcterms:modified xsi:type="dcterms:W3CDTF">2025-12-02T04:14:00Z</dcterms:modified>
</cp:coreProperties>
</file>