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4773" w14:textId="77777777" w:rsidR="00ED7DD3" w:rsidRPr="00ED7DD3" w:rsidRDefault="00ED7DD3" w:rsidP="00ED7DD3">
      <w:pPr>
        <w:jc w:val="center"/>
        <w:outlineLvl w:val="0"/>
        <w:rPr>
          <w:b/>
          <w:sz w:val="28"/>
          <w:szCs w:val="28"/>
          <w:lang w:val="nl-NL"/>
        </w:rPr>
      </w:pPr>
      <w:r w:rsidRPr="00ED7DD3">
        <w:rPr>
          <w:b/>
          <w:sz w:val="28"/>
          <w:szCs w:val="28"/>
          <w:lang w:val="nl-NL"/>
        </w:rPr>
        <w:t>Phần 2. YÊU CẦU VỀ KỸ THUẬT</w:t>
      </w:r>
    </w:p>
    <w:p w14:paraId="08F8EBB6" w14:textId="77777777" w:rsidR="00ED7DD3" w:rsidRPr="00ED7DD3" w:rsidRDefault="00ED7DD3" w:rsidP="00ED7DD3">
      <w:pPr>
        <w:widowControl w:val="0"/>
        <w:spacing w:before="120" w:after="120" w:line="264" w:lineRule="auto"/>
        <w:jc w:val="center"/>
        <w:outlineLvl w:val="1"/>
        <w:rPr>
          <w:sz w:val="28"/>
          <w:szCs w:val="28"/>
          <w:lang w:val="nl-NL"/>
        </w:rPr>
      </w:pPr>
      <w:r w:rsidRPr="00ED7DD3">
        <w:rPr>
          <w:b/>
          <w:sz w:val="28"/>
          <w:szCs w:val="28"/>
          <w:lang w:val="nl-NL"/>
        </w:rPr>
        <w:t>Chương V. YÊU CẦU VỀ KỸ THUẬT</w:t>
      </w:r>
    </w:p>
    <w:p w14:paraId="50774C01" w14:textId="77777777" w:rsidR="00ED7DD3" w:rsidRPr="00ED7DD3" w:rsidRDefault="00ED7DD3" w:rsidP="00ED7DD3">
      <w:pPr>
        <w:pStyle w:val="Subtitle"/>
        <w:rPr>
          <w:sz w:val="20"/>
          <w:szCs w:val="32"/>
          <w:lang w:val="nl-NL"/>
        </w:rPr>
      </w:pPr>
    </w:p>
    <w:p w14:paraId="0BABA69F" w14:textId="77777777" w:rsidR="00ED7DD3" w:rsidRPr="00ED7DD3" w:rsidRDefault="00ED7DD3" w:rsidP="00ED7DD3">
      <w:pPr>
        <w:pStyle w:val="SectionVIHeader"/>
        <w:widowControl w:val="0"/>
        <w:spacing w:before="60" w:after="60" w:line="288" w:lineRule="auto"/>
        <w:ind w:firstLine="709"/>
        <w:jc w:val="both"/>
        <w:rPr>
          <w:sz w:val="28"/>
          <w:szCs w:val="28"/>
          <w:lang w:val="nl-NL"/>
        </w:rPr>
      </w:pPr>
      <w:r w:rsidRPr="00ED7DD3">
        <w:rPr>
          <w:sz w:val="28"/>
          <w:szCs w:val="28"/>
          <w:lang w:val="nl-NL"/>
        </w:rPr>
        <w:t>Mục 1. Yêu cầu về kỹ thuật</w:t>
      </w:r>
    </w:p>
    <w:p w14:paraId="5323D696" w14:textId="77777777" w:rsidR="00ED7DD3" w:rsidRPr="00ED7DD3" w:rsidRDefault="00ED7DD3" w:rsidP="00ED7DD3">
      <w:pPr>
        <w:pStyle w:val="ListParagraph"/>
        <w:widowControl w:val="0"/>
        <w:numPr>
          <w:ilvl w:val="1"/>
          <w:numId w:val="1"/>
        </w:numPr>
        <w:spacing w:before="60" w:after="60" w:line="288" w:lineRule="auto"/>
        <w:rPr>
          <w:b/>
          <w:i/>
          <w:sz w:val="28"/>
          <w:szCs w:val="28"/>
          <w:lang w:val="nl-NL"/>
        </w:rPr>
      </w:pPr>
      <w:r w:rsidRPr="00ED7DD3">
        <w:rPr>
          <w:b/>
          <w:i/>
          <w:sz w:val="28"/>
          <w:szCs w:val="28"/>
          <w:lang w:val="nl-NL"/>
        </w:rPr>
        <w:t>Giới thiệu chung về dự án/dự toán mua sắm, gói thầu:</w:t>
      </w:r>
    </w:p>
    <w:p w14:paraId="20EC1482"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 xml:space="preserve">- </w:t>
      </w:r>
      <w:r w:rsidRPr="00ED7DD3">
        <w:rPr>
          <w:bCs/>
          <w:iCs/>
          <w:sz w:val="28"/>
          <w:szCs w:val="28"/>
          <w:lang w:val="nl-NL"/>
        </w:rPr>
        <w:t>Gói thầu: Mua sắm xe ô tô 16 chỗ ngồi phục vụ công tác chung của Trung tâm Điều dưỡng thương binh Lạng Giang;</w:t>
      </w:r>
    </w:p>
    <w:p w14:paraId="1BDB74CE"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w:t>
      </w:r>
      <w:r w:rsidRPr="00ED7DD3">
        <w:rPr>
          <w:bCs/>
          <w:iCs/>
          <w:sz w:val="28"/>
          <w:szCs w:val="28"/>
          <w:lang w:val="nl-NL"/>
        </w:rPr>
        <w:t xml:space="preserve"> Dự toán mua sắm: Mua sắm xe ô tô 16 chỗ ngồi phục vụ công tác chung của Trung tâm Điều dưỡng thương binh Lạng Giang;</w:t>
      </w:r>
    </w:p>
    <w:p w14:paraId="4D1CB171"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w:t>
      </w:r>
      <w:r w:rsidRPr="00ED7DD3">
        <w:rPr>
          <w:bCs/>
          <w:iCs/>
          <w:sz w:val="28"/>
          <w:szCs w:val="28"/>
          <w:lang w:val="nl-NL"/>
        </w:rPr>
        <w:t xml:space="preserve"> Hình thức LCNT: Chào hàng cạnh tranh qua mạng;</w:t>
      </w:r>
    </w:p>
    <w:p w14:paraId="60D01524"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w:t>
      </w:r>
      <w:r w:rsidRPr="00ED7DD3">
        <w:rPr>
          <w:bCs/>
          <w:iCs/>
          <w:sz w:val="28"/>
          <w:szCs w:val="28"/>
          <w:lang w:val="nl-NL"/>
        </w:rPr>
        <w:t xml:space="preserve"> Phương thức LCNT: Một giai đoạn một túi hồ sơ;</w:t>
      </w:r>
    </w:p>
    <w:p w14:paraId="29C7DECB"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w:t>
      </w:r>
      <w:r w:rsidRPr="00ED7DD3">
        <w:rPr>
          <w:bCs/>
          <w:iCs/>
          <w:sz w:val="28"/>
          <w:szCs w:val="28"/>
          <w:lang w:val="nl-NL"/>
        </w:rPr>
        <w:t xml:space="preserve"> Loại hợp đồng: Trọn gói;</w:t>
      </w:r>
    </w:p>
    <w:p w14:paraId="73BAEDFB"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w:t>
      </w:r>
      <w:r w:rsidRPr="00ED7DD3">
        <w:rPr>
          <w:bCs/>
          <w:iCs/>
          <w:sz w:val="28"/>
          <w:szCs w:val="28"/>
          <w:lang w:val="nl-NL"/>
        </w:rPr>
        <w:t xml:space="preserve"> Chi tiết nguồn vốn: Ngân sách nhà nước chi thường xuyên thực hiện Pháp lệnh ưu đãi người có công với cách mạng năm 2025;</w:t>
      </w:r>
    </w:p>
    <w:p w14:paraId="6548A706"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w:t>
      </w:r>
      <w:r w:rsidRPr="00ED7DD3">
        <w:rPr>
          <w:bCs/>
          <w:iCs/>
          <w:sz w:val="28"/>
          <w:szCs w:val="28"/>
          <w:lang w:val="nl-NL"/>
        </w:rPr>
        <w:t xml:space="preserve"> Thời gian tổ chức lựa chọn nhà thầu: Tháng 12/2025;</w:t>
      </w:r>
    </w:p>
    <w:p w14:paraId="2F3C804D" w14:textId="77777777" w:rsidR="00ED7DD3" w:rsidRPr="00ED7DD3" w:rsidRDefault="00ED7DD3" w:rsidP="00ED7DD3">
      <w:pPr>
        <w:widowControl w:val="0"/>
        <w:spacing w:before="60" w:after="60" w:line="288" w:lineRule="auto"/>
        <w:ind w:left="709"/>
        <w:rPr>
          <w:bCs/>
          <w:iCs/>
          <w:sz w:val="28"/>
          <w:szCs w:val="28"/>
          <w:lang w:val="nl-NL"/>
        </w:rPr>
      </w:pPr>
      <w:r w:rsidRPr="00ED7DD3">
        <w:rPr>
          <w:b/>
          <w:i/>
          <w:sz w:val="28"/>
          <w:szCs w:val="28"/>
          <w:lang w:val="nl-NL"/>
        </w:rPr>
        <w:t>-</w:t>
      </w:r>
      <w:r w:rsidRPr="00ED7DD3">
        <w:rPr>
          <w:bCs/>
          <w:iCs/>
          <w:sz w:val="28"/>
          <w:szCs w:val="28"/>
          <w:lang w:val="nl-NL"/>
        </w:rPr>
        <w:t xml:space="preserve"> Thời gian bắt đầu tổ chức LCNT: Tháng 12/2025;</w:t>
      </w:r>
    </w:p>
    <w:p w14:paraId="3F12CBC3" w14:textId="77777777" w:rsidR="00ED7DD3" w:rsidRPr="00ED7DD3" w:rsidRDefault="00ED7DD3" w:rsidP="00ED7DD3">
      <w:pPr>
        <w:widowControl w:val="0"/>
        <w:spacing w:before="60" w:after="60" w:line="288" w:lineRule="auto"/>
        <w:ind w:left="709"/>
        <w:rPr>
          <w:bCs/>
          <w:iCs/>
          <w:sz w:val="28"/>
          <w:szCs w:val="28"/>
          <w:lang w:val="nl-NL"/>
        </w:rPr>
      </w:pPr>
      <w:r w:rsidRPr="00ED7DD3">
        <w:rPr>
          <w:bCs/>
          <w:iCs/>
          <w:sz w:val="28"/>
          <w:szCs w:val="28"/>
          <w:lang w:val="nl-NL"/>
        </w:rPr>
        <w:t>- Thời gian thực hiện gói thầu: 30 ngày;</w:t>
      </w:r>
    </w:p>
    <w:p w14:paraId="4F1FBDBF" w14:textId="77777777" w:rsidR="00ED7DD3" w:rsidRPr="00ED7DD3" w:rsidRDefault="00ED7DD3" w:rsidP="00ED7DD3">
      <w:pPr>
        <w:widowControl w:val="0"/>
        <w:spacing w:before="60" w:after="60" w:line="288" w:lineRule="auto"/>
        <w:ind w:left="709"/>
        <w:rPr>
          <w:bCs/>
          <w:iCs/>
          <w:sz w:val="28"/>
          <w:szCs w:val="28"/>
          <w:lang w:val="nl-NL"/>
        </w:rPr>
      </w:pPr>
      <w:r w:rsidRPr="00ED7DD3">
        <w:rPr>
          <w:bCs/>
          <w:iCs/>
          <w:sz w:val="28"/>
          <w:szCs w:val="28"/>
          <w:lang w:val="nl-NL"/>
        </w:rPr>
        <w:t>- Tùy chọn mua thêm: Không.</w:t>
      </w:r>
    </w:p>
    <w:p w14:paraId="0FBF3449" w14:textId="77777777" w:rsidR="00ED7DD3" w:rsidRPr="00ED7DD3" w:rsidRDefault="00ED7DD3" w:rsidP="00ED7DD3">
      <w:pPr>
        <w:widowControl w:val="0"/>
        <w:spacing w:before="60" w:after="60" w:line="288" w:lineRule="auto"/>
        <w:ind w:firstLine="709"/>
        <w:rPr>
          <w:b/>
          <w:i/>
          <w:sz w:val="28"/>
          <w:szCs w:val="28"/>
          <w:lang w:val="nl-NL"/>
        </w:rPr>
      </w:pPr>
      <w:r w:rsidRPr="00ED7DD3">
        <w:rPr>
          <w:b/>
          <w:i/>
          <w:sz w:val="28"/>
          <w:szCs w:val="28"/>
          <w:lang w:val="nl-NL"/>
        </w:rPr>
        <w:t>1.2. Yêu cầu về kỹ thuật</w:t>
      </w:r>
    </w:p>
    <w:p w14:paraId="35459D93" w14:textId="77777777" w:rsidR="00ED7DD3" w:rsidRPr="00ED7DD3" w:rsidRDefault="00ED7DD3" w:rsidP="00ED7DD3">
      <w:pPr>
        <w:widowControl w:val="0"/>
        <w:spacing w:before="60" w:after="60" w:line="288" w:lineRule="auto"/>
        <w:ind w:firstLine="709"/>
        <w:rPr>
          <w:i/>
          <w:spacing w:val="-2"/>
          <w:sz w:val="28"/>
          <w:szCs w:val="28"/>
          <w:lang w:val="nl-NL"/>
        </w:rPr>
      </w:pPr>
      <w:r w:rsidRPr="00ED7DD3">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4ABAEE10" w14:textId="77777777" w:rsidR="00ED7DD3" w:rsidRPr="00ED7DD3" w:rsidRDefault="00ED7DD3" w:rsidP="00ED7DD3">
      <w:pPr>
        <w:pStyle w:val="ListParagraph"/>
        <w:widowControl w:val="0"/>
        <w:numPr>
          <w:ilvl w:val="0"/>
          <w:numId w:val="2"/>
        </w:numPr>
        <w:spacing w:before="60" w:after="60" w:line="288" w:lineRule="auto"/>
        <w:rPr>
          <w:i/>
          <w:spacing w:val="-2"/>
          <w:sz w:val="28"/>
          <w:szCs w:val="28"/>
          <w:lang w:val="nl-NL"/>
        </w:rPr>
      </w:pPr>
      <w:r w:rsidRPr="00ED7DD3">
        <w:rPr>
          <w:i/>
          <w:spacing w:val="-2"/>
          <w:sz w:val="28"/>
          <w:szCs w:val="28"/>
          <w:lang w:val="nl-NL"/>
        </w:rPr>
        <w:t>Yêu cầu về kỹ thuật chung:</w:t>
      </w:r>
    </w:p>
    <w:p w14:paraId="004BB79B" w14:textId="77777777" w:rsidR="00ED7DD3" w:rsidRPr="00ED7DD3" w:rsidRDefault="00ED7DD3" w:rsidP="00ED7DD3">
      <w:pPr>
        <w:widowControl w:val="0"/>
        <w:spacing w:before="60" w:after="60" w:line="288" w:lineRule="auto"/>
        <w:ind w:firstLine="709"/>
        <w:rPr>
          <w:iCs/>
          <w:spacing w:val="-2"/>
          <w:sz w:val="28"/>
          <w:szCs w:val="28"/>
          <w:lang w:val="nl-NL"/>
        </w:rPr>
      </w:pPr>
      <w:r w:rsidRPr="00ED7DD3">
        <w:rPr>
          <w:i/>
          <w:spacing w:val="-2"/>
          <w:sz w:val="28"/>
          <w:szCs w:val="28"/>
          <w:lang w:val="nl-NL"/>
        </w:rPr>
        <w:t xml:space="preserve">- </w:t>
      </w:r>
      <w:r w:rsidRPr="00ED7DD3">
        <w:rPr>
          <w:iCs/>
          <w:spacing w:val="-2"/>
          <w:sz w:val="28"/>
          <w:szCs w:val="28"/>
          <w:lang w:val="nl-NL"/>
        </w:rPr>
        <w:t>Cung cấp Catalogue hoặc Tài liệu kỹ thuật thể hiện thông số kỹ thuật đáp ứng yêu cầu tại Mục b) Yêu cầu kỹ thuật cụ thể, Chương V, E-HSMT.</w:t>
      </w:r>
    </w:p>
    <w:p w14:paraId="74223927" w14:textId="77777777" w:rsidR="00ED7DD3" w:rsidRPr="00ED7DD3" w:rsidRDefault="00ED7DD3" w:rsidP="00ED7DD3">
      <w:pPr>
        <w:spacing w:before="60" w:after="60" w:line="288" w:lineRule="auto"/>
        <w:ind w:firstLine="709"/>
        <w:rPr>
          <w:spacing w:val="-8"/>
          <w:sz w:val="28"/>
          <w:szCs w:val="28"/>
        </w:rPr>
      </w:pPr>
      <w:r w:rsidRPr="00ED7DD3">
        <w:rPr>
          <w:spacing w:val="-8"/>
          <w:sz w:val="28"/>
          <w:szCs w:val="28"/>
        </w:rPr>
        <w:t>- Nhà thầu cam kết: Chất lượng xe mới 100%.</w:t>
      </w:r>
    </w:p>
    <w:p w14:paraId="5FF77398" w14:textId="77777777" w:rsidR="00ED7DD3" w:rsidRPr="00ED7DD3" w:rsidRDefault="00ED7DD3" w:rsidP="00ED7DD3">
      <w:pPr>
        <w:spacing w:before="60" w:after="60" w:line="288" w:lineRule="auto"/>
        <w:ind w:firstLine="709"/>
        <w:rPr>
          <w:sz w:val="28"/>
          <w:szCs w:val="28"/>
        </w:rPr>
      </w:pPr>
      <w:r w:rsidRPr="00ED7DD3">
        <w:rPr>
          <w:sz w:val="28"/>
          <w:szCs w:val="28"/>
        </w:rPr>
        <w:t>-   Nhà thầu có trách nhiệm tư vấn kỹ thuật miễn phí cho chủ đầu tư trong việc sửa chữa thay thế phụ tùng trong toàn bộ quãng thời gian bảo hành, bảo trì</w:t>
      </w:r>
    </w:p>
    <w:p w14:paraId="331A73BF" w14:textId="77777777" w:rsidR="00ED7DD3" w:rsidRPr="00ED7DD3" w:rsidRDefault="00ED7DD3" w:rsidP="00ED7DD3">
      <w:pPr>
        <w:spacing w:before="60" w:after="60" w:line="288" w:lineRule="auto"/>
        <w:ind w:firstLine="709"/>
        <w:jc w:val="left"/>
        <w:rPr>
          <w:i/>
          <w:spacing w:val="-2"/>
          <w:sz w:val="28"/>
          <w:szCs w:val="28"/>
          <w:lang w:val="nl-NL"/>
        </w:rPr>
      </w:pPr>
      <w:r w:rsidRPr="00ED7DD3">
        <w:rPr>
          <w:i/>
          <w:spacing w:val="-2"/>
          <w:sz w:val="28"/>
          <w:szCs w:val="28"/>
          <w:lang w:val="nl-NL"/>
        </w:rPr>
        <w:t>b) Yêu cầu kỹ thuật cụ thể</w:t>
      </w:r>
    </w:p>
    <w:tbl>
      <w:tblPr>
        <w:tblStyle w:val="TableGrid"/>
        <w:tblW w:w="5153" w:type="pct"/>
        <w:tblInd w:w="-5" w:type="dxa"/>
        <w:tblLook w:val="04A0" w:firstRow="1" w:lastRow="0" w:firstColumn="1" w:lastColumn="0" w:noHBand="0" w:noVBand="1"/>
      </w:tblPr>
      <w:tblGrid>
        <w:gridCol w:w="682"/>
        <w:gridCol w:w="2299"/>
        <w:gridCol w:w="6804"/>
      </w:tblGrid>
      <w:tr w:rsidR="00ED7DD3" w:rsidRPr="00ED7DD3" w14:paraId="74248981" w14:textId="77777777" w:rsidTr="00D25956">
        <w:tc>
          <w:tcPr>
            <w:tcW w:w="348" w:type="pct"/>
            <w:shd w:val="clear" w:color="auto" w:fill="A8D08D" w:themeFill="accent6" w:themeFillTint="99"/>
            <w:vAlign w:val="center"/>
          </w:tcPr>
          <w:p w14:paraId="18D744F3" w14:textId="77777777" w:rsidR="00ED7DD3" w:rsidRPr="00ED7DD3" w:rsidRDefault="00ED7DD3" w:rsidP="00D25956">
            <w:pPr>
              <w:jc w:val="center"/>
              <w:rPr>
                <w:b/>
                <w:color w:val="000000" w:themeColor="text1"/>
                <w:szCs w:val="24"/>
              </w:rPr>
            </w:pPr>
            <w:r w:rsidRPr="00ED7DD3">
              <w:rPr>
                <w:b/>
                <w:color w:val="000000" w:themeColor="text1"/>
                <w:szCs w:val="24"/>
              </w:rPr>
              <w:t>STT</w:t>
            </w:r>
          </w:p>
        </w:tc>
        <w:tc>
          <w:tcPr>
            <w:tcW w:w="1175" w:type="pct"/>
            <w:shd w:val="clear" w:color="auto" w:fill="A8D08D" w:themeFill="accent6" w:themeFillTint="99"/>
            <w:vAlign w:val="center"/>
          </w:tcPr>
          <w:p w14:paraId="157CDA99" w14:textId="77777777" w:rsidR="00ED7DD3" w:rsidRPr="00ED7DD3" w:rsidRDefault="00ED7DD3" w:rsidP="00D25956">
            <w:pPr>
              <w:jc w:val="center"/>
              <w:rPr>
                <w:b/>
                <w:color w:val="000000" w:themeColor="text1"/>
                <w:szCs w:val="24"/>
              </w:rPr>
            </w:pPr>
            <w:r w:rsidRPr="00ED7DD3">
              <w:rPr>
                <w:b/>
                <w:color w:val="000000" w:themeColor="text1"/>
                <w:szCs w:val="24"/>
              </w:rPr>
              <w:t>Tên hàng hóa</w:t>
            </w:r>
          </w:p>
        </w:tc>
        <w:tc>
          <w:tcPr>
            <w:tcW w:w="3477" w:type="pct"/>
            <w:shd w:val="clear" w:color="auto" w:fill="A8D08D" w:themeFill="accent6" w:themeFillTint="99"/>
            <w:vAlign w:val="center"/>
          </w:tcPr>
          <w:p w14:paraId="71DADB86" w14:textId="77777777" w:rsidR="00ED7DD3" w:rsidRPr="00ED7DD3" w:rsidRDefault="00ED7DD3" w:rsidP="00D25956">
            <w:pPr>
              <w:jc w:val="center"/>
              <w:rPr>
                <w:b/>
                <w:color w:val="000000" w:themeColor="text1"/>
                <w:szCs w:val="24"/>
              </w:rPr>
            </w:pPr>
            <w:r w:rsidRPr="00ED7DD3">
              <w:rPr>
                <w:b/>
                <w:color w:val="000000" w:themeColor="text1"/>
                <w:szCs w:val="24"/>
              </w:rPr>
              <w:t>Thông số kỹ thuật</w:t>
            </w:r>
          </w:p>
        </w:tc>
      </w:tr>
      <w:tr w:rsidR="00ED7DD3" w:rsidRPr="00ED7DD3" w14:paraId="211ABB79" w14:textId="77777777" w:rsidTr="00D25956">
        <w:trPr>
          <w:trHeight w:val="494"/>
        </w:trPr>
        <w:tc>
          <w:tcPr>
            <w:tcW w:w="348" w:type="pct"/>
            <w:vAlign w:val="center"/>
          </w:tcPr>
          <w:p w14:paraId="38BC145F" w14:textId="77777777" w:rsidR="00ED7DD3" w:rsidRPr="00ED7DD3" w:rsidRDefault="00ED7DD3" w:rsidP="00D25956">
            <w:pPr>
              <w:rPr>
                <w:color w:val="000000"/>
                <w:sz w:val="28"/>
                <w:szCs w:val="28"/>
              </w:rPr>
            </w:pPr>
            <w:r w:rsidRPr="00ED7DD3">
              <w:rPr>
                <w:color w:val="000000"/>
                <w:sz w:val="28"/>
                <w:szCs w:val="28"/>
              </w:rPr>
              <w:t>1.</w:t>
            </w:r>
          </w:p>
        </w:tc>
        <w:tc>
          <w:tcPr>
            <w:tcW w:w="1175" w:type="pct"/>
            <w:vAlign w:val="center"/>
          </w:tcPr>
          <w:p w14:paraId="226659C1" w14:textId="77777777" w:rsidR="00ED7DD3" w:rsidRPr="00ED7DD3" w:rsidRDefault="00ED7DD3" w:rsidP="00D25956">
            <w:pPr>
              <w:widowControl w:val="0"/>
              <w:suppressAutoHyphens/>
              <w:rPr>
                <w:color w:val="000000"/>
                <w:sz w:val="28"/>
                <w:szCs w:val="28"/>
              </w:rPr>
            </w:pPr>
            <w:r w:rsidRPr="00ED7DD3">
              <w:rPr>
                <w:b/>
                <w:bCs/>
                <w:color w:val="000000"/>
                <w:sz w:val="28"/>
                <w:szCs w:val="28"/>
              </w:rPr>
              <w:t>Xe ô tô 16 chỗ</w:t>
            </w:r>
          </w:p>
        </w:tc>
        <w:tc>
          <w:tcPr>
            <w:tcW w:w="3477" w:type="pct"/>
            <w:vAlign w:val="center"/>
          </w:tcPr>
          <w:p w14:paraId="4B8E0167" w14:textId="77777777" w:rsidR="00ED7DD3" w:rsidRPr="00ED7DD3" w:rsidRDefault="00ED7DD3" w:rsidP="00D25956">
            <w:pPr>
              <w:rPr>
                <w:b/>
                <w:bCs/>
                <w:sz w:val="28"/>
                <w:szCs w:val="28"/>
                <w:bdr w:val="none" w:sz="0" w:space="0" w:color="auto" w:frame="1"/>
                <w:lang w:val="nl-NL"/>
              </w:rPr>
            </w:pPr>
            <w:r w:rsidRPr="00ED7DD3">
              <w:rPr>
                <w:b/>
                <w:bCs/>
                <w:sz w:val="28"/>
                <w:szCs w:val="28"/>
                <w:bdr w:val="none" w:sz="0" w:space="0" w:color="auto" w:frame="1"/>
                <w:lang w:val="nl-NL"/>
              </w:rPr>
              <w:t>Động cơ và tính năng vận hành:</w:t>
            </w:r>
          </w:p>
          <w:p w14:paraId="21D8A06A" w14:textId="61DFC939" w:rsidR="00ED7DD3" w:rsidRPr="00ED7DD3" w:rsidRDefault="00ED7DD3" w:rsidP="00D25956">
            <w:pPr>
              <w:rPr>
                <w:color w:val="000000" w:themeColor="text1"/>
                <w:spacing w:val="15"/>
                <w:sz w:val="28"/>
                <w:szCs w:val="28"/>
                <w:shd w:val="clear" w:color="auto" w:fill="F7F7F7"/>
              </w:rPr>
            </w:pPr>
            <w:r w:rsidRPr="00ED7DD3">
              <w:rPr>
                <w:sz w:val="28"/>
                <w:szCs w:val="28"/>
              </w:rPr>
              <w:lastRenderedPageBreak/>
              <w:t xml:space="preserve">Động cơ: </w:t>
            </w:r>
            <w:r w:rsidRPr="00ED7DD3">
              <w:rPr>
                <w:color w:val="000000" w:themeColor="text1"/>
                <w:spacing w:val="15"/>
                <w:sz w:val="28"/>
                <w:szCs w:val="28"/>
                <w:shd w:val="clear" w:color="auto" w:fill="F7F7F7"/>
              </w:rPr>
              <w:t>Turbo Diesel 2.3L – TDCi</w:t>
            </w:r>
            <w:r w:rsidR="004B3232">
              <w:rPr>
                <w:color w:val="000000" w:themeColor="text1"/>
                <w:spacing w:val="15"/>
                <w:sz w:val="28"/>
                <w:szCs w:val="28"/>
                <w:shd w:val="clear" w:color="auto" w:fill="F7F7F7"/>
              </w:rPr>
              <w:t xml:space="preserve"> hoặc tương đương</w:t>
            </w:r>
          </w:p>
          <w:p w14:paraId="0E8ECDBD" w14:textId="66F95F05" w:rsidR="00ED7DD3" w:rsidRPr="00ED7DD3" w:rsidRDefault="00ED7DD3" w:rsidP="00D25956">
            <w:pPr>
              <w:rPr>
                <w:color w:val="000000" w:themeColor="text1"/>
                <w:spacing w:val="15"/>
                <w:sz w:val="28"/>
                <w:szCs w:val="28"/>
                <w:shd w:val="clear" w:color="auto" w:fill="F7F7F7"/>
              </w:rPr>
            </w:pPr>
            <w:r w:rsidRPr="00ED7DD3">
              <w:rPr>
                <w:sz w:val="28"/>
                <w:szCs w:val="28"/>
              </w:rPr>
              <w:t xml:space="preserve">Dung tích xi lanh (cc): </w:t>
            </w:r>
            <w:r w:rsidR="004B3232">
              <w:rPr>
                <w:color w:val="212529"/>
                <w:sz w:val="26"/>
                <w:szCs w:val="26"/>
              </w:rPr>
              <w:t>≥</w:t>
            </w:r>
            <w:r w:rsidRPr="00ED7DD3">
              <w:rPr>
                <w:color w:val="000000" w:themeColor="text1"/>
                <w:spacing w:val="15"/>
                <w:sz w:val="28"/>
                <w:szCs w:val="28"/>
                <w:shd w:val="clear" w:color="auto" w:fill="F7F7F7"/>
              </w:rPr>
              <w:t>2296</w:t>
            </w:r>
          </w:p>
          <w:p w14:paraId="17778D3A" w14:textId="54B06147" w:rsidR="00ED7DD3" w:rsidRPr="00ED7DD3" w:rsidRDefault="00ED7DD3" w:rsidP="00D25956">
            <w:pPr>
              <w:rPr>
                <w:color w:val="000000" w:themeColor="text1"/>
                <w:spacing w:val="15"/>
                <w:sz w:val="28"/>
                <w:szCs w:val="28"/>
                <w:shd w:val="clear" w:color="auto" w:fill="F7F7F7"/>
              </w:rPr>
            </w:pPr>
            <w:r w:rsidRPr="00ED7DD3">
              <w:rPr>
                <w:iCs/>
                <w:sz w:val="28"/>
                <w:szCs w:val="28"/>
                <w:lang w:val="pl-PL"/>
              </w:rPr>
              <w:t>Công xuất cực đại (</w:t>
            </w:r>
            <w:r w:rsidRPr="00ED7DD3">
              <w:rPr>
                <w:iCs/>
                <w:sz w:val="28"/>
                <w:szCs w:val="28"/>
                <w:lang w:val="vi-VN"/>
              </w:rPr>
              <w:t>Hp</w:t>
            </w:r>
            <w:r w:rsidRPr="00ED7DD3">
              <w:rPr>
                <w:iCs/>
                <w:sz w:val="28"/>
                <w:szCs w:val="28"/>
                <w:lang w:val="pl-PL"/>
              </w:rPr>
              <w:t>/vòng/phút):</w:t>
            </w:r>
            <w:r w:rsidR="004B3232">
              <w:rPr>
                <w:rFonts w:ascii="Helvetica Neue" w:hAnsi="Helvetica Neue"/>
                <w:color w:val="101518"/>
                <w:shd w:val="clear" w:color="auto" w:fill="FFFFFF"/>
              </w:rPr>
              <w:t>≈</w:t>
            </w:r>
            <w:r w:rsidRPr="00ED7DD3">
              <w:rPr>
                <w:color w:val="000000" w:themeColor="text1"/>
                <w:spacing w:val="15"/>
                <w:sz w:val="28"/>
                <w:szCs w:val="28"/>
                <w:shd w:val="clear" w:color="auto" w:fill="F7F7F7"/>
              </w:rPr>
              <w:t>171 (126 kW) / 3200</w:t>
            </w:r>
          </w:p>
          <w:p w14:paraId="60719B12" w14:textId="0D90D336" w:rsidR="00ED7DD3" w:rsidRPr="00ED7DD3" w:rsidRDefault="00ED7DD3" w:rsidP="00D25956">
            <w:pPr>
              <w:rPr>
                <w:color w:val="000000" w:themeColor="text1"/>
                <w:spacing w:val="15"/>
                <w:sz w:val="28"/>
                <w:szCs w:val="28"/>
                <w:shd w:val="clear" w:color="auto" w:fill="F7F7F7"/>
              </w:rPr>
            </w:pPr>
            <w:r w:rsidRPr="00ED7DD3">
              <w:rPr>
                <w:iCs/>
                <w:sz w:val="28"/>
                <w:szCs w:val="28"/>
                <w:lang w:val="pl-PL"/>
              </w:rPr>
              <w:t>Mô men xoắn cực đại (Nm/vòng/phút):</w:t>
            </w:r>
            <w:r w:rsidR="004B3232">
              <w:rPr>
                <w:rFonts w:ascii="Helvetica Neue" w:hAnsi="Helvetica Neue"/>
                <w:color w:val="101518"/>
                <w:shd w:val="clear" w:color="auto" w:fill="FFFFFF"/>
              </w:rPr>
              <w:t>≈</w:t>
            </w:r>
            <w:r w:rsidRPr="00ED7DD3">
              <w:rPr>
                <w:color w:val="000000" w:themeColor="text1"/>
                <w:spacing w:val="15"/>
                <w:sz w:val="28"/>
                <w:szCs w:val="28"/>
                <w:shd w:val="clear" w:color="auto" w:fill="F7F7F7"/>
              </w:rPr>
              <w:t>425 / 1400 – 2400</w:t>
            </w:r>
          </w:p>
          <w:p w14:paraId="0156F9CE" w14:textId="511C3345" w:rsidR="00ED7DD3" w:rsidRPr="00ED7DD3" w:rsidRDefault="00ED7DD3" w:rsidP="00D25956">
            <w:pPr>
              <w:rPr>
                <w:color w:val="000000" w:themeColor="text1"/>
                <w:spacing w:val="15"/>
                <w:sz w:val="28"/>
                <w:szCs w:val="28"/>
                <w:shd w:val="clear" w:color="auto" w:fill="F7F7F7"/>
              </w:rPr>
            </w:pPr>
            <w:r w:rsidRPr="00ED7DD3">
              <w:rPr>
                <w:iCs/>
                <w:sz w:val="28"/>
                <w:szCs w:val="28"/>
                <w:lang w:val="pl-PL"/>
              </w:rPr>
              <w:t xml:space="preserve">Hộp số: </w:t>
            </w:r>
            <w:r w:rsidR="004B3232">
              <w:rPr>
                <w:color w:val="212529"/>
                <w:sz w:val="26"/>
                <w:szCs w:val="26"/>
                <w:shd w:val="clear" w:color="auto" w:fill="FFFFFF"/>
              </w:rPr>
              <w:t>≥</w:t>
            </w:r>
            <w:r w:rsidRPr="00ED7DD3">
              <w:rPr>
                <w:color w:val="000000" w:themeColor="text1"/>
                <w:spacing w:val="15"/>
                <w:sz w:val="28"/>
                <w:szCs w:val="28"/>
                <w:shd w:val="clear" w:color="auto" w:fill="F7F7F7"/>
              </w:rPr>
              <w:t> 6 cấp số sàn</w:t>
            </w:r>
          </w:p>
          <w:p w14:paraId="00B9F568" w14:textId="77777777" w:rsidR="00ED7DD3" w:rsidRPr="00ED7DD3" w:rsidRDefault="00ED7DD3" w:rsidP="00D25956">
            <w:pPr>
              <w:rPr>
                <w:b/>
                <w:sz w:val="28"/>
                <w:szCs w:val="28"/>
                <w:lang w:val="es-ES"/>
              </w:rPr>
            </w:pPr>
            <w:r w:rsidRPr="00ED7DD3">
              <w:rPr>
                <w:b/>
                <w:sz w:val="28"/>
                <w:szCs w:val="28"/>
                <w:lang w:val="es-ES"/>
              </w:rPr>
              <w:t>Kích thước và trọng lượng:</w:t>
            </w:r>
          </w:p>
          <w:p w14:paraId="790858A4" w14:textId="13A5270A" w:rsidR="00ED7DD3" w:rsidRPr="00ED7DD3" w:rsidRDefault="00ED7DD3" w:rsidP="00D25956">
            <w:pPr>
              <w:rPr>
                <w:color w:val="000000" w:themeColor="text1"/>
                <w:spacing w:val="15"/>
                <w:sz w:val="28"/>
                <w:szCs w:val="28"/>
                <w:shd w:val="clear" w:color="auto" w:fill="FFFFFF"/>
              </w:rPr>
            </w:pPr>
            <w:r w:rsidRPr="00ED7DD3">
              <w:rPr>
                <w:sz w:val="28"/>
                <w:szCs w:val="28"/>
              </w:rPr>
              <w:t xml:space="preserve">Dài x Rộng x Cao (mm): </w:t>
            </w:r>
            <w:r w:rsidR="004B3232">
              <w:rPr>
                <w:color w:val="212529"/>
                <w:sz w:val="26"/>
                <w:szCs w:val="26"/>
                <w:shd w:val="clear" w:color="auto" w:fill="FFFFFF"/>
              </w:rPr>
              <w:t>≥</w:t>
            </w:r>
            <w:r w:rsidRPr="00ED7DD3">
              <w:rPr>
                <w:color w:val="000000" w:themeColor="text1"/>
                <w:spacing w:val="15"/>
                <w:sz w:val="28"/>
                <w:szCs w:val="28"/>
                <w:shd w:val="clear" w:color="auto" w:fill="FFFFFF"/>
              </w:rPr>
              <w:t>5998 x 2068 x 2775</w:t>
            </w:r>
          </w:p>
          <w:p w14:paraId="503D8A51" w14:textId="240F20B7" w:rsidR="00ED7DD3" w:rsidRPr="00ED7DD3" w:rsidRDefault="00ED7DD3" w:rsidP="00D25956">
            <w:pPr>
              <w:rPr>
                <w:color w:val="000000" w:themeColor="text1"/>
                <w:spacing w:val="15"/>
                <w:sz w:val="28"/>
                <w:szCs w:val="28"/>
                <w:shd w:val="clear" w:color="auto" w:fill="FFFFFF"/>
              </w:rPr>
            </w:pPr>
            <w:r w:rsidRPr="00ED7DD3">
              <w:rPr>
                <w:iCs/>
                <w:sz w:val="28"/>
                <w:szCs w:val="28"/>
                <w:lang w:val="pl-PL"/>
              </w:rPr>
              <w:t xml:space="preserve">Khoảng sáng gầm xe (mm): </w:t>
            </w:r>
            <w:r w:rsidR="004B3232">
              <w:rPr>
                <w:color w:val="212529"/>
                <w:sz w:val="26"/>
                <w:szCs w:val="26"/>
                <w:shd w:val="clear" w:color="auto" w:fill="FFFFFF"/>
              </w:rPr>
              <w:t>≥</w:t>
            </w:r>
            <w:r w:rsidRPr="00ED7DD3">
              <w:rPr>
                <w:color w:val="000000" w:themeColor="text1"/>
                <w:spacing w:val="15"/>
                <w:sz w:val="28"/>
                <w:szCs w:val="28"/>
                <w:shd w:val="clear" w:color="auto" w:fill="FFFFFF"/>
              </w:rPr>
              <w:t>150</w:t>
            </w:r>
            <w:r w:rsidR="004B3232">
              <w:rPr>
                <w:color w:val="000000" w:themeColor="text1"/>
                <w:spacing w:val="15"/>
                <w:sz w:val="28"/>
                <w:szCs w:val="28"/>
                <w:shd w:val="clear" w:color="auto" w:fill="FFFFFF"/>
              </w:rPr>
              <w:t xml:space="preserve"> </w:t>
            </w:r>
          </w:p>
          <w:p w14:paraId="63F024F5" w14:textId="08619EA0" w:rsidR="00ED7DD3" w:rsidRPr="00ED7DD3" w:rsidRDefault="00ED7DD3" w:rsidP="00D25956">
            <w:pPr>
              <w:rPr>
                <w:color w:val="000000" w:themeColor="text1"/>
                <w:spacing w:val="15"/>
                <w:sz w:val="28"/>
                <w:szCs w:val="28"/>
                <w:shd w:val="clear" w:color="auto" w:fill="FFFFFF"/>
              </w:rPr>
            </w:pPr>
            <w:r w:rsidRPr="00ED7DD3">
              <w:rPr>
                <w:iCs/>
                <w:sz w:val="28"/>
                <w:szCs w:val="28"/>
                <w:lang w:val="pl-PL"/>
              </w:rPr>
              <w:t xml:space="preserve">Chiều dài cơ sở (mm): </w:t>
            </w:r>
            <w:r w:rsidR="004B3232" w:rsidRPr="004B3232">
              <w:rPr>
                <w:iCs/>
                <w:sz w:val="28"/>
                <w:szCs w:val="28"/>
                <w:lang w:val="pl-PL"/>
              </w:rPr>
              <w:t>≥</w:t>
            </w:r>
            <w:r w:rsidRPr="00ED7DD3">
              <w:rPr>
                <w:color w:val="000000" w:themeColor="text1"/>
                <w:spacing w:val="15"/>
                <w:sz w:val="28"/>
                <w:szCs w:val="28"/>
                <w:shd w:val="clear" w:color="auto" w:fill="FFFFFF"/>
              </w:rPr>
              <w:t>3750</w:t>
            </w:r>
          </w:p>
          <w:p w14:paraId="0EC6BB8D" w14:textId="7366D5FB" w:rsidR="00ED7DD3" w:rsidRPr="00ED7DD3" w:rsidRDefault="00ED7DD3" w:rsidP="00D25956">
            <w:pPr>
              <w:rPr>
                <w:color w:val="000000" w:themeColor="text1"/>
                <w:sz w:val="28"/>
                <w:szCs w:val="28"/>
                <w:lang w:val="nl-NL"/>
              </w:rPr>
            </w:pPr>
            <w:r w:rsidRPr="00ED7DD3">
              <w:rPr>
                <w:iCs/>
                <w:sz w:val="28"/>
                <w:szCs w:val="28"/>
                <w:lang w:val="pl-PL"/>
              </w:rPr>
              <w:t xml:space="preserve">Dung tích thùng nhiên liệu: </w:t>
            </w:r>
            <w:r w:rsidR="004B3232">
              <w:rPr>
                <w:color w:val="212529"/>
                <w:sz w:val="26"/>
                <w:szCs w:val="26"/>
                <w:shd w:val="clear" w:color="auto" w:fill="FFFFFF"/>
              </w:rPr>
              <w:t>≥</w:t>
            </w:r>
            <w:r w:rsidRPr="00ED7DD3">
              <w:rPr>
                <w:color w:val="000000" w:themeColor="text1"/>
                <w:spacing w:val="15"/>
                <w:sz w:val="28"/>
                <w:szCs w:val="28"/>
                <w:shd w:val="clear" w:color="auto" w:fill="FFFFFF"/>
              </w:rPr>
              <w:t>80</w:t>
            </w:r>
            <w:r w:rsidRPr="00ED7DD3">
              <w:rPr>
                <w:color w:val="000000" w:themeColor="text1"/>
                <w:sz w:val="28"/>
                <w:szCs w:val="28"/>
                <w:lang w:val="nl-NL"/>
              </w:rPr>
              <w:t xml:space="preserve"> Lít</w:t>
            </w:r>
          </w:p>
          <w:p w14:paraId="7915BCF4" w14:textId="77777777" w:rsidR="00ED7DD3" w:rsidRPr="00ED7DD3" w:rsidRDefault="00ED7DD3" w:rsidP="00D25956">
            <w:pPr>
              <w:rPr>
                <w:b/>
                <w:sz w:val="28"/>
                <w:szCs w:val="28"/>
              </w:rPr>
            </w:pPr>
            <w:r w:rsidRPr="00ED7DD3">
              <w:rPr>
                <w:b/>
                <w:sz w:val="28"/>
                <w:szCs w:val="28"/>
              </w:rPr>
              <w:t>Hệ thống treo:</w:t>
            </w:r>
          </w:p>
          <w:p w14:paraId="51FEC756" w14:textId="77777777" w:rsidR="00ED7DD3" w:rsidRPr="00ED7DD3" w:rsidRDefault="00ED7DD3" w:rsidP="00D25956">
            <w:pPr>
              <w:rPr>
                <w:iCs/>
                <w:sz w:val="28"/>
                <w:szCs w:val="28"/>
                <w:lang w:val="pl-PL"/>
              </w:rPr>
            </w:pPr>
            <w:r w:rsidRPr="00ED7DD3">
              <w:rPr>
                <w:iCs/>
                <w:sz w:val="28"/>
                <w:szCs w:val="28"/>
                <w:lang w:val="pl-PL"/>
              </w:rPr>
              <w:t>Hệ thống treo trước: Hệ thống treo độc lập dùng lò xo trụ, thanh cân bằng và ống giảm chấn thủy lực</w:t>
            </w:r>
          </w:p>
          <w:p w14:paraId="36322142" w14:textId="77777777" w:rsidR="00ED7DD3" w:rsidRPr="00ED7DD3" w:rsidRDefault="00ED7DD3" w:rsidP="00D25956">
            <w:pPr>
              <w:rPr>
                <w:iCs/>
                <w:sz w:val="28"/>
                <w:szCs w:val="28"/>
                <w:lang w:val="pl-PL"/>
              </w:rPr>
            </w:pPr>
            <w:r w:rsidRPr="00ED7DD3">
              <w:rPr>
                <w:iCs/>
                <w:sz w:val="28"/>
                <w:szCs w:val="28"/>
                <w:lang w:val="pl-PL"/>
              </w:rPr>
              <w:t>Hệ thống treo sau: Hệ thống treo phụ thuộc dùng nhíp lá với ống giảm chấn thủy lực.</w:t>
            </w:r>
          </w:p>
          <w:p w14:paraId="3C32B3D9" w14:textId="77777777" w:rsidR="00ED7DD3" w:rsidRPr="00ED7DD3" w:rsidRDefault="00ED7DD3" w:rsidP="00D25956">
            <w:pPr>
              <w:rPr>
                <w:b/>
                <w:bCs/>
                <w:sz w:val="28"/>
                <w:szCs w:val="28"/>
                <w:bdr w:val="none" w:sz="0" w:space="0" w:color="auto" w:frame="1"/>
              </w:rPr>
            </w:pPr>
            <w:r w:rsidRPr="00ED7DD3">
              <w:rPr>
                <w:b/>
                <w:bCs/>
                <w:sz w:val="28"/>
                <w:szCs w:val="28"/>
                <w:bdr w:val="none" w:sz="0" w:space="0" w:color="auto" w:frame="1"/>
              </w:rPr>
              <w:t>Hệ thống phanh:</w:t>
            </w:r>
          </w:p>
          <w:p w14:paraId="002A61A1" w14:textId="77777777" w:rsidR="00ED7DD3" w:rsidRPr="00ED7DD3" w:rsidRDefault="00ED7DD3" w:rsidP="00D25956">
            <w:pPr>
              <w:rPr>
                <w:color w:val="000000" w:themeColor="text1"/>
                <w:spacing w:val="15"/>
                <w:sz w:val="28"/>
                <w:szCs w:val="28"/>
                <w:shd w:val="clear" w:color="auto" w:fill="FFFFFF"/>
              </w:rPr>
            </w:pPr>
            <w:r w:rsidRPr="00ED7DD3">
              <w:rPr>
                <w:iCs/>
                <w:sz w:val="28"/>
                <w:szCs w:val="28"/>
                <w:lang w:val="pl-PL"/>
              </w:rPr>
              <w:t xml:space="preserve">Phanh phía trước và sau: </w:t>
            </w:r>
            <w:r w:rsidRPr="00ED7DD3">
              <w:rPr>
                <w:color w:val="000000" w:themeColor="text1"/>
                <w:spacing w:val="15"/>
                <w:sz w:val="28"/>
                <w:szCs w:val="28"/>
                <w:shd w:val="clear" w:color="auto" w:fill="FFFFFF"/>
              </w:rPr>
              <w:t>Phanh Đĩa</w:t>
            </w:r>
          </w:p>
          <w:p w14:paraId="74F01023" w14:textId="575914BA" w:rsidR="00ED7DD3" w:rsidRPr="00ED7DD3" w:rsidRDefault="00ED7DD3" w:rsidP="00D25956">
            <w:pPr>
              <w:rPr>
                <w:color w:val="000000" w:themeColor="text1"/>
                <w:spacing w:val="15"/>
                <w:sz w:val="28"/>
                <w:szCs w:val="28"/>
                <w:shd w:val="clear" w:color="auto" w:fill="FFFFFF"/>
              </w:rPr>
            </w:pPr>
            <w:r w:rsidRPr="00ED7DD3">
              <w:rPr>
                <w:iCs/>
                <w:sz w:val="28"/>
                <w:szCs w:val="28"/>
                <w:lang w:val="pl-PL"/>
              </w:rPr>
              <w:t xml:space="preserve">Cỡ lốp: </w:t>
            </w:r>
            <w:r w:rsidR="004B3232">
              <w:rPr>
                <w:rFonts w:ascii="Helvetica Neue" w:hAnsi="Helvetica Neue"/>
                <w:color w:val="101518"/>
                <w:shd w:val="clear" w:color="auto" w:fill="FFFFFF"/>
              </w:rPr>
              <w:t>≈</w:t>
            </w:r>
            <w:r w:rsidRPr="00ED7DD3">
              <w:rPr>
                <w:color w:val="000000" w:themeColor="text1"/>
                <w:spacing w:val="15"/>
                <w:sz w:val="28"/>
                <w:szCs w:val="28"/>
                <w:shd w:val="clear" w:color="auto" w:fill="FFFFFF"/>
              </w:rPr>
              <w:t> 235 / 65R16C</w:t>
            </w:r>
          </w:p>
          <w:p w14:paraId="38A806D4" w14:textId="2CF40B9B" w:rsidR="00ED7DD3" w:rsidRPr="00ED7DD3" w:rsidRDefault="00ED7DD3" w:rsidP="00D25956">
            <w:pPr>
              <w:rPr>
                <w:sz w:val="28"/>
                <w:szCs w:val="28"/>
              </w:rPr>
            </w:pPr>
            <w:r w:rsidRPr="00ED7DD3">
              <w:rPr>
                <w:iCs/>
                <w:sz w:val="28"/>
                <w:szCs w:val="28"/>
                <w:lang w:val="pl-PL"/>
              </w:rPr>
              <w:t xml:space="preserve">Bánh xe: </w:t>
            </w:r>
            <w:r w:rsidRPr="00ED7DD3">
              <w:rPr>
                <w:color w:val="000000" w:themeColor="text1"/>
                <w:spacing w:val="15"/>
                <w:sz w:val="28"/>
                <w:szCs w:val="28"/>
                <w:shd w:val="clear" w:color="auto" w:fill="FFFFFF"/>
              </w:rPr>
              <w:t xml:space="preserve">Vành hợp kim </w:t>
            </w:r>
            <w:r w:rsidR="004B3232">
              <w:rPr>
                <w:rFonts w:ascii="Helvetica Neue" w:hAnsi="Helvetica Neue"/>
                <w:color w:val="101518"/>
                <w:shd w:val="clear" w:color="auto" w:fill="FFFFFF"/>
              </w:rPr>
              <w:t>≈</w:t>
            </w:r>
            <w:r w:rsidR="004B3232" w:rsidRPr="00ED7DD3">
              <w:rPr>
                <w:color w:val="000000" w:themeColor="text1"/>
                <w:spacing w:val="15"/>
                <w:sz w:val="28"/>
                <w:szCs w:val="28"/>
                <w:shd w:val="clear" w:color="auto" w:fill="FFFFFF"/>
              </w:rPr>
              <w:t> </w:t>
            </w:r>
            <w:r w:rsidRPr="00ED7DD3">
              <w:rPr>
                <w:color w:val="000000" w:themeColor="text1"/>
                <w:spacing w:val="15"/>
                <w:sz w:val="28"/>
                <w:szCs w:val="28"/>
                <w:shd w:val="clear" w:color="auto" w:fill="FFFFFF"/>
              </w:rPr>
              <w:t>16"</w:t>
            </w:r>
            <w:bookmarkStart w:id="0" w:name="_GoBack"/>
            <w:bookmarkEnd w:id="0"/>
          </w:p>
        </w:tc>
      </w:tr>
    </w:tbl>
    <w:p w14:paraId="1996DD3D" w14:textId="77777777" w:rsidR="00ED7DD3" w:rsidRPr="00ED7DD3" w:rsidRDefault="00ED7DD3" w:rsidP="00ED7DD3">
      <w:pPr>
        <w:spacing w:before="120" w:after="120" w:line="264" w:lineRule="auto"/>
        <w:ind w:right="-284" w:firstLine="709"/>
        <w:rPr>
          <w:rFonts w:eastAsia="Calibri"/>
          <w:i/>
          <w:sz w:val="26"/>
          <w:szCs w:val="26"/>
        </w:rPr>
      </w:pPr>
      <w:r w:rsidRPr="00ED7DD3">
        <w:rPr>
          <w:rFonts w:eastAsia="Calibri"/>
          <w:b/>
          <w:sz w:val="26"/>
          <w:szCs w:val="26"/>
          <w:u w:val="single"/>
        </w:rPr>
        <w:lastRenderedPageBreak/>
        <w:t>Ghi chú:</w:t>
      </w:r>
      <w:r w:rsidRPr="00ED7DD3">
        <w:rPr>
          <w:rFonts w:eastAsia="Calibri"/>
          <w:i/>
          <w:sz w:val="26"/>
          <w:szCs w:val="26"/>
        </w:rPr>
        <w:t xml:space="preserve">  Các thông số kỹ thuật của hàng hóa ở trên không làm hạn chế nhà thầu. Nhà thầu có thể chào hàng hóa có cấu hình, thông số kỹ thuật, tính năng, tác dụng tương đương. Nội hàm tương đương của hàng hóa: Hàng hóa có cấu hình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14:paraId="600E97EA" w14:textId="77777777" w:rsidR="00ED7DD3" w:rsidRDefault="00ED7DD3" w:rsidP="00ED7DD3">
      <w:pPr>
        <w:pStyle w:val="ListParagraph"/>
        <w:numPr>
          <w:ilvl w:val="1"/>
          <w:numId w:val="3"/>
        </w:numPr>
        <w:spacing w:before="120" w:after="120" w:line="264" w:lineRule="auto"/>
        <w:rPr>
          <w:b/>
          <w:i/>
          <w:sz w:val="28"/>
          <w:szCs w:val="28"/>
          <w:lang w:val="nl-NL"/>
        </w:rPr>
      </w:pPr>
      <w:r w:rsidRPr="00ED7DD3">
        <w:rPr>
          <w:b/>
          <w:i/>
          <w:sz w:val="28"/>
          <w:szCs w:val="28"/>
          <w:lang w:val="nl-NL"/>
        </w:rPr>
        <w:t>Các yêu cầu khác:</w:t>
      </w:r>
    </w:p>
    <w:p w14:paraId="0B16A4D7" w14:textId="77777777" w:rsidR="00ED7DD3" w:rsidRPr="00ED7DD3" w:rsidRDefault="00ED7DD3" w:rsidP="00ED7DD3">
      <w:pPr>
        <w:pStyle w:val="SectionVIHeader"/>
        <w:spacing w:after="120" w:line="264" w:lineRule="auto"/>
        <w:ind w:firstLine="709"/>
        <w:jc w:val="both"/>
        <w:rPr>
          <w:b w:val="0"/>
          <w:bCs/>
          <w:iCs/>
          <w:sz w:val="28"/>
          <w:szCs w:val="28"/>
          <w:lang w:val="nl-NL"/>
        </w:rPr>
      </w:pPr>
      <w:r w:rsidRPr="00ED7DD3">
        <w:rPr>
          <w:b w:val="0"/>
          <w:bCs/>
          <w:iCs/>
          <w:sz w:val="28"/>
          <w:szCs w:val="28"/>
          <w:lang w:val="nl-NL"/>
        </w:rPr>
        <w:t>- Bảo hành hàng hóa theo tiêu chuẩn của nhà sản xuất và đáp ứng yêu cầu của E-HSMT.</w:t>
      </w:r>
    </w:p>
    <w:p w14:paraId="7EBE7CE1" w14:textId="77777777" w:rsidR="00ED7DD3" w:rsidRPr="00ED7DD3" w:rsidRDefault="00ED7DD3" w:rsidP="00ED7DD3">
      <w:pPr>
        <w:spacing w:before="120" w:after="120" w:line="264" w:lineRule="auto"/>
        <w:ind w:right="-284" w:firstLine="720"/>
        <w:rPr>
          <w:sz w:val="28"/>
          <w:szCs w:val="28"/>
          <w:lang w:val="nl-NL"/>
        </w:rPr>
      </w:pPr>
      <w:r w:rsidRPr="00ED7DD3">
        <w:rPr>
          <w:sz w:val="28"/>
          <w:szCs w:val="28"/>
          <w:lang w:val="nl-NL"/>
        </w:rPr>
        <w:t>- Cung cấp đầy đủ các giấy tờ cần thiết của xe ô tô đúng theo quy định tại thời điểm giao hàng;</w:t>
      </w:r>
    </w:p>
    <w:p w14:paraId="6CC9CD74" w14:textId="77777777" w:rsidR="00ED7DD3" w:rsidRPr="00ED7DD3" w:rsidRDefault="00ED7DD3" w:rsidP="00ED7DD3">
      <w:pPr>
        <w:spacing w:before="120" w:after="120" w:line="264" w:lineRule="auto"/>
        <w:ind w:right="-284" w:firstLine="709"/>
        <w:rPr>
          <w:b/>
          <w:i/>
          <w:sz w:val="28"/>
          <w:szCs w:val="28"/>
          <w:lang w:val="nl-NL"/>
        </w:rPr>
      </w:pPr>
      <w:r w:rsidRPr="00ED7DD3">
        <w:rPr>
          <w:sz w:val="28"/>
          <w:szCs w:val="28"/>
          <w:lang w:val="nl-NL"/>
        </w:rPr>
        <w:t>- Thời gian đảm bảo khả năng sẵn sàng thực hiện các nghĩa vụ của nhà thầu như bảo hành, bảo dưỡng, sửa chữa, khắc phục các hư hỏng, sai sót, sự cố, cung cấp phụ tùng thay thế hoặc cung cấp các dịch vụ sau bán hàng khác kể từ khi nhận được yêu cầu của chủ đầu tư là trong vòng 24 giờ.</w:t>
      </w:r>
    </w:p>
    <w:p w14:paraId="14DBD5F3" w14:textId="77777777" w:rsidR="00ED7DD3" w:rsidRPr="00ED7DD3" w:rsidRDefault="00ED7DD3" w:rsidP="00ED7DD3">
      <w:pPr>
        <w:pStyle w:val="SectionVIHeader"/>
        <w:spacing w:after="120" w:line="264" w:lineRule="auto"/>
        <w:ind w:firstLine="709"/>
        <w:jc w:val="left"/>
        <w:rPr>
          <w:sz w:val="28"/>
          <w:szCs w:val="28"/>
          <w:lang w:val="nl-NL"/>
        </w:rPr>
      </w:pPr>
      <w:r w:rsidRPr="00ED7DD3">
        <w:rPr>
          <w:sz w:val="28"/>
          <w:szCs w:val="28"/>
          <w:lang w:val="nl-NL"/>
        </w:rPr>
        <w:lastRenderedPageBreak/>
        <w:t xml:space="preserve">Mục 2. Bản vẽ: </w:t>
      </w:r>
      <w:r w:rsidRPr="00ED7DD3">
        <w:rPr>
          <w:b w:val="0"/>
          <w:bCs/>
          <w:sz w:val="28"/>
          <w:szCs w:val="28"/>
          <w:lang w:val="nl-NL"/>
        </w:rPr>
        <w:t>Không có.</w:t>
      </w:r>
    </w:p>
    <w:p w14:paraId="50AB9A07" w14:textId="77777777" w:rsidR="00ED7DD3" w:rsidRPr="00ED7DD3" w:rsidRDefault="00ED7DD3" w:rsidP="00ED7DD3">
      <w:pPr>
        <w:pStyle w:val="SectionVIHeader"/>
        <w:widowControl w:val="0"/>
        <w:spacing w:after="120" w:line="264" w:lineRule="auto"/>
        <w:ind w:firstLine="709"/>
        <w:jc w:val="left"/>
        <w:rPr>
          <w:sz w:val="32"/>
          <w:szCs w:val="32"/>
          <w:lang w:val="nl-NL"/>
        </w:rPr>
      </w:pPr>
      <w:r w:rsidRPr="00ED7DD3">
        <w:rPr>
          <w:sz w:val="28"/>
          <w:lang w:val="nl-NL"/>
        </w:rPr>
        <w:t>Mục 3. Kiểm tra và thử nghiệm</w:t>
      </w:r>
    </w:p>
    <w:p w14:paraId="6240D4B5" w14:textId="77777777" w:rsidR="00ED7DD3" w:rsidRPr="00ED7DD3" w:rsidRDefault="00ED7DD3" w:rsidP="00ED7DD3">
      <w:pPr>
        <w:spacing w:before="60" w:after="60" w:line="288" w:lineRule="auto"/>
        <w:ind w:firstLine="709"/>
        <w:rPr>
          <w:iCs/>
          <w:sz w:val="28"/>
        </w:rPr>
      </w:pPr>
      <w:r w:rsidRPr="00ED7DD3">
        <w:rPr>
          <w:iCs/>
          <w:sz w:val="28"/>
        </w:rPr>
        <w:t>Chủ đầu tư hoặc đại diện của Chủ đầu tư có quyền kiểm tra, đánh giá về chủng loại, chất lượng và đặc tính kỹ thuật của hàng hóa có phù hợp với yêu cầu của E-HSMT và hợp đồng trước khi nghiệm thu bàn giao;</w:t>
      </w:r>
    </w:p>
    <w:p w14:paraId="6C2D1F9C" w14:textId="77777777" w:rsidR="00ED7DD3" w:rsidRPr="00ED7DD3" w:rsidRDefault="00ED7DD3" w:rsidP="00ED7DD3">
      <w:pPr>
        <w:spacing w:before="60" w:after="60" w:line="288" w:lineRule="auto"/>
        <w:ind w:firstLine="709"/>
        <w:rPr>
          <w:iCs/>
          <w:sz w:val="28"/>
        </w:rPr>
      </w:pPr>
      <w:r w:rsidRPr="00ED7DD3">
        <w:rPr>
          <w:iCs/>
          <w:sz w:val="28"/>
        </w:rPr>
        <w:t>Các chi phí liên quan đến giám định thương mại khi có yêu cầu của Chủ đầu tư để phục vụ công tác nghiệm thu thiết bị do bên nhà thầu chi trả.</w:t>
      </w:r>
    </w:p>
    <w:p w14:paraId="6C61935D" w14:textId="77777777" w:rsidR="00A319FC" w:rsidRPr="00ED7DD3" w:rsidRDefault="00A319FC"/>
    <w:sectPr w:rsidR="00A319FC" w:rsidRPr="00ED7DD3" w:rsidSect="00ED7DD3">
      <w:pgSz w:w="12240" w:h="15840" w:code="9"/>
      <w:pgMar w:top="1440" w:right="100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90159"/>
    <w:multiLevelType w:val="hybridMultilevel"/>
    <w:tmpl w:val="665423D8"/>
    <w:lvl w:ilvl="0" w:tplc="43488E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2246747"/>
    <w:multiLevelType w:val="multilevel"/>
    <w:tmpl w:val="A78E6D4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73B95831"/>
    <w:multiLevelType w:val="multilevel"/>
    <w:tmpl w:val="4FA2857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7B"/>
    <w:rsid w:val="00013402"/>
    <w:rsid w:val="003D25F8"/>
    <w:rsid w:val="003F3BE8"/>
    <w:rsid w:val="00471B1D"/>
    <w:rsid w:val="004B3232"/>
    <w:rsid w:val="005E427B"/>
    <w:rsid w:val="0067179F"/>
    <w:rsid w:val="006A5D49"/>
    <w:rsid w:val="00857FCB"/>
    <w:rsid w:val="008876F6"/>
    <w:rsid w:val="008B7146"/>
    <w:rsid w:val="008C6A91"/>
    <w:rsid w:val="009E1CFE"/>
    <w:rsid w:val="00A27ED7"/>
    <w:rsid w:val="00A319FC"/>
    <w:rsid w:val="00AD1031"/>
    <w:rsid w:val="00B539D1"/>
    <w:rsid w:val="00CB4A86"/>
    <w:rsid w:val="00DC689E"/>
    <w:rsid w:val="00ED7DD3"/>
    <w:rsid w:val="00FB2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A504"/>
  <w15:chartTrackingRefBased/>
  <w15:docId w15:val="{B51B3AA0-432E-4ABA-B289-DFA1E8BD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DD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D7DD3"/>
    <w:pPr>
      <w:jc w:val="center"/>
    </w:pPr>
    <w:rPr>
      <w:b/>
      <w:sz w:val="44"/>
    </w:rPr>
  </w:style>
  <w:style w:type="character" w:customStyle="1" w:styleId="SubtitleChar">
    <w:name w:val="Subtitle Char"/>
    <w:basedOn w:val="DefaultParagraphFont"/>
    <w:link w:val="Subtitle"/>
    <w:rsid w:val="00ED7DD3"/>
    <w:rPr>
      <w:rFonts w:ascii="Times New Roman" w:eastAsia="Times New Roman" w:hAnsi="Times New Roman" w:cs="Times New Roman"/>
      <w:b/>
      <w:sz w:val="44"/>
      <w:szCs w:val="20"/>
    </w:rPr>
  </w:style>
  <w:style w:type="paragraph" w:customStyle="1" w:styleId="SectionVIHeader">
    <w:name w:val="Section VI. Header"/>
    <w:basedOn w:val="Normal"/>
    <w:rsid w:val="00ED7DD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D7DD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D7DD3"/>
    <w:rPr>
      <w:rFonts w:ascii="Times New Roman" w:eastAsia="Times New Roman" w:hAnsi="Times New Roman" w:cs="Times New Roman"/>
      <w:sz w:val="24"/>
      <w:szCs w:val="20"/>
    </w:rPr>
  </w:style>
  <w:style w:type="table" w:styleId="TableGrid">
    <w:name w:val="Table Grid"/>
    <w:basedOn w:val="TableNormal"/>
    <w:uiPriority w:val="59"/>
    <w:rsid w:val="00ED7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2025-12-03T00:45:00Z</dcterms:created>
  <dcterms:modified xsi:type="dcterms:W3CDTF">2025-12-03T01:38:00Z</dcterms:modified>
</cp:coreProperties>
</file>