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BCC3" w14:textId="77777777" w:rsidR="006B7855" w:rsidRPr="00D54C98" w:rsidRDefault="006B7855" w:rsidP="006B7855">
      <w:pPr>
        <w:spacing w:before="120" w:after="120"/>
        <w:ind w:firstLine="709"/>
        <w:outlineLvl w:val="1"/>
        <w:rPr>
          <w:rFonts w:eastAsia="MS Mincho"/>
          <w:b/>
          <w:szCs w:val="24"/>
          <w:lang w:val="vi-VN" w:eastAsia="vi-VN"/>
        </w:rPr>
      </w:pPr>
      <w:r w:rsidRPr="00D54C98">
        <w:rPr>
          <w:b/>
          <w:bCs/>
          <w:sz w:val="28"/>
          <w:szCs w:val="28"/>
          <w:lang w:val="vi-VN"/>
        </w:rPr>
        <w:t xml:space="preserve">Mục </w:t>
      </w:r>
      <w:r w:rsidRPr="00D54C98">
        <w:rPr>
          <w:b/>
          <w:bCs/>
          <w:sz w:val="28"/>
          <w:szCs w:val="28"/>
          <w:lang w:val="pl-PL"/>
        </w:rPr>
        <w:t>3</w:t>
      </w:r>
      <w:r w:rsidRPr="00D54C98">
        <w:rPr>
          <w:b/>
          <w:bCs/>
          <w:sz w:val="28"/>
          <w:szCs w:val="28"/>
          <w:lang w:val="vi-VN"/>
        </w:rPr>
        <w:t>. Tiêu chuẩn đánh giá về kỹ thuật</w:t>
      </w:r>
      <w:r w:rsidRPr="00D54C98">
        <w:rPr>
          <w:rFonts w:eastAsia="MS Mincho"/>
          <w:b/>
          <w:szCs w:val="24"/>
          <w:lang w:val="vi-VN" w:eastAsia="vi-VN"/>
        </w:rPr>
        <w:t xml:space="preserve"> </w:t>
      </w:r>
    </w:p>
    <w:p w14:paraId="11D64641" w14:textId="77777777" w:rsidR="006B7855" w:rsidRPr="00D54C98" w:rsidRDefault="006B7855" w:rsidP="006B7855">
      <w:pPr>
        <w:spacing w:before="120" w:after="120"/>
        <w:ind w:firstLine="709"/>
        <w:rPr>
          <w:spacing w:val="2"/>
          <w:sz w:val="28"/>
          <w:szCs w:val="28"/>
          <w:lang w:val="vi-VN"/>
        </w:rPr>
      </w:pPr>
      <w:bookmarkStart w:id="0" w:name="_Hlk99723051"/>
      <w:r w:rsidRPr="00D54C98">
        <w:rPr>
          <w:spacing w:val="2"/>
          <w:sz w:val="28"/>
          <w:szCs w:val="28"/>
          <w:lang w:val="vi-VN"/>
        </w:rPr>
        <w:t xml:space="preserve">Sử dụng tiêu chí đạt/không đạt hoặc phương pháp chấm điểm để xây dựng tiêu chuẩn đánh giá về kỹ thuật. </w:t>
      </w:r>
    </w:p>
    <w:p w14:paraId="6451F50B" w14:textId="77777777" w:rsidR="006B7855" w:rsidRPr="00D54C98" w:rsidRDefault="006B7855" w:rsidP="006B7855">
      <w:pPr>
        <w:spacing w:before="120" w:after="120"/>
        <w:ind w:firstLine="709"/>
        <w:rPr>
          <w:spacing w:val="2"/>
          <w:sz w:val="28"/>
          <w:szCs w:val="28"/>
          <w:lang w:val="vi-VN"/>
        </w:rPr>
      </w:pPr>
      <w:r w:rsidRPr="00D54C98">
        <w:rPr>
          <w:spacing w:val="2"/>
          <w:sz w:val="28"/>
          <w:szCs w:val="28"/>
          <w:lang w:val="vi-VN"/>
        </w:rPr>
        <w:t>Việc xây dựng tiêu chuẩn đánh giá về kỹ thuật dựa trên yêu cầu về các sản phẩm đầu ra được nêu tại Chương V</w:t>
      </w:r>
      <w:r w:rsidRPr="00D54C98">
        <w:rPr>
          <w:spacing w:val="2"/>
          <w:sz w:val="28"/>
          <w:szCs w:val="28"/>
          <w:lang w:val="nl-NL"/>
        </w:rPr>
        <w:t xml:space="preserve">, </w:t>
      </w:r>
      <w:r w:rsidRPr="00D54C98">
        <w:rPr>
          <w:spacing w:val="2"/>
          <w:sz w:val="28"/>
          <w:szCs w:val="28"/>
          <w:lang w:val="vi-VN"/>
        </w:rPr>
        <w:t>thông tin về kết quả thực hiện hợp đồng của nhà thầu theo quy định tại Điều 19 và Điều 20 của Nghị định số 214/2025/NĐ-CP</w:t>
      </w:r>
      <w:r w:rsidRPr="00D54C98">
        <w:rPr>
          <w:spacing w:val="2"/>
          <w:sz w:val="28"/>
          <w:szCs w:val="28"/>
          <w:lang w:val="nl-NL"/>
        </w:rPr>
        <w:t xml:space="preserve"> và các yêu cầu khác nêu trong </w:t>
      </w:r>
      <w:bookmarkStart w:id="1" w:name="_Hlk161851530"/>
      <w:r w:rsidRPr="00D54C98">
        <w:rPr>
          <w:spacing w:val="2"/>
          <w:sz w:val="28"/>
          <w:szCs w:val="28"/>
          <w:lang w:val="vi-VN"/>
        </w:rPr>
        <w:t>E-HSMT</w:t>
      </w:r>
      <w:bookmarkEnd w:id="1"/>
      <w:r w:rsidRPr="00D54C98">
        <w:rPr>
          <w:spacing w:val="2"/>
          <w:sz w:val="28"/>
          <w:szCs w:val="28"/>
          <w:lang w:val="vi-VN"/>
        </w:rPr>
        <w:t xml:space="preserve">. Căn cứ vào từng gói thầu cụ thể, khi lập E-HSMT, Chủ đầu tư phải cụ thể hóa các tiêu chí làm cơ sở đánh giá về kỹ thuật bao gồm: </w:t>
      </w:r>
    </w:p>
    <w:p w14:paraId="37328123" w14:textId="77777777" w:rsidR="006B7855" w:rsidRPr="00D54C98" w:rsidRDefault="006B7855" w:rsidP="006B7855">
      <w:pPr>
        <w:spacing w:before="120" w:after="120"/>
        <w:ind w:firstLine="709"/>
        <w:rPr>
          <w:spacing w:val="2"/>
          <w:sz w:val="28"/>
          <w:szCs w:val="28"/>
          <w:lang w:val="vi-VN"/>
        </w:rPr>
      </w:pPr>
      <w:r w:rsidRPr="00D54C98">
        <w:rPr>
          <w:spacing w:val="2"/>
          <w:sz w:val="28"/>
          <w:szCs w:val="28"/>
          <w:lang w:val="vi-VN"/>
        </w:rPr>
        <w:t>- Tính hiệu quả của việc cung cấp dịch vụ;</w:t>
      </w:r>
    </w:p>
    <w:p w14:paraId="2790E2E6" w14:textId="77777777" w:rsidR="006B7855" w:rsidRPr="00D54C98" w:rsidRDefault="006B7855" w:rsidP="006B7855">
      <w:pPr>
        <w:spacing w:before="120" w:after="120"/>
        <w:ind w:firstLine="709"/>
        <w:rPr>
          <w:spacing w:val="2"/>
          <w:sz w:val="28"/>
          <w:szCs w:val="28"/>
          <w:lang w:val="vi-VN"/>
        </w:rPr>
      </w:pPr>
      <w:r w:rsidRPr="00D54C98">
        <w:rPr>
          <w:spacing w:val="2"/>
          <w:sz w:val="28"/>
          <w:szCs w:val="28"/>
          <w:lang w:val="vi-VN"/>
        </w:rPr>
        <w:t>- Mức độ hiểu biết về tính chất và mục đích công việc;</w:t>
      </w:r>
    </w:p>
    <w:p w14:paraId="7C5D5A75" w14:textId="77777777" w:rsidR="006B7855" w:rsidRPr="00D54C98" w:rsidRDefault="006B7855" w:rsidP="006B7855">
      <w:pPr>
        <w:spacing w:before="120" w:after="120"/>
        <w:ind w:firstLine="709"/>
        <w:rPr>
          <w:spacing w:val="2"/>
          <w:sz w:val="28"/>
          <w:szCs w:val="28"/>
          <w:lang w:val="vi-VN"/>
        </w:rPr>
      </w:pPr>
      <w:r w:rsidRPr="00D54C98">
        <w:rPr>
          <w:spacing w:val="2"/>
          <w:sz w:val="28"/>
          <w:szCs w:val="28"/>
          <w:lang w:val="vi-VN"/>
        </w:rPr>
        <w:t>- Tính hợp lý và khả thi của kế hoạch, các giải pháp kỹ thuật, biện pháp tổ chức cung cấp dịch vụ;</w:t>
      </w:r>
    </w:p>
    <w:p w14:paraId="24643098" w14:textId="77777777" w:rsidR="006B7855" w:rsidRPr="00D54C98" w:rsidRDefault="006B7855" w:rsidP="006B7855">
      <w:pPr>
        <w:spacing w:before="120" w:after="120"/>
        <w:ind w:firstLine="709"/>
        <w:rPr>
          <w:spacing w:val="2"/>
          <w:sz w:val="28"/>
          <w:szCs w:val="28"/>
          <w:lang w:val="pl-PL"/>
        </w:rPr>
      </w:pPr>
      <w:r w:rsidRPr="00D54C98">
        <w:rPr>
          <w:spacing w:val="2"/>
          <w:sz w:val="28"/>
          <w:szCs w:val="28"/>
          <w:lang w:val="pl-PL"/>
        </w:rPr>
        <w:t xml:space="preserve">- Mức độ đáp ứng </w:t>
      </w:r>
      <w:r w:rsidRPr="00D54C98">
        <w:rPr>
          <w:spacing w:val="2"/>
          <w:sz w:val="28"/>
          <w:szCs w:val="28"/>
          <w:lang w:val="vi-VN"/>
        </w:rPr>
        <w:t xml:space="preserve">hệ thống </w:t>
      </w:r>
      <w:r w:rsidRPr="00D54C98">
        <w:rPr>
          <w:spacing w:val="2"/>
          <w:sz w:val="28"/>
          <w:szCs w:val="28"/>
          <w:lang w:val="pl-PL"/>
        </w:rPr>
        <w:t>đảm bảo</w:t>
      </w:r>
      <w:r w:rsidRPr="00D54C98">
        <w:rPr>
          <w:spacing w:val="2"/>
          <w:sz w:val="28"/>
          <w:szCs w:val="28"/>
          <w:lang w:val="vi-VN"/>
        </w:rPr>
        <w:t xml:space="preserve"> chất lượng và phương pháp </w:t>
      </w:r>
      <w:r w:rsidRPr="00D54C98">
        <w:rPr>
          <w:spacing w:val="2"/>
          <w:sz w:val="28"/>
          <w:szCs w:val="28"/>
          <w:lang w:val="pl-PL"/>
        </w:rPr>
        <w:t>thực hiện;</w:t>
      </w:r>
    </w:p>
    <w:p w14:paraId="32A8F4E3" w14:textId="77777777" w:rsidR="006B7855" w:rsidRPr="00D54C98" w:rsidRDefault="006B7855" w:rsidP="006B7855">
      <w:pPr>
        <w:spacing w:before="120" w:after="120"/>
        <w:ind w:firstLine="709"/>
        <w:rPr>
          <w:spacing w:val="2"/>
          <w:sz w:val="28"/>
          <w:szCs w:val="28"/>
          <w:lang w:val="pl-PL"/>
        </w:rPr>
      </w:pPr>
      <w:r w:rsidRPr="00D54C98">
        <w:rPr>
          <w:spacing w:val="2"/>
          <w:sz w:val="28"/>
          <w:szCs w:val="28"/>
          <w:lang w:val="pl-PL"/>
        </w:rPr>
        <w:t>- Mức độ đáp ứng các yêu cầu về tiêu chuẩn thực hiện dịch vụ;</w:t>
      </w:r>
    </w:p>
    <w:p w14:paraId="16C76EC0" w14:textId="77777777" w:rsidR="006B7855" w:rsidRPr="00D54C98" w:rsidRDefault="006B7855" w:rsidP="006B7855">
      <w:pPr>
        <w:spacing w:before="120" w:after="120"/>
        <w:ind w:firstLine="709"/>
        <w:rPr>
          <w:spacing w:val="2"/>
          <w:sz w:val="28"/>
          <w:szCs w:val="28"/>
          <w:lang w:val="pl-PL"/>
        </w:rPr>
      </w:pPr>
      <w:r w:rsidRPr="00D54C98">
        <w:rPr>
          <w:spacing w:val="2"/>
          <w:sz w:val="28"/>
          <w:szCs w:val="28"/>
          <w:lang w:val="pl-PL"/>
        </w:rPr>
        <w:t>- Tiến độ thực hiện gói thầu đáp ứng yêu cầu của E-HSMT;</w:t>
      </w:r>
    </w:p>
    <w:p w14:paraId="7BF07DC2" w14:textId="77777777" w:rsidR="006B7855" w:rsidRPr="00D54C98" w:rsidRDefault="006B7855" w:rsidP="006B7855">
      <w:pPr>
        <w:spacing w:before="120" w:after="120"/>
        <w:ind w:firstLine="709"/>
        <w:rPr>
          <w:spacing w:val="2"/>
          <w:sz w:val="28"/>
          <w:szCs w:val="28"/>
          <w:lang w:val="pl-PL"/>
        </w:rPr>
      </w:pPr>
      <w:r w:rsidRPr="00D54C98">
        <w:rPr>
          <w:spacing w:val="2"/>
          <w:sz w:val="28"/>
          <w:szCs w:val="28"/>
          <w:lang w:val="pl-PL"/>
        </w:rPr>
        <w:t>- Bảo đảm điều kiện vệ sinh môi trường và các điều kiện khác như phòng cháy, chữa cháy, an toàn lao động (nếu có);</w:t>
      </w:r>
    </w:p>
    <w:p w14:paraId="54157CA7" w14:textId="77777777" w:rsidR="006B7855" w:rsidRPr="00D54C98" w:rsidRDefault="006B7855" w:rsidP="006B7855">
      <w:pPr>
        <w:spacing w:before="120" w:after="120"/>
        <w:ind w:firstLine="709"/>
        <w:rPr>
          <w:spacing w:val="2"/>
          <w:sz w:val="28"/>
          <w:szCs w:val="28"/>
          <w:lang w:val="pl-PL"/>
        </w:rPr>
      </w:pPr>
      <w:r w:rsidRPr="00D54C98">
        <w:rPr>
          <w:spacing w:val="2"/>
          <w:sz w:val="28"/>
          <w:szCs w:val="28"/>
          <w:lang w:val="pl-PL"/>
        </w:rPr>
        <w:t>- Mức độ đáp ứng các yêu cầu về bảo hành, bảo trì (nếu có);</w:t>
      </w:r>
    </w:p>
    <w:p w14:paraId="575BF233" w14:textId="77777777" w:rsidR="006B7855" w:rsidRPr="00D54C98" w:rsidRDefault="006B7855" w:rsidP="006B7855">
      <w:pPr>
        <w:widowControl w:val="0"/>
        <w:tabs>
          <w:tab w:val="left" w:pos="851"/>
        </w:tabs>
        <w:spacing w:before="120" w:after="120" w:line="264" w:lineRule="auto"/>
        <w:ind w:firstLine="709"/>
        <w:rPr>
          <w:sz w:val="28"/>
          <w:szCs w:val="28"/>
          <w:lang w:val="pl-PL"/>
        </w:rPr>
      </w:pPr>
      <w:r w:rsidRPr="00D54C98">
        <w:rPr>
          <w:sz w:val="28"/>
          <w:szCs w:val="28"/>
          <w:lang w:val="vi-VN"/>
        </w:rPr>
        <w:t>- Tiêu chí đấu thầu bền vững (nếu có)</w:t>
      </w:r>
      <w:r w:rsidRPr="00D54C98">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D54C98">
        <w:rPr>
          <w:sz w:val="28"/>
          <w:szCs w:val="28"/>
          <w:lang w:val="vi-VN"/>
        </w:rPr>
        <w:t xml:space="preserve"> </w:t>
      </w:r>
    </w:p>
    <w:p w14:paraId="7D677F11" w14:textId="77777777" w:rsidR="006B7855" w:rsidRPr="00D54C98" w:rsidRDefault="006B7855" w:rsidP="006B7855">
      <w:pPr>
        <w:spacing w:before="120" w:after="120"/>
        <w:ind w:firstLine="709"/>
        <w:rPr>
          <w:spacing w:val="2"/>
          <w:sz w:val="28"/>
          <w:szCs w:val="28"/>
          <w:lang w:val="pl-PL"/>
        </w:rPr>
      </w:pPr>
      <w:r w:rsidRPr="00D54C98">
        <w:rPr>
          <w:spacing w:val="2"/>
          <w:sz w:val="28"/>
          <w:szCs w:val="28"/>
          <w:lang w:val="pl-PL"/>
        </w:rPr>
        <w:t xml:space="preserve"> </w:t>
      </w:r>
      <w:bookmarkStart w:id="2" w:name="_Hlk154351167"/>
      <w:r w:rsidRPr="00D54C98">
        <w:rPr>
          <w:spacing w:val="2"/>
          <w:sz w:val="28"/>
          <w:szCs w:val="28"/>
          <w:lang w:val="pl-PL"/>
        </w:rPr>
        <w:t>- Thông tin về kết quả thực hiện hợp đồng của nhà thầu theo quy định tại Điều 19 và Điều 20 của Nghị định số 214/2025/NĐ-CP</w:t>
      </w:r>
      <w:r w:rsidRPr="00D54C98">
        <w:rPr>
          <w:sz w:val="28"/>
          <w:szCs w:val="28"/>
          <w:lang w:val="nl-NL"/>
        </w:rPr>
        <w:t>;</w:t>
      </w:r>
    </w:p>
    <w:p w14:paraId="0682A8A3" w14:textId="77777777" w:rsidR="006B7855" w:rsidRPr="00D54C98" w:rsidRDefault="006B7855" w:rsidP="006B7855">
      <w:pPr>
        <w:spacing w:before="120" w:after="120"/>
        <w:ind w:firstLine="709"/>
        <w:rPr>
          <w:spacing w:val="2"/>
          <w:sz w:val="28"/>
          <w:szCs w:val="28"/>
          <w:lang w:val="pl-PL"/>
        </w:rPr>
      </w:pPr>
      <w:r w:rsidRPr="00D54C98">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5D8C399F" w14:textId="77777777" w:rsidR="006B7855" w:rsidRPr="00D54C98" w:rsidRDefault="006B7855" w:rsidP="006B7855">
      <w:pPr>
        <w:spacing w:before="120" w:after="120"/>
        <w:ind w:firstLine="709"/>
        <w:rPr>
          <w:spacing w:val="2"/>
          <w:sz w:val="28"/>
          <w:szCs w:val="28"/>
          <w:lang w:val="pl-PL"/>
        </w:rPr>
      </w:pPr>
      <w:r w:rsidRPr="00D54C98">
        <w:rPr>
          <w:spacing w:val="2"/>
          <w:sz w:val="28"/>
          <w:szCs w:val="28"/>
          <w:lang w:val="pl-PL"/>
        </w:rPr>
        <w:t>- Các yếu tố cần thiết khác.</w:t>
      </w:r>
    </w:p>
    <w:p w14:paraId="678B82BE" w14:textId="77777777" w:rsidR="006B7855" w:rsidRPr="00D54C98" w:rsidRDefault="006B7855" w:rsidP="006B7855">
      <w:pPr>
        <w:spacing w:before="120" w:after="120"/>
        <w:rPr>
          <w:b/>
          <w:iCs/>
          <w:sz w:val="28"/>
          <w:szCs w:val="28"/>
          <w:lang w:val="vi-VN"/>
        </w:rPr>
      </w:pPr>
      <w:r w:rsidRPr="00D54C98">
        <w:rPr>
          <w:b/>
          <w:sz w:val="28"/>
          <w:szCs w:val="28"/>
          <w:lang w:val="pl-PL"/>
        </w:rPr>
        <w:lastRenderedPageBreak/>
        <w:tab/>
      </w:r>
      <w:bookmarkEnd w:id="0"/>
      <w:r w:rsidRPr="00D54C98">
        <w:rPr>
          <w:b/>
          <w:sz w:val="28"/>
          <w:szCs w:val="28"/>
          <w:lang w:val="pl-PL"/>
        </w:rPr>
        <w:t xml:space="preserve">3.1. Đánh giá theo </w:t>
      </w:r>
      <w:r w:rsidRPr="00D54C98">
        <w:rPr>
          <w:b/>
          <w:iCs/>
          <w:sz w:val="28"/>
          <w:szCs w:val="28"/>
          <w:lang w:val="vi-VN"/>
        </w:rPr>
        <w:t>phương pháp chấm điểm</w:t>
      </w:r>
      <w:r w:rsidRPr="00D54C98">
        <w:rPr>
          <w:rStyle w:val="FootnoteReference"/>
          <w:b/>
          <w:iCs/>
          <w:sz w:val="28"/>
          <w:szCs w:val="28"/>
        </w:rPr>
        <w:footnoteReference w:id="1"/>
      </w:r>
      <w:r w:rsidRPr="00D54C98">
        <w:rPr>
          <w:b/>
          <w:iCs/>
          <w:sz w:val="28"/>
          <w:szCs w:val="28"/>
          <w:lang w:val="vi-VN"/>
        </w:rPr>
        <w:t>:</w:t>
      </w:r>
    </w:p>
    <w:p w14:paraId="6E23A822" w14:textId="77777777" w:rsidR="006B7855" w:rsidRPr="00D54C98" w:rsidRDefault="006B7855" w:rsidP="006B7855">
      <w:pPr>
        <w:spacing w:before="120" w:after="120"/>
        <w:ind w:firstLine="709"/>
        <w:rPr>
          <w:sz w:val="28"/>
          <w:szCs w:val="28"/>
          <w:lang w:val="vi-VN"/>
        </w:rPr>
      </w:pPr>
      <w:r w:rsidRPr="00D54C98">
        <w:rPr>
          <w:sz w:val="28"/>
          <w:szCs w:val="28"/>
          <w:lang w:val="vi-VN"/>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3" w:name="_Hlk162608309"/>
      <w:r w:rsidRPr="00D54C98">
        <w:rPr>
          <w:spacing w:val="2"/>
          <w:sz w:val="28"/>
          <w:szCs w:val="28"/>
          <w:lang w:val="nl-NL"/>
        </w:rPr>
        <w:t>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D54C98">
        <w:rPr>
          <w:sz w:val="28"/>
          <w:szCs w:val="28"/>
          <w:lang w:val="vi-VN"/>
        </w:rPr>
        <w:t xml:space="preserve"> </w:t>
      </w:r>
      <w:bookmarkEnd w:id="3"/>
      <w:r w:rsidRPr="00D54C98">
        <w:rPr>
          <w:sz w:val="28"/>
          <w:szCs w:val="28"/>
          <w:lang w:val="vi-VN"/>
        </w:rPr>
        <w:t xml:space="preserve">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14:paraId="68F61CE1" w14:textId="77777777" w:rsidR="006B7855" w:rsidRPr="00D54C98" w:rsidRDefault="006B7855" w:rsidP="006B7855">
      <w:pPr>
        <w:spacing w:before="120" w:after="120"/>
        <w:ind w:firstLine="709"/>
        <w:rPr>
          <w:sz w:val="28"/>
          <w:szCs w:val="28"/>
          <w:lang w:val="vi-VN"/>
        </w:rPr>
      </w:pPr>
      <w:r w:rsidRPr="00D54C98">
        <w:rPr>
          <w:sz w:val="28"/>
          <w:szCs w:val="28"/>
          <w:lang w:val="vi-VN"/>
        </w:rPr>
        <w:t>Điểm kỹ thuật của từng tiêu chuẩn tổng quát được tính theo điểm kỹ thuật của các tiêu chuẩn chi tiết theo công thức sau:</w:t>
      </w:r>
    </w:p>
    <w:p w14:paraId="44BEDFBF" w14:textId="77777777" w:rsidR="006B7855" w:rsidRPr="00D54C98" w:rsidRDefault="006B7855" w:rsidP="006B7855">
      <w:pPr>
        <w:spacing w:before="120" w:after="120"/>
        <w:ind w:firstLine="709"/>
        <w:jc w:val="center"/>
        <w:rPr>
          <w:noProof/>
          <w:sz w:val="28"/>
          <w:szCs w:val="28"/>
        </w:rPr>
      </w:pPr>
      <w:r w:rsidRPr="00D54C98">
        <w:rPr>
          <w:noProof/>
          <w:position w:val="-28"/>
          <w:sz w:val="28"/>
          <w:szCs w:val="28"/>
        </w:rPr>
        <w:object w:dxaOrig="1710" w:dyaOrig="750" w14:anchorId="7E3C3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7pt;height:36.85pt;mso-width-percent:0;mso-height-percent:0;mso-width-percent:0;mso-height-percent:0" o:ole="" fillcolor="window">
            <v:imagedata r:id="rId6" o:title=""/>
          </v:shape>
          <o:OLEObject Type="Embed" ProgID="Equation.3" ShapeID="_x0000_i1025" DrawAspect="Content" ObjectID="_1826200845" r:id="rId7"/>
        </w:object>
      </w:r>
    </w:p>
    <w:p w14:paraId="699A6D76" w14:textId="77777777" w:rsidR="006B7855" w:rsidRPr="00D54C98" w:rsidRDefault="006B7855" w:rsidP="006B7855">
      <w:pPr>
        <w:numPr>
          <w:ilvl w:val="12"/>
          <w:numId w:val="0"/>
        </w:numPr>
        <w:tabs>
          <w:tab w:val="left" w:pos="1620"/>
        </w:tabs>
        <w:suppressAutoHyphens/>
        <w:spacing w:before="120" w:after="120"/>
        <w:ind w:right="173" w:firstLine="709"/>
        <w:jc w:val="left"/>
        <w:rPr>
          <w:noProof/>
          <w:sz w:val="28"/>
          <w:szCs w:val="28"/>
        </w:rPr>
      </w:pPr>
      <w:r w:rsidRPr="00D54C98">
        <w:rPr>
          <w:noProof/>
          <w:sz w:val="28"/>
          <w:szCs w:val="28"/>
        </w:rPr>
        <w:t>Trong đó:</w:t>
      </w:r>
    </w:p>
    <w:p w14:paraId="64664838" w14:textId="77777777" w:rsidR="006B7855" w:rsidRPr="00D54C98" w:rsidRDefault="006B7855" w:rsidP="006B7855">
      <w:pPr>
        <w:numPr>
          <w:ilvl w:val="12"/>
          <w:numId w:val="0"/>
        </w:numPr>
        <w:suppressAutoHyphens/>
        <w:spacing w:before="120" w:after="120"/>
        <w:ind w:right="-58" w:firstLine="709"/>
        <w:jc w:val="left"/>
        <w:rPr>
          <w:noProof/>
          <w:spacing w:val="-4"/>
          <w:sz w:val="28"/>
          <w:szCs w:val="28"/>
        </w:rPr>
      </w:pPr>
      <w:r w:rsidRPr="00D54C98">
        <w:rPr>
          <w:i/>
          <w:iCs/>
          <w:noProof/>
          <w:spacing w:val="-4"/>
          <w:sz w:val="28"/>
          <w:szCs w:val="28"/>
        </w:rPr>
        <w:t>t</w:t>
      </w:r>
      <w:r w:rsidRPr="00D54C98">
        <w:rPr>
          <w:i/>
          <w:iCs/>
          <w:noProof/>
          <w:spacing w:val="-4"/>
          <w:sz w:val="28"/>
          <w:szCs w:val="28"/>
          <w:vertAlign w:val="subscript"/>
        </w:rPr>
        <w:t xml:space="preserve">ji   </w:t>
      </w:r>
      <w:r w:rsidRPr="00D54C98">
        <w:rPr>
          <w:noProof/>
          <w:spacing w:val="-4"/>
          <w:sz w:val="28"/>
          <w:szCs w:val="28"/>
        </w:rPr>
        <w:t xml:space="preserve">= điểm kỹ thuật của tiêu chuẩn chi tiết “i” trong tiêu chuẩn tổng quát “j”, </w:t>
      </w:r>
    </w:p>
    <w:p w14:paraId="42ED6BF4" w14:textId="77777777" w:rsidR="006B7855" w:rsidRPr="00D54C98" w:rsidRDefault="006B7855" w:rsidP="006B7855">
      <w:pPr>
        <w:numPr>
          <w:ilvl w:val="12"/>
          <w:numId w:val="0"/>
        </w:numPr>
        <w:suppressAutoHyphens/>
        <w:spacing w:before="120" w:after="120"/>
        <w:ind w:right="-58" w:firstLine="709"/>
        <w:jc w:val="left"/>
        <w:rPr>
          <w:noProof/>
          <w:spacing w:val="-4"/>
          <w:sz w:val="28"/>
          <w:szCs w:val="28"/>
        </w:rPr>
      </w:pPr>
      <w:r w:rsidRPr="00D54C98">
        <w:rPr>
          <w:i/>
          <w:iCs/>
          <w:noProof/>
          <w:spacing w:val="-4"/>
          <w:sz w:val="28"/>
          <w:szCs w:val="28"/>
        </w:rPr>
        <w:t>w</w:t>
      </w:r>
      <w:r w:rsidRPr="00D54C98">
        <w:rPr>
          <w:i/>
          <w:iCs/>
          <w:noProof/>
          <w:spacing w:val="-4"/>
          <w:sz w:val="28"/>
          <w:szCs w:val="28"/>
          <w:vertAlign w:val="subscript"/>
        </w:rPr>
        <w:t xml:space="preserve">ji </w:t>
      </w:r>
      <w:r w:rsidRPr="00D54C98">
        <w:rPr>
          <w:noProof/>
          <w:spacing w:val="-4"/>
          <w:sz w:val="28"/>
          <w:szCs w:val="28"/>
        </w:rPr>
        <w:t xml:space="preserve">= tỷ trọng của tiêu chuẩn chi tiết “i” trong tiêu chuẩn tổng quát “j”, </w:t>
      </w:r>
    </w:p>
    <w:p w14:paraId="295340CA" w14:textId="77777777" w:rsidR="006B7855" w:rsidRPr="00D54C98" w:rsidRDefault="006B7855" w:rsidP="006B7855">
      <w:pPr>
        <w:numPr>
          <w:ilvl w:val="12"/>
          <w:numId w:val="0"/>
        </w:numPr>
        <w:suppressAutoHyphens/>
        <w:spacing w:before="120" w:after="120"/>
        <w:ind w:right="-58" w:firstLine="709"/>
        <w:jc w:val="left"/>
        <w:rPr>
          <w:noProof/>
          <w:spacing w:val="-4"/>
          <w:sz w:val="28"/>
          <w:szCs w:val="28"/>
        </w:rPr>
      </w:pPr>
      <w:r w:rsidRPr="00D54C98">
        <w:rPr>
          <w:i/>
          <w:iCs/>
          <w:noProof/>
          <w:spacing w:val="-4"/>
          <w:sz w:val="28"/>
          <w:szCs w:val="28"/>
        </w:rPr>
        <w:t xml:space="preserve">k  </w:t>
      </w:r>
      <w:r w:rsidRPr="00D54C98">
        <w:rPr>
          <w:noProof/>
          <w:spacing w:val="-4"/>
          <w:sz w:val="28"/>
          <w:szCs w:val="28"/>
        </w:rPr>
        <w:t xml:space="preserve">= số lượng tiêu chuẩn chi tiết trong tiêu chuẩn tổng quát “j”, và </w:t>
      </w:r>
    </w:p>
    <w:p w14:paraId="79E9545B" w14:textId="77777777" w:rsidR="006B7855" w:rsidRPr="00D54C98" w:rsidRDefault="006B7855" w:rsidP="006B7855">
      <w:pPr>
        <w:numPr>
          <w:ilvl w:val="12"/>
          <w:numId w:val="0"/>
        </w:numPr>
        <w:suppressAutoHyphens/>
        <w:spacing w:before="120" w:after="120"/>
        <w:ind w:right="173" w:firstLine="709"/>
        <w:jc w:val="center"/>
        <w:rPr>
          <w:noProof/>
          <w:sz w:val="28"/>
          <w:szCs w:val="28"/>
        </w:rPr>
      </w:pPr>
      <w:r w:rsidRPr="00D54C98">
        <w:rPr>
          <w:noProof/>
          <w:position w:val="-28"/>
          <w:sz w:val="28"/>
          <w:szCs w:val="28"/>
        </w:rPr>
        <w:object w:dxaOrig="1050" w:dyaOrig="750" w14:anchorId="66DEF6E7">
          <v:shape id="_x0000_i1026" type="#_x0000_t75" alt="" style="width:49.4pt;height:36.85pt;mso-width-percent:0;mso-height-percent:0;mso-width-percent:0;mso-height-percent:0" o:ole="" fillcolor="window">
            <v:imagedata r:id="rId8" o:title=""/>
          </v:shape>
          <o:OLEObject Type="Embed" ProgID="Equation.3" ShapeID="_x0000_i1026" DrawAspect="Content" ObjectID="_1826200846" r:id="rId9"/>
        </w:object>
      </w:r>
    </w:p>
    <w:p w14:paraId="07561223" w14:textId="77777777" w:rsidR="006B7855" w:rsidRPr="00D54C98" w:rsidRDefault="006B7855" w:rsidP="006B7855">
      <w:pPr>
        <w:numPr>
          <w:ilvl w:val="12"/>
          <w:numId w:val="0"/>
        </w:numPr>
        <w:suppressAutoHyphens/>
        <w:spacing w:before="120" w:after="120"/>
        <w:ind w:right="173" w:firstLine="709"/>
        <w:rPr>
          <w:noProof/>
          <w:sz w:val="28"/>
          <w:szCs w:val="28"/>
        </w:rPr>
      </w:pPr>
      <w:r w:rsidRPr="00D54C98">
        <w:rPr>
          <w:noProof/>
          <w:sz w:val="28"/>
          <w:szCs w:val="28"/>
        </w:rPr>
        <w:t xml:space="preserve">Tổng điểm kỹ thuật được tính theo công thức sau: </w:t>
      </w:r>
    </w:p>
    <w:p w14:paraId="0C026B8F" w14:textId="77777777" w:rsidR="006B7855" w:rsidRPr="00D54C98" w:rsidRDefault="006B7855" w:rsidP="006B7855">
      <w:pPr>
        <w:numPr>
          <w:ilvl w:val="12"/>
          <w:numId w:val="0"/>
        </w:numPr>
        <w:tabs>
          <w:tab w:val="left" w:pos="1080"/>
        </w:tabs>
        <w:suppressAutoHyphens/>
        <w:spacing w:before="120" w:after="120"/>
        <w:ind w:right="171" w:firstLine="709"/>
        <w:jc w:val="center"/>
        <w:rPr>
          <w:noProof/>
          <w:sz w:val="28"/>
          <w:szCs w:val="28"/>
        </w:rPr>
      </w:pPr>
      <w:r w:rsidRPr="00D54C98">
        <w:rPr>
          <w:noProof/>
          <w:position w:val="-30"/>
          <w:sz w:val="28"/>
          <w:szCs w:val="28"/>
        </w:rPr>
        <w:object w:dxaOrig="1440" w:dyaOrig="750" w14:anchorId="12B2DADB">
          <v:shape id="_x0000_i1027" type="#_x0000_t75" alt="" style="width:1in;height:36.85pt;mso-width-percent:0;mso-height-percent:0;mso-width-percent:0;mso-height-percent:0" o:ole="" fillcolor="window">
            <v:imagedata r:id="rId10" o:title=""/>
          </v:shape>
          <o:OLEObject Type="Embed" ProgID="Equation.3" ShapeID="_x0000_i1027" DrawAspect="Content" ObjectID="_1826200847" r:id="rId11"/>
        </w:object>
      </w:r>
    </w:p>
    <w:p w14:paraId="53E5122F" w14:textId="77777777" w:rsidR="006B7855" w:rsidRPr="00D54C98" w:rsidRDefault="006B7855" w:rsidP="006B7855">
      <w:pPr>
        <w:numPr>
          <w:ilvl w:val="12"/>
          <w:numId w:val="0"/>
        </w:numPr>
        <w:tabs>
          <w:tab w:val="left" w:pos="1620"/>
        </w:tabs>
        <w:suppressAutoHyphens/>
        <w:spacing w:before="120" w:after="120"/>
        <w:ind w:right="173" w:firstLine="709"/>
        <w:jc w:val="left"/>
        <w:rPr>
          <w:noProof/>
          <w:sz w:val="28"/>
          <w:szCs w:val="28"/>
        </w:rPr>
      </w:pPr>
      <w:r w:rsidRPr="00D54C98">
        <w:rPr>
          <w:noProof/>
          <w:sz w:val="28"/>
          <w:szCs w:val="28"/>
        </w:rPr>
        <w:t>Trong đó:</w:t>
      </w:r>
    </w:p>
    <w:p w14:paraId="15F7689F" w14:textId="77777777" w:rsidR="006B7855" w:rsidRPr="00D54C98" w:rsidRDefault="006B7855" w:rsidP="006B7855">
      <w:pPr>
        <w:numPr>
          <w:ilvl w:val="12"/>
          <w:numId w:val="0"/>
        </w:numPr>
        <w:tabs>
          <w:tab w:val="left" w:pos="1620"/>
        </w:tabs>
        <w:suppressAutoHyphens/>
        <w:spacing w:before="120" w:after="120"/>
        <w:ind w:right="173" w:firstLine="709"/>
        <w:jc w:val="left"/>
        <w:rPr>
          <w:noProof/>
          <w:sz w:val="28"/>
          <w:szCs w:val="28"/>
        </w:rPr>
      </w:pPr>
      <w:r w:rsidRPr="00D54C98">
        <w:rPr>
          <w:i/>
          <w:iCs/>
          <w:noProof/>
          <w:sz w:val="28"/>
          <w:szCs w:val="28"/>
        </w:rPr>
        <w:t>S</w:t>
      </w:r>
      <w:r w:rsidRPr="00D54C98">
        <w:rPr>
          <w:i/>
          <w:iCs/>
          <w:noProof/>
          <w:sz w:val="28"/>
          <w:szCs w:val="28"/>
          <w:vertAlign w:val="subscript"/>
        </w:rPr>
        <w:t>j</w:t>
      </w:r>
      <w:r w:rsidRPr="00D54C98">
        <w:rPr>
          <w:noProof/>
          <w:sz w:val="28"/>
          <w:szCs w:val="28"/>
        </w:rPr>
        <w:t xml:space="preserve">   = điểm kỹ thuật của tiêu chuẩn tổng quát “j”,</w:t>
      </w:r>
    </w:p>
    <w:p w14:paraId="4F75638B" w14:textId="77777777" w:rsidR="006B7855" w:rsidRPr="00D54C98" w:rsidRDefault="006B7855" w:rsidP="006B7855">
      <w:pPr>
        <w:numPr>
          <w:ilvl w:val="12"/>
          <w:numId w:val="0"/>
        </w:numPr>
        <w:tabs>
          <w:tab w:val="left" w:pos="1620"/>
        </w:tabs>
        <w:suppressAutoHyphens/>
        <w:spacing w:before="120" w:after="120"/>
        <w:ind w:right="173" w:firstLine="709"/>
        <w:jc w:val="left"/>
        <w:rPr>
          <w:noProof/>
          <w:sz w:val="28"/>
          <w:szCs w:val="28"/>
        </w:rPr>
      </w:pPr>
      <w:r w:rsidRPr="00D54C98">
        <w:rPr>
          <w:i/>
          <w:iCs/>
          <w:noProof/>
          <w:sz w:val="28"/>
          <w:szCs w:val="28"/>
        </w:rPr>
        <w:t>W</w:t>
      </w:r>
      <w:r w:rsidRPr="00D54C98">
        <w:rPr>
          <w:i/>
          <w:iCs/>
          <w:noProof/>
          <w:sz w:val="28"/>
          <w:szCs w:val="28"/>
          <w:vertAlign w:val="subscript"/>
        </w:rPr>
        <w:t>j</w:t>
      </w:r>
      <w:r w:rsidRPr="00D54C98">
        <w:rPr>
          <w:noProof/>
          <w:sz w:val="28"/>
          <w:szCs w:val="28"/>
        </w:rPr>
        <w:t xml:space="preserve">  = tỷ trọng của tiêu chuẩn tổng quát “j”</w:t>
      </w:r>
      <w:r w:rsidRPr="00D54C98">
        <w:rPr>
          <w:b/>
          <w:noProof/>
          <w:sz w:val="28"/>
          <w:szCs w:val="28"/>
        </w:rPr>
        <w:t xml:space="preserve">, </w:t>
      </w:r>
    </w:p>
    <w:p w14:paraId="6578A5C8" w14:textId="77777777" w:rsidR="006B7855" w:rsidRPr="00D54C98" w:rsidRDefault="006B7855" w:rsidP="006B7855">
      <w:pPr>
        <w:numPr>
          <w:ilvl w:val="12"/>
          <w:numId w:val="0"/>
        </w:numPr>
        <w:tabs>
          <w:tab w:val="left" w:pos="1620"/>
        </w:tabs>
        <w:suppressAutoHyphens/>
        <w:spacing w:before="120" w:after="120"/>
        <w:ind w:right="173" w:firstLine="709"/>
        <w:jc w:val="left"/>
        <w:rPr>
          <w:noProof/>
          <w:sz w:val="28"/>
          <w:szCs w:val="28"/>
        </w:rPr>
      </w:pPr>
      <w:r w:rsidRPr="00D54C98">
        <w:rPr>
          <w:i/>
          <w:iCs/>
          <w:noProof/>
          <w:sz w:val="28"/>
          <w:szCs w:val="28"/>
        </w:rPr>
        <w:t>N</w:t>
      </w:r>
      <w:r w:rsidRPr="00D54C98">
        <w:rPr>
          <w:noProof/>
          <w:sz w:val="28"/>
          <w:szCs w:val="28"/>
        </w:rPr>
        <w:t xml:space="preserve">   = số lượng tiêu chuẩn tổng quát, và</w:t>
      </w:r>
    </w:p>
    <w:p w14:paraId="607CE523" w14:textId="77777777" w:rsidR="006B7855" w:rsidRPr="00D54C98" w:rsidRDefault="006B7855" w:rsidP="006B7855">
      <w:pPr>
        <w:spacing w:before="120" w:after="120"/>
        <w:ind w:right="173" w:firstLine="709"/>
        <w:jc w:val="center"/>
        <w:rPr>
          <w:noProof/>
          <w:sz w:val="28"/>
          <w:szCs w:val="28"/>
        </w:rPr>
      </w:pPr>
      <w:r w:rsidRPr="00D54C98">
        <w:rPr>
          <w:noProof/>
          <w:position w:val="-30"/>
          <w:sz w:val="28"/>
          <w:szCs w:val="28"/>
        </w:rPr>
        <w:object w:dxaOrig="1050" w:dyaOrig="750" w14:anchorId="7282BC5A">
          <v:shape id="_x0000_i1028" type="#_x0000_t75" alt="" style="width:49.4pt;height:36.85pt;mso-width-percent:0;mso-height-percent:0;mso-width-percent:0;mso-height-percent:0" o:ole="" fillcolor="window">
            <v:imagedata r:id="rId12" o:title=""/>
          </v:shape>
          <o:OLEObject Type="Embed" ProgID="Equation.3" ShapeID="_x0000_i1028" DrawAspect="Content" ObjectID="_1826200848" r:id="rId13"/>
        </w:object>
      </w:r>
    </w:p>
    <w:p w14:paraId="326F56BE" w14:textId="77777777" w:rsidR="006B7855" w:rsidRPr="00D54C98" w:rsidRDefault="006B7855" w:rsidP="006B7855">
      <w:pPr>
        <w:spacing w:before="120" w:after="120"/>
        <w:ind w:firstLine="709"/>
        <w:outlineLvl w:val="2"/>
        <w:rPr>
          <w:sz w:val="28"/>
          <w:szCs w:val="28"/>
        </w:rPr>
      </w:pPr>
      <w:r w:rsidRPr="00D54C98">
        <w:rPr>
          <w:b/>
          <w:iCs/>
          <w:sz w:val="28"/>
          <w:szCs w:val="28"/>
        </w:rPr>
        <w:t>3.2. Đánh giá theo phương pháp</w:t>
      </w:r>
      <w:r w:rsidRPr="00D54C98" w:rsidDel="00BE4476">
        <w:rPr>
          <w:b/>
          <w:iCs/>
          <w:sz w:val="28"/>
          <w:szCs w:val="28"/>
        </w:rPr>
        <w:t xml:space="preserve"> </w:t>
      </w:r>
      <w:r w:rsidRPr="00D54C98">
        <w:rPr>
          <w:b/>
          <w:iCs/>
          <w:sz w:val="28"/>
          <w:szCs w:val="28"/>
        </w:rPr>
        <w:t>đạt/không đạt</w:t>
      </w:r>
      <w:r w:rsidRPr="00D54C98">
        <w:rPr>
          <w:rStyle w:val="FootnoteReference"/>
          <w:b/>
          <w:iCs/>
          <w:sz w:val="28"/>
          <w:szCs w:val="28"/>
        </w:rPr>
        <w:footnoteReference w:id="2"/>
      </w:r>
      <w:r w:rsidRPr="00D54C98">
        <w:rPr>
          <w:b/>
          <w:sz w:val="28"/>
          <w:szCs w:val="28"/>
        </w:rPr>
        <w:t>:</w:t>
      </w:r>
    </w:p>
    <w:p w14:paraId="745F877E" w14:textId="77777777" w:rsidR="006B7855" w:rsidRPr="00D54C98" w:rsidRDefault="006B7855" w:rsidP="006B7855">
      <w:pPr>
        <w:spacing w:before="120" w:after="120"/>
        <w:ind w:firstLine="709"/>
        <w:rPr>
          <w:sz w:val="28"/>
          <w:szCs w:val="28"/>
        </w:rPr>
      </w:pPr>
      <w:r w:rsidRPr="00D54C98">
        <w:rPr>
          <w:sz w:val="28"/>
          <w:szCs w:val="28"/>
        </w:rPr>
        <w:lastRenderedPageBreak/>
        <w:t>Căn cứ quy mô, tính chất của gói thầu mà xác định mức độ yêu cầu đối với từng nội dung. Đối với các tiêu chí đánh giá tổng quát, chỉ sử dụng tiêu chí đạt, không đạt</w:t>
      </w:r>
      <w:r w:rsidRPr="00D54C98">
        <w:rPr>
          <w:sz w:val="28"/>
          <w:szCs w:val="28"/>
          <w:lang w:val="vi-VN"/>
        </w:rPr>
        <w:t>.</w:t>
      </w:r>
      <w:r w:rsidRPr="00D54C98" w:rsidDel="00D822D6">
        <w:rPr>
          <w:sz w:val="28"/>
          <w:szCs w:val="28"/>
        </w:rPr>
        <w:t xml:space="preserve"> </w:t>
      </w:r>
      <w:r w:rsidRPr="00D54C98">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FDDF020" w14:textId="77777777" w:rsidR="006B7855" w:rsidRPr="00D54C98" w:rsidRDefault="006B7855" w:rsidP="006B7855">
      <w:pPr>
        <w:spacing w:before="120" w:after="120"/>
        <w:ind w:firstLine="709"/>
        <w:rPr>
          <w:sz w:val="28"/>
          <w:szCs w:val="28"/>
        </w:rPr>
      </w:pPr>
      <w:r w:rsidRPr="00D54C98">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5051BF22" w14:textId="77777777" w:rsidR="006B7855" w:rsidRPr="00D54C98" w:rsidRDefault="006B7855" w:rsidP="006B7855">
      <w:pPr>
        <w:spacing w:before="120" w:after="120"/>
        <w:ind w:firstLine="709"/>
        <w:rPr>
          <w:sz w:val="28"/>
          <w:szCs w:val="28"/>
        </w:rPr>
      </w:pPr>
      <w:r w:rsidRPr="00D54C98">
        <w:rPr>
          <w:sz w:val="28"/>
          <w:szCs w:val="28"/>
        </w:rPr>
        <w:t>E-HSDT được đánh giá là đáp ứng yêu cầu về kỹ thuật khi có tất cả các tiêu chí tổng quát đều được đánh giá là đạt.</w:t>
      </w:r>
    </w:p>
    <w:p w14:paraId="6B1E6E70" w14:textId="77777777" w:rsidR="006B7855" w:rsidRPr="00D54C98" w:rsidRDefault="006B7855" w:rsidP="006B7855">
      <w:pPr>
        <w:spacing w:before="120" w:after="120"/>
        <w:ind w:firstLine="709"/>
        <w:outlineLvl w:val="2"/>
        <w:rPr>
          <w:bCs/>
          <w:sz w:val="28"/>
          <w:szCs w:val="28"/>
          <w:lang w:val="es-ES"/>
        </w:rPr>
      </w:pPr>
      <w:r w:rsidRPr="00D54C98">
        <w:rPr>
          <w:bCs/>
          <w:sz w:val="28"/>
          <w:szCs w:val="28"/>
          <w:lang w:val="es-ES"/>
        </w:rPr>
        <w:t xml:space="preserve">E-HSDT </w:t>
      </w:r>
      <w:r w:rsidRPr="00D54C98">
        <w:rPr>
          <w:rFonts w:hint="eastAsia"/>
          <w:bCs/>
          <w:sz w:val="28"/>
          <w:szCs w:val="28"/>
          <w:lang w:val="es-ES"/>
        </w:rPr>
        <w:t>đượ</w:t>
      </w:r>
      <w:r w:rsidRPr="00D54C98">
        <w:rPr>
          <w:bCs/>
          <w:sz w:val="28"/>
          <w:szCs w:val="28"/>
          <w:lang w:val="es-ES"/>
        </w:rPr>
        <w:t xml:space="preserve">c </w:t>
      </w:r>
      <w:r w:rsidRPr="00D54C98">
        <w:rPr>
          <w:rFonts w:hint="eastAsia"/>
          <w:bCs/>
          <w:sz w:val="28"/>
          <w:szCs w:val="28"/>
          <w:lang w:val="es-ES"/>
        </w:rPr>
        <w:t>đá</w:t>
      </w:r>
      <w:r w:rsidRPr="00D54C98">
        <w:rPr>
          <w:bCs/>
          <w:sz w:val="28"/>
          <w:szCs w:val="28"/>
          <w:lang w:val="es-ES"/>
        </w:rPr>
        <w:t>nh gi</w:t>
      </w:r>
      <w:r w:rsidRPr="00D54C98">
        <w:rPr>
          <w:rFonts w:hint="eastAsia"/>
          <w:bCs/>
          <w:sz w:val="28"/>
          <w:szCs w:val="28"/>
          <w:lang w:val="es-ES"/>
        </w:rPr>
        <w:t>á</w:t>
      </w:r>
      <w:r w:rsidRPr="00D54C98">
        <w:rPr>
          <w:bCs/>
          <w:sz w:val="28"/>
          <w:szCs w:val="28"/>
          <w:lang w:val="es-ES"/>
        </w:rPr>
        <w:t xml:space="preserve"> l</w:t>
      </w:r>
      <w:r w:rsidRPr="00D54C98">
        <w:rPr>
          <w:rFonts w:hint="eastAsia"/>
          <w:bCs/>
          <w:sz w:val="28"/>
          <w:szCs w:val="28"/>
          <w:lang w:val="es-ES"/>
        </w:rPr>
        <w:t>à</w:t>
      </w:r>
      <w:r w:rsidRPr="00D54C98">
        <w:rPr>
          <w:bCs/>
          <w:sz w:val="28"/>
          <w:szCs w:val="28"/>
          <w:lang w:val="es-ES"/>
        </w:rPr>
        <w:t xml:space="preserve"> </w:t>
      </w:r>
      <w:r w:rsidRPr="00D54C98">
        <w:rPr>
          <w:rFonts w:hint="eastAsia"/>
          <w:bCs/>
          <w:sz w:val="28"/>
          <w:szCs w:val="28"/>
          <w:lang w:val="es-ES"/>
        </w:rPr>
        <w:t>đá</w:t>
      </w:r>
      <w:r w:rsidRPr="00D54C98">
        <w:rPr>
          <w:bCs/>
          <w:sz w:val="28"/>
          <w:szCs w:val="28"/>
          <w:lang w:val="es-ES"/>
        </w:rPr>
        <w:t xml:space="preserve">p </w:t>
      </w:r>
      <w:r w:rsidRPr="00D54C98">
        <w:rPr>
          <w:rFonts w:hint="eastAsia"/>
          <w:bCs/>
          <w:sz w:val="28"/>
          <w:szCs w:val="28"/>
          <w:lang w:val="es-ES"/>
        </w:rPr>
        <w:t>ứ</w:t>
      </w:r>
      <w:r w:rsidRPr="00D54C98">
        <w:rPr>
          <w:bCs/>
          <w:sz w:val="28"/>
          <w:szCs w:val="28"/>
          <w:lang w:val="es-ES"/>
        </w:rPr>
        <w:t>ng y</w:t>
      </w:r>
      <w:r w:rsidRPr="00D54C98">
        <w:rPr>
          <w:rFonts w:hint="eastAsia"/>
          <w:bCs/>
          <w:sz w:val="28"/>
          <w:szCs w:val="28"/>
          <w:lang w:val="es-ES"/>
        </w:rPr>
        <w:t>ê</w:t>
      </w:r>
      <w:r w:rsidRPr="00D54C98">
        <w:rPr>
          <w:bCs/>
          <w:sz w:val="28"/>
          <w:szCs w:val="28"/>
          <w:lang w:val="es-ES"/>
        </w:rPr>
        <w:t>u c</w:t>
      </w:r>
      <w:r w:rsidRPr="00D54C98">
        <w:rPr>
          <w:rFonts w:hint="eastAsia"/>
          <w:bCs/>
          <w:sz w:val="28"/>
          <w:szCs w:val="28"/>
          <w:lang w:val="es-ES"/>
        </w:rPr>
        <w:t>ầ</w:t>
      </w:r>
      <w:r w:rsidRPr="00D54C98">
        <w:rPr>
          <w:bCs/>
          <w:sz w:val="28"/>
          <w:szCs w:val="28"/>
          <w:lang w:val="es-ES"/>
        </w:rPr>
        <w:t>u v</w:t>
      </w:r>
      <w:r w:rsidRPr="00D54C98">
        <w:rPr>
          <w:rFonts w:hint="eastAsia"/>
          <w:bCs/>
          <w:sz w:val="28"/>
          <w:szCs w:val="28"/>
          <w:lang w:val="es-ES"/>
        </w:rPr>
        <w:t>ề</w:t>
      </w:r>
      <w:r w:rsidRPr="00D54C98">
        <w:rPr>
          <w:bCs/>
          <w:sz w:val="28"/>
          <w:szCs w:val="28"/>
          <w:lang w:val="es-ES"/>
        </w:rPr>
        <w:t xml:space="preserve"> k</w:t>
      </w:r>
      <w:r w:rsidRPr="00D54C98">
        <w:rPr>
          <w:rFonts w:hint="eastAsia"/>
          <w:bCs/>
          <w:sz w:val="28"/>
          <w:szCs w:val="28"/>
          <w:lang w:val="es-ES"/>
        </w:rPr>
        <w:t>ỹ</w:t>
      </w:r>
      <w:r w:rsidRPr="00D54C98">
        <w:rPr>
          <w:bCs/>
          <w:sz w:val="28"/>
          <w:szCs w:val="28"/>
          <w:lang w:val="es-ES"/>
        </w:rPr>
        <w:t xml:space="preserve"> thu</w:t>
      </w:r>
      <w:r w:rsidRPr="00D54C98">
        <w:rPr>
          <w:rFonts w:hint="eastAsia"/>
          <w:bCs/>
          <w:sz w:val="28"/>
          <w:szCs w:val="28"/>
          <w:lang w:val="es-ES"/>
        </w:rPr>
        <w:t>ậ</w:t>
      </w:r>
      <w:r w:rsidRPr="00D54C98">
        <w:rPr>
          <w:bCs/>
          <w:sz w:val="28"/>
          <w:szCs w:val="28"/>
          <w:lang w:val="es-ES"/>
        </w:rPr>
        <w:t>t khi c</w:t>
      </w:r>
      <w:r w:rsidRPr="00D54C98">
        <w:rPr>
          <w:rFonts w:hint="eastAsia"/>
          <w:bCs/>
          <w:sz w:val="28"/>
          <w:szCs w:val="28"/>
          <w:lang w:val="es-ES"/>
        </w:rPr>
        <w:t>ó</w:t>
      </w:r>
      <w:r w:rsidRPr="00D54C98">
        <w:rPr>
          <w:bCs/>
          <w:sz w:val="28"/>
          <w:szCs w:val="28"/>
          <w:lang w:val="es-ES"/>
        </w:rPr>
        <w:t xml:space="preserve"> t</w:t>
      </w:r>
      <w:r w:rsidRPr="00D54C98">
        <w:rPr>
          <w:rFonts w:hint="eastAsia"/>
          <w:bCs/>
          <w:sz w:val="28"/>
          <w:szCs w:val="28"/>
          <w:lang w:val="es-ES"/>
        </w:rPr>
        <w:t>ấ</w:t>
      </w:r>
      <w:r w:rsidRPr="00D54C98">
        <w:rPr>
          <w:bCs/>
          <w:sz w:val="28"/>
          <w:szCs w:val="28"/>
          <w:lang w:val="es-ES"/>
        </w:rPr>
        <w:t>t c</w:t>
      </w:r>
      <w:r w:rsidRPr="00D54C98">
        <w:rPr>
          <w:rFonts w:hint="eastAsia"/>
          <w:bCs/>
          <w:sz w:val="28"/>
          <w:szCs w:val="28"/>
          <w:lang w:val="es-ES"/>
        </w:rPr>
        <w:t>ả</w:t>
      </w:r>
      <w:r w:rsidRPr="00D54C98">
        <w:rPr>
          <w:bCs/>
          <w:sz w:val="28"/>
          <w:szCs w:val="28"/>
          <w:lang w:val="es-ES"/>
        </w:rPr>
        <w:t xml:space="preserve"> c</w:t>
      </w:r>
      <w:r w:rsidRPr="00D54C98">
        <w:rPr>
          <w:rFonts w:hint="eastAsia"/>
          <w:bCs/>
          <w:sz w:val="28"/>
          <w:szCs w:val="28"/>
          <w:lang w:val="es-ES"/>
        </w:rPr>
        <w:t>á</w:t>
      </w:r>
      <w:r w:rsidRPr="00D54C98">
        <w:rPr>
          <w:bCs/>
          <w:sz w:val="28"/>
          <w:szCs w:val="28"/>
          <w:lang w:val="es-ES"/>
        </w:rPr>
        <w:t>c ti</w:t>
      </w:r>
      <w:r w:rsidRPr="00D54C98">
        <w:rPr>
          <w:rFonts w:hint="eastAsia"/>
          <w:bCs/>
          <w:sz w:val="28"/>
          <w:szCs w:val="28"/>
          <w:lang w:val="es-ES"/>
        </w:rPr>
        <w:t>ê</w:t>
      </w:r>
      <w:r w:rsidRPr="00D54C98">
        <w:rPr>
          <w:bCs/>
          <w:sz w:val="28"/>
          <w:szCs w:val="28"/>
          <w:lang w:val="es-ES"/>
        </w:rPr>
        <w:t>u ch</w:t>
      </w:r>
      <w:r w:rsidRPr="00D54C98">
        <w:rPr>
          <w:rFonts w:hint="eastAsia"/>
          <w:bCs/>
          <w:sz w:val="28"/>
          <w:szCs w:val="28"/>
          <w:lang w:val="es-ES"/>
        </w:rPr>
        <w:t>í</w:t>
      </w:r>
      <w:r w:rsidRPr="00D54C98">
        <w:rPr>
          <w:bCs/>
          <w:sz w:val="28"/>
          <w:szCs w:val="28"/>
          <w:lang w:val="es-ES"/>
        </w:rPr>
        <w:t xml:space="preserve"> </w:t>
      </w:r>
      <w:r w:rsidRPr="00D54C98">
        <w:rPr>
          <w:rFonts w:hint="eastAsia"/>
          <w:bCs/>
          <w:sz w:val="28"/>
          <w:szCs w:val="28"/>
          <w:lang w:val="es-ES"/>
        </w:rPr>
        <w:t>đề</w:t>
      </w:r>
      <w:r w:rsidRPr="00D54C98">
        <w:rPr>
          <w:bCs/>
          <w:sz w:val="28"/>
          <w:szCs w:val="28"/>
          <w:lang w:val="es-ES"/>
        </w:rPr>
        <w:t xml:space="preserve">u </w:t>
      </w:r>
      <w:r w:rsidRPr="00D54C98">
        <w:rPr>
          <w:rFonts w:hint="eastAsia"/>
          <w:bCs/>
          <w:sz w:val="28"/>
          <w:szCs w:val="28"/>
          <w:lang w:val="es-ES"/>
        </w:rPr>
        <w:t>đượ</w:t>
      </w:r>
      <w:r w:rsidRPr="00D54C98">
        <w:rPr>
          <w:bCs/>
          <w:sz w:val="28"/>
          <w:szCs w:val="28"/>
          <w:lang w:val="es-ES"/>
        </w:rPr>
        <w:t xml:space="preserve">c </w:t>
      </w:r>
      <w:r w:rsidRPr="00D54C98">
        <w:rPr>
          <w:rFonts w:hint="eastAsia"/>
          <w:bCs/>
          <w:sz w:val="28"/>
          <w:szCs w:val="28"/>
          <w:lang w:val="es-ES"/>
        </w:rPr>
        <w:t>đá</w:t>
      </w:r>
      <w:r w:rsidRPr="00D54C98">
        <w:rPr>
          <w:bCs/>
          <w:sz w:val="28"/>
          <w:szCs w:val="28"/>
          <w:lang w:val="es-ES"/>
        </w:rPr>
        <w:t>nh gi</w:t>
      </w:r>
      <w:r w:rsidRPr="00D54C98">
        <w:rPr>
          <w:rFonts w:hint="eastAsia"/>
          <w:bCs/>
          <w:sz w:val="28"/>
          <w:szCs w:val="28"/>
          <w:lang w:val="es-ES"/>
        </w:rPr>
        <w:t>á</w:t>
      </w:r>
      <w:r w:rsidRPr="00D54C98">
        <w:rPr>
          <w:bCs/>
          <w:sz w:val="28"/>
          <w:szCs w:val="28"/>
          <w:lang w:val="es-ES"/>
        </w:rPr>
        <w:t xml:space="preserve"> l</w:t>
      </w:r>
      <w:r w:rsidRPr="00D54C98">
        <w:rPr>
          <w:rFonts w:hint="eastAsia"/>
          <w:bCs/>
          <w:sz w:val="28"/>
          <w:szCs w:val="28"/>
          <w:lang w:val="es-ES"/>
        </w:rPr>
        <w:t>à</w:t>
      </w:r>
      <w:r w:rsidRPr="00D54C98">
        <w:rPr>
          <w:bCs/>
          <w:sz w:val="28"/>
          <w:szCs w:val="28"/>
          <w:lang w:val="es-ES"/>
        </w:rPr>
        <w:t xml:space="preserve"> </w:t>
      </w:r>
      <w:r w:rsidRPr="00D54C98">
        <w:rPr>
          <w:rFonts w:hint="eastAsia"/>
          <w:bCs/>
          <w:sz w:val="28"/>
          <w:szCs w:val="28"/>
          <w:lang w:val="es-ES"/>
        </w:rPr>
        <w:t>đạ</w:t>
      </w:r>
      <w:r w:rsidRPr="00D54C98">
        <w:rPr>
          <w:bCs/>
          <w:sz w:val="28"/>
          <w:szCs w:val="28"/>
          <w:lang w:val="es-ES"/>
        </w:rPr>
        <w:t>t.</w:t>
      </w:r>
    </w:p>
    <w:p w14:paraId="097FBEE5" w14:textId="77777777" w:rsidR="006B7855" w:rsidRPr="00D54C98" w:rsidRDefault="006B7855" w:rsidP="006B7855">
      <w:pPr>
        <w:spacing w:before="120" w:after="120"/>
        <w:ind w:firstLine="709"/>
        <w:outlineLvl w:val="2"/>
        <w:rPr>
          <w:bCs/>
          <w:sz w:val="28"/>
          <w:szCs w:val="28"/>
          <w:lang w:val="es-ES"/>
        </w:rPr>
      </w:pPr>
    </w:p>
    <w:tbl>
      <w:tblPr>
        <w:tblW w:w="8911" w:type="dxa"/>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705"/>
        <w:gridCol w:w="1590"/>
        <w:gridCol w:w="4253"/>
        <w:gridCol w:w="2363"/>
      </w:tblGrid>
      <w:tr w:rsidR="00D54C98" w:rsidRPr="00D54C98" w14:paraId="7939331D" w14:textId="77777777" w:rsidTr="00BB319F">
        <w:trPr>
          <w:trHeight w:val="70"/>
          <w:tblHeader/>
        </w:trPr>
        <w:tc>
          <w:tcPr>
            <w:tcW w:w="705" w:type="dxa"/>
            <w:vMerge w:val="restart"/>
            <w:vAlign w:val="center"/>
          </w:tcPr>
          <w:p w14:paraId="04CB0294" w14:textId="77777777" w:rsidR="006B7855" w:rsidRPr="00D54C98" w:rsidRDefault="006B7855" w:rsidP="00BB319F">
            <w:pPr>
              <w:jc w:val="center"/>
              <w:rPr>
                <w:b/>
                <w:sz w:val="28"/>
                <w:szCs w:val="28"/>
              </w:rPr>
            </w:pPr>
            <w:r w:rsidRPr="00D54C98">
              <w:rPr>
                <w:b/>
                <w:sz w:val="28"/>
                <w:szCs w:val="28"/>
              </w:rPr>
              <w:t>TT</w:t>
            </w:r>
          </w:p>
        </w:tc>
        <w:tc>
          <w:tcPr>
            <w:tcW w:w="1590" w:type="dxa"/>
            <w:vMerge w:val="restart"/>
            <w:vAlign w:val="center"/>
          </w:tcPr>
          <w:p w14:paraId="7B2EA1C2" w14:textId="77777777" w:rsidR="006B7855" w:rsidRPr="00D54C98" w:rsidRDefault="006B7855" w:rsidP="00BB319F">
            <w:pPr>
              <w:jc w:val="center"/>
              <w:rPr>
                <w:b/>
                <w:sz w:val="28"/>
                <w:szCs w:val="28"/>
              </w:rPr>
            </w:pPr>
            <w:r w:rsidRPr="00D54C98">
              <w:rPr>
                <w:b/>
                <w:sz w:val="28"/>
                <w:szCs w:val="28"/>
              </w:rPr>
              <w:t>Nội dung yêu cầu</w:t>
            </w:r>
          </w:p>
        </w:tc>
        <w:tc>
          <w:tcPr>
            <w:tcW w:w="6616" w:type="dxa"/>
            <w:gridSpan w:val="2"/>
            <w:vAlign w:val="center"/>
          </w:tcPr>
          <w:p w14:paraId="47007FF2" w14:textId="77777777" w:rsidR="006B7855" w:rsidRPr="00D54C98" w:rsidRDefault="006B7855" w:rsidP="00BB319F">
            <w:pPr>
              <w:jc w:val="center"/>
              <w:rPr>
                <w:b/>
                <w:sz w:val="28"/>
                <w:szCs w:val="28"/>
              </w:rPr>
            </w:pPr>
            <w:r w:rsidRPr="00D54C98">
              <w:rPr>
                <w:b/>
                <w:sz w:val="28"/>
                <w:szCs w:val="28"/>
              </w:rPr>
              <w:t>Mức độ đáp ứng</w:t>
            </w:r>
          </w:p>
        </w:tc>
      </w:tr>
      <w:tr w:rsidR="00D54C98" w:rsidRPr="00D54C98" w14:paraId="2E6AD274" w14:textId="77777777" w:rsidTr="00BB319F">
        <w:trPr>
          <w:trHeight w:val="392"/>
          <w:tblHeader/>
        </w:trPr>
        <w:tc>
          <w:tcPr>
            <w:tcW w:w="705" w:type="dxa"/>
            <w:vMerge/>
            <w:vAlign w:val="center"/>
          </w:tcPr>
          <w:p w14:paraId="226AD553" w14:textId="77777777" w:rsidR="006B7855" w:rsidRPr="00D54C98" w:rsidRDefault="006B7855" w:rsidP="00BB319F">
            <w:pPr>
              <w:suppressAutoHyphens/>
              <w:jc w:val="center"/>
              <w:outlineLvl w:val="0"/>
              <w:rPr>
                <w:sz w:val="28"/>
                <w:szCs w:val="28"/>
              </w:rPr>
            </w:pPr>
          </w:p>
        </w:tc>
        <w:tc>
          <w:tcPr>
            <w:tcW w:w="1590" w:type="dxa"/>
            <w:vMerge/>
            <w:vAlign w:val="center"/>
          </w:tcPr>
          <w:p w14:paraId="7786994E" w14:textId="77777777" w:rsidR="006B7855" w:rsidRPr="00D54C98" w:rsidRDefault="006B7855" w:rsidP="00BB319F">
            <w:pPr>
              <w:suppressAutoHyphens/>
              <w:jc w:val="center"/>
              <w:outlineLvl w:val="0"/>
              <w:rPr>
                <w:sz w:val="28"/>
                <w:szCs w:val="28"/>
              </w:rPr>
            </w:pPr>
          </w:p>
        </w:tc>
        <w:tc>
          <w:tcPr>
            <w:tcW w:w="4253" w:type="dxa"/>
            <w:vAlign w:val="center"/>
          </w:tcPr>
          <w:p w14:paraId="01B44278" w14:textId="77777777" w:rsidR="006B7855" w:rsidRPr="00D54C98" w:rsidRDefault="006B7855" w:rsidP="00BB319F">
            <w:pPr>
              <w:jc w:val="center"/>
              <w:rPr>
                <w:b/>
                <w:sz w:val="28"/>
                <w:szCs w:val="28"/>
              </w:rPr>
            </w:pPr>
            <w:r w:rsidRPr="00D54C98">
              <w:rPr>
                <w:b/>
                <w:sz w:val="28"/>
                <w:szCs w:val="28"/>
              </w:rPr>
              <w:t>Đạt</w:t>
            </w:r>
          </w:p>
        </w:tc>
        <w:tc>
          <w:tcPr>
            <w:tcW w:w="2363" w:type="dxa"/>
            <w:vAlign w:val="center"/>
          </w:tcPr>
          <w:p w14:paraId="7B66B641" w14:textId="77777777" w:rsidR="006B7855" w:rsidRPr="00D54C98" w:rsidRDefault="006B7855" w:rsidP="00BB319F">
            <w:pPr>
              <w:jc w:val="center"/>
              <w:rPr>
                <w:b/>
                <w:sz w:val="28"/>
                <w:szCs w:val="28"/>
              </w:rPr>
            </w:pPr>
            <w:r w:rsidRPr="00D54C98">
              <w:rPr>
                <w:b/>
                <w:sz w:val="28"/>
                <w:szCs w:val="28"/>
              </w:rPr>
              <w:t>Không đạt</w:t>
            </w:r>
          </w:p>
        </w:tc>
      </w:tr>
      <w:tr w:rsidR="00D54C98" w:rsidRPr="00D54C98" w14:paraId="685C43B5" w14:textId="77777777" w:rsidTr="00BB319F">
        <w:trPr>
          <w:trHeight w:val="65"/>
        </w:trPr>
        <w:tc>
          <w:tcPr>
            <w:tcW w:w="705" w:type="dxa"/>
            <w:vAlign w:val="center"/>
          </w:tcPr>
          <w:p w14:paraId="531879D7" w14:textId="77777777" w:rsidR="006B7855" w:rsidRPr="00D54C98" w:rsidRDefault="006B7855" w:rsidP="00BB319F">
            <w:pPr>
              <w:jc w:val="center"/>
              <w:rPr>
                <w:sz w:val="28"/>
                <w:szCs w:val="28"/>
              </w:rPr>
            </w:pPr>
            <w:r w:rsidRPr="00D54C98">
              <w:rPr>
                <w:sz w:val="28"/>
                <w:szCs w:val="28"/>
              </w:rPr>
              <w:t>(1)</w:t>
            </w:r>
          </w:p>
        </w:tc>
        <w:tc>
          <w:tcPr>
            <w:tcW w:w="1590" w:type="dxa"/>
            <w:vAlign w:val="center"/>
          </w:tcPr>
          <w:p w14:paraId="6D0714CE" w14:textId="77777777" w:rsidR="006B7855" w:rsidRPr="00D54C98" w:rsidRDefault="006B7855" w:rsidP="00BB319F">
            <w:pPr>
              <w:jc w:val="center"/>
              <w:rPr>
                <w:sz w:val="28"/>
                <w:szCs w:val="28"/>
              </w:rPr>
            </w:pPr>
            <w:r w:rsidRPr="00D54C98">
              <w:rPr>
                <w:sz w:val="28"/>
                <w:szCs w:val="28"/>
              </w:rPr>
              <w:t>(2)</w:t>
            </w:r>
          </w:p>
        </w:tc>
        <w:tc>
          <w:tcPr>
            <w:tcW w:w="4253" w:type="dxa"/>
            <w:vAlign w:val="center"/>
          </w:tcPr>
          <w:p w14:paraId="43B60BA9" w14:textId="77777777" w:rsidR="006B7855" w:rsidRPr="00D54C98" w:rsidRDefault="006B7855" w:rsidP="00BB319F">
            <w:pPr>
              <w:jc w:val="center"/>
              <w:rPr>
                <w:sz w:val="28"/>
                <w:szCs w:val="28"/>
              </w:rPr>
            </w:pPr>
            <w:r w:rsidRPr="00D54C98">
              <w:rPr>
                <w:sz w:val="28"/>
                <w:szCs w:val="28"/>
              </w:rPr>
              <w:t>(3)</w:t>
            </w:r>
          </w:p>
        </w:tc>
        <w:tc>
          <w:tcPr>
            <w:tcW w:w="2363" w:type="dxa"/>
            <w:vAlign w:val="center"/>
          </w:tcPr>
          <w:p w14:paraId="39EA30BB" w14:textId="77777777" w:rsidR="006B7855" w:rsidRPr="00D54C98" w:rsidRDefault="006B7855" w:rsidP="00BB319F">
            <w:pPr>
              <w:jc w:val="center"/>
              <w:rPr>
                <w:sz w:val="28"/>
                <w:szCs w:val="28"/>
              </w:rPr>
            </w:pPr>
            <w:r w:rsidRPr="00D54C98">
              <w:rPr>
                <w:sz w:val="28"/>
                <w:szCs w:val="28"/>
              </w:rPr>
              <w:t>(4)</w:t>
            </w:r>
          </w:p>
        </w:tc>
      </w:tr>
      <w:tr w:rsidR="00D54C98" w:rsidRPr="00D54C98" w14:paraId="3BAE0352"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369E656D" w14:textId="77777777" w:rsidR="006B7855" w:rsidRPr="00D54C98" w:rsidRDefault="006B7855" w:rsidP="00BB319F">
            <w:pPr>
              <w:jc w:val="center"/>
              <w:rPr>
                <w:sz w:val="28"/>
                <w:szCs w:val="28"/>
              </w:rPr>
            </w:pPr>
            <w:r w:rsidRPr="00D54C98">
              <w:rPr>
                <w:sz w:val="28"/>
                <w:szCs w:val="28"/>
              </w:rPr>
              <w:t>1</w:t>
            </w:r>
          </w:p>
        </w:tc>
        <w:tc>
          <w:tcPr>
            <w:tcW w:w="1590" w:type="dxa"/>
            <w:vAlign w:val="center"/>
          </w:tcPr>
          <w:p w14:paraId="75A5C4EF" w14:textId="77777777" w:rsidR="006B7855" w:rsidRPr="00D54C98" w:rsidRDefault="006B7855" w:rsidP="00BB319F">
            <w:pPr>
              <w:rPr>
                <w:bCs/>
                <w:sz w:val="28"/>
                <w:szCs w:val="28"/>
              </w:rPr>
            </w:pPr>
            <w:r w:rsidRPr="00D54C98">
              <w:rPr>
                <w:bCs/>
                <w:sz w:val="28"/>
                <w:szCs w:val="28"/>
              </w:rPr>
              <w:t>Mức độ hiểu biết về tính chất và mục đích công việc</w:t>
            </w:r>
          </w:p>
        </w:tc>
        <w:tc>
          <w:tcPr>
            <w:tcW w:w="4253" w:type="dxa"/>
            <w:vAlign w:val="center"/>
          </w:tcPr>
          <w:p w14:paraId="738109D2" w14:textId="77777777" w:rsidR="006B7855" w:rsidRPr="00D54C98" w:rsidRDefault="006B7855" w:rsidP="00BB319F">
            <w:pPr>
              <w:rPr>
                <w:sz w:val="28"/>
                <w:szCs w:val="28"/>
              </w:rPr>
            </w:pPr>
            <w:r w:rsidRPr="00D54C98">
              <w:rPr>
                <w:sz w:val="28"/>
                <w:szCs w:val="28"/>
              </w:rPr>
              <w:t>Có thuyết minh nhận xét đánh giá chi tiết về  tính chất, mục đích gói thầu đầy đủ, chi tiết</w:t>
            </w:r>
          </w:p>
        </w:tc>
        <w:tc>
          <w:tcPr>
            <w:tcW w:w="2363" w:type="dxa"/>
            <w:vAlign w:val="center"/>
          </w:tcPr>
          <w:p w14:paraId="3862A704" w14:textId="77777777" w:rsidR="006B7855" w:rsidRPr="00D54C98" w:rsidRDefault="006B7855" w:rsidP="00BB319F">
            <w:pPr>
              <w:rPr>
                <w:sz w:val="28"/>
                <w:szCs w:val="28"/>
              </w:rPr>
            </w:pPr>
            <w:r w:rsidRPr="00D54C98">
              <w:rPr>
                <w:sz w:val="28"/>
                <w:szCs w:val="28"/>
              </w:rPr>
              <w:t>Không đáp ứng yêu cầu</w:t>
            </w:r>
          </w:p>
        </w:tc>
      </w:tr>
      <w:tr w:rsidR="00D54C98" w:rsidRPr="00D54C98" w14:paraId="4DF8FE1E"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1DC2237A" w14:textId="77777777" w:rsidR="006B7855" w:rsidRPr="00D54C98" w:rsidRDefault="006B7855" w:rsidP="00BB319F">
            <w:pPr>
              <w:jc w:val="center"/>
              <w:rPr>
                <w:sz w:val="28"/>
                <w:szCs w:val="28"/>
              </w:rPr>
            </w:pPr>
            <w:r w:rsidRPr="00D54C98">
              <w:rPr>
                <w:sz w:val="28"/>
                <w:szCs w:val="28"/>
              </w:rPr>
              <w:t>2</w:t>
            </w:r>
          </w:p>
        </w:tc>
        <w:tc>
          <w:tcPr>
            <w:tcW w:w="1590" w:type="dxa"/>
            <w:vAlign w:val="center"/>
          </w:tcPr>
          <w:p w14:paraId="3BD7CC1F" w14:textId="77777777" w:rsidR="006B7855" w:rsidRPr="00D54C98" w:rsidRDefault="006B7855" w:rsidP="00BB319F">
            <w:pPr>
              <w:rPr>
                <w:bCs/>
                <w:sz w:val="28"/>
                <w:szCs w:val="28"/>
              </w:rPr>
            </w:pPr>
            <w:r w:rsidRPr="00D54C98">
              <w:rPr>
                <w:bCs/>
                <w:sz w:val="28"/>
                <w:szCs w:val="28"/>
              </w:rPr>
              <w:t>Giải pháp kỹ thuật, biện pháp tổ chức, kế hoạch cung cấp dịch vụ</w:t>
            </w:r>
          </w:p>
        </w:tc>
        <w:tc>
          <w:tcPr>
            <w:tcW w:w="4253" w:type="dxa"/>
            <w:vAlign w:val="center"/>
          </w:tcPr>
          <w:p w14:paraId="60BEA211" w14:textId="77777777" w:rsidR="006B7855" w:rsidRPr="00D54C98" w:rsidRDefault="006B7855" w:rsidP="00BB319F">
            <w:pPr>
              <w:rPr>
                <w:sz w:val="28"/>
                <w:szCs w:val="28"/>
              </w:rPr>
            </w:pPr>
            <w:r w:rsidRPr="00D54C98">
              <w:rPr>
                <w:sz w:val="28"/>
                <w:szCs w:val="28"/>
              </w:rPr>
              <w:t>Nhà thầu thuyết minh phương pháp luận, kế hoạch, giải pháp kỹ thuật, biện pháp tổ chức cung cấp dịch vụ vận tải bằng đường thủy được đánh giá là hợp lý và khả thi</w:t>
            </w:r>
          </w:p>
        </w:tc>
        <w:tc>
          <w:tcPr>
            <w:tcW w:w="2363" w:type="dxa"/>
            <w:vAlign w:val="center"/>
          </w:tcPr>
          <w:p w14:paraId="0C5C5A18" w14:textId="77777777" w:rsidR="006B7855" w:rsidRPr="00D54C98" w:rsidRDefault="006B7855" w:rsidP="00BB319F">
            <w:pPr>
              <w:rPr>
                <w:sz w:val="28"/>
                <w:szCs w:val="28"/>
              </w:rPr>
            </w:pPr>
            <w:r w:rsidRPr="00D54C98">
              <w:rPr>
                <w:sz w:val="28"/>
                <w:szCs w:val="28"/>
              </w:rPr>
              <w:t>Không đáp ứng yêu cầu</w:t>
            </w:r>
          </w:p>
        </w:tc>
      </w:tr>
      <w:tr w:rsidR="00D54C98" w:rsidRPr="00D54C98" w14:paraId="1721BE64"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6439B5F7" w14:textId="77777777" w:rsidR="006B7855" w:rsidRPr="00D54C98" w:rsidRDefault="006B7855" w:rsidP="00BB319F">
            <w:pPr>
              <w:jc w:val="center"/>
              <w:rPr>
                <w:sz w:val="28"/>
                <w:szCs w:val="28"/>
              </w:rPr>
            </w:pPr>
            <w:r w:rsidRPr="00D54C98">
              <w:rPr>
                <w:sz w:val="28"/>
                <w:szCs w:val="28"/>
              </w:rPr>
              <w:t>3</w:t>
            </w:r>
          </w:p>
        </w:tc>
        <w:tc>
          <w:tcPr>
            <w:tcW w:w="1590" w:type="dxa"/>
            <w:vAlign w:val="center"/>
          </w:tcPr>
          <w:p w14:paraId="1506A23E" w14:textId="77777777" w:rsidR="006B7855" w:rsidRPr="00D54C98" w:rsidRDefault="006B7855" w:rsidP="00BB319F">
            <w:pPr>
              <w:rPr>
                <w:bCs/>
                <w:sz w:val="28"/>
                <w:szCs w:val="28"/>
              </w:rPr>
            </w:pPr>
            <w:r w:rsidRPr="00D54C98">
              <w:rPr>
                <w:bCs/>
                <w:sz w:val="28"/>
                <w:szCs w:val="28"/>
              </w:rPr>
              <w:t>Hệ thống đảm bảo chất lượng cung cấp dịch vụ và phương pháp thực hiện</w:t>
            </w:r>
          </w:p>
        </w:tc>
        <w:tc>
          <w:tcPr>
            <w:tcW w:w="4253" w:type="dxa"/>
            <w:vAlign w:val="center"/>
          </w:tcPr>
          <w:p w14:paraId="3A8AF260" w14:textId="77777777" w:rsidR="006B7855" w:rsidRPr="00D54C98" w:rsidRDefault="006B7855" w:rsidP="00BB319F">
            <w:pPr>
              <w:rPr>
                <w:sz w:val="28"/>
                <w:szCs w:val="28"/>
              </w:rPr>
            </w:pPr>
            <w:r w:rsidRPr="00D54C98">
              <w:rPr>
                <w:sz w:val="28"/>
                <w:szCs w:val="28"/>
              </w:rPr>
              <w:t>Nhà thầu có kế hoạch đảm bảo chất lượng trong quá trình giao, nhận hàng và vận chuyển hàng hóa, bố trí nhân sự tham gia trong hệ thống quản lý chất lượng được đánh giá là đáp ứng điều kiện đảm bảo cung cấp dịch vụ vận tải đường thủy</w:t>
            </w:r>
          </w:p>
        </w:tc>
        <w:tc>
          <w:tcPr>
            <w:tcW w:w="2363" w:type="dxa"/>
            <w:vAlign w:val="center"/>
          </w:tcPr>
          <w:p w14:paraId="7F811C25" w14:textId="77777777" w:rsidR="006B7855" w:rsidRPr="00D54C98" w:rsidRDefault="006B7855" w:rsidP="00BB319F">
            <w:pPr>
              <w:rPr>
                <w:sz w:val="28"/>
                <w:szCs w:val="28"/>
              </w:rPr>
            </w:pPr>
            <w:r w:rsidRPr="00D54C98">
              <w:rPr>
                <w:sz w:val="28"/>
                <w:szCs w:val="28"/>
              </w:rPr>
              <w:t>Không đáp ứng yêu cầu</w:t>
            </w:r>
          </w:p>
        </w:tc>
      </w:tr>
      <w:tr w:rsidR="00D54C98" w:rsidRPr="00D54C98" w14:paraId="3C2A81B5"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0491BB0E" w14:textId="77777777" w:rsidR="006B7855" w:rsidRPr="00D54C98" w:rsidRDefault="006B7855" w:rsidP="00BB319F">
            <w:pPr>
              <w:jc w:val="center"/>
              <w:rPr>
                <w:sz w:val="28"/>
                <w:szCs w:val="28"/>
              </w:rPr>
            </w:pPr>
            <w:r w:rsidRPr="00D54C98">
              <w:rPr>
                <w:sz w:val="28"/>
                <w:szCs w:val="28"/>
              </w:rPr>
              <w:t>4</w:t>
            </w:r>
          </w:p>
        </w:tc>
        <w:tc>
          <w:tcPr>
            <w:tcW w:w="1590" w:type="dxa"/>
            <w:vAlign w:val="center"/>
          </w:tcPr>
          <w:p w14:paraId="65C1A874" w14:textId="77777777" w:rsidR="006B7855" w:rsidRPr="00D54C98" w:rsidRDefault="006B7855" w:rsidP="00BB319F">
            <w:pPr>
              <w:rPr>
                <w:bCs/>
                <w:sz w:val="28"/>
                <w:szCs w:val="28"/>
              </w:rPr>
            </w:pPr>
            <w:r w:rsidRPr="00D54C98">
              <w:rPr>
                <w:bCs/>
                <w:sz w:val="28"/>
                <w:szCs w:val="28"/>
              </w:rPr>
              <w:t>Tiến độ thực hiện</w:t>
            </w:r>
          </w:p>
        </w:tc>
        <w:tc>
          <w:tcPr>
            <w:tcW w:w="4253" w:type="dxa"/>
            <w:vAlign w:val="center"/>
          </w:tcPr>
          <w:p w14:paraId="516855F6" w14:textId="77777777" w:rsidR="006B7855" w:rsidRPr="00D54C98" w:rsidRDefault="006B7855" w:rsidP="00BB319F">
            <w:pPr>
              <w:rPr>
                <w:sz w:val="28"/>
                <w:szCs w:val="28"/>
              </w:rPr>
            </w:pPr>
            <w:r w:rsidRPr="00D54C98">
              <w:rPr>
                <w:sz w:val="28"/>
                <w:szCs w:val="28"/>
              </w:rPr>
              <w:t>Cam kết thực hiện tiến độ 12 tháng (365 ngày) kể từ ngày 01/01/2026 đến 31/12/2026</w:t>
            </w:r>
          </w:p>
        </w:tc>
        <w:tc>
          <w:tcPr>
            <w:tcW w:w="2363" w:type="dxa"/>
            <w:vAlign w:val="center"/>
          </w:tcPr>
          <w:p w14:paraId="2AB6A6D2" w14:textId="77777777" w:rsidR="006B7855" w:rsidRPr="00D54C98" w:rsidRDefault="006B7855" w:rsidP="00BB319F">
            <w:pPr>
              <w:rPr>
                <w:sz w:val="28"/>
                <w:szCs w:val="28"/>
              </w:rPr>
            </w:pPr>
            <w:r w:rsidRPr="00D54C98">
              <w:rPr>
                <w:sz w:val="28"/>
                <w:szCs w:val="28"/>
              </w:rPr>
              <w:t>Không đáp ứng yêu cầu</w:t>
            </w:r>
          </w:p>
        </w:tc>
      </w:tr>
      <w:tr w:rsidR="00D54C98" w:rsidRPr="00D54C98" w14:paraId="7853BCC1"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45BED82B" w14:textId="77777777" w:rsidR="006B7855" w:rsidRPr="00D54C98" w:rsidRDefault="006B7855" w:rsidP="00BB319F">
            <w:pPr>
              <w:jc w:val="center"/>
              <w:rPr>
                <w:sz w:val="28"/>
                <w:szCs w:val="28"/>
              </w:rPr>
            </w:pPr>
            <w:r w:rsidRPr="00D54C98">
              <w:rPr>
                <w:sz w:val="28"/>
                <w:szCs w:val="28"/>
              </w:rPr>
              <w:lastRenderedPageBreak/>
              <w:t>5</w:t>
            </w:r>
          </w:p>
        </w:tc>
        <w:tc>
          <w:tcPr>
            <w:tcW w:w="1590" w:type="dxa"/>
            <w:vAlign w:val="center"/>
          </w:tcPr>
          <w:p w14:paraId="4577B42D" w14:textId="77777777" w:rsidR="006B7855" w:rsidRPr="00D54C98" w:rsidRDefault="006B7855" w:rsidP="00BB319F">
            <w:pPr>
              <w:pStyle w:val="Default"/>
              <w:jc w:val="both"/>
              <w:rPr>
                <w:color w:val="auto"/>
                <w:sz w:val="28"/>
                <w:szCs w:val="28"/>
              </w:rPr>
            </w:pPr>
            <w:r w:rsidRPr="00D54C98">
              <w:rPr>
                <w:color w:val="auto"/>
                <w:sz w:val="28"/>
                <w:szCs w:val="28"/>
              </w:rPr>
              <w:t xml:space="preserve">Bảo đảm điều kiện vệ sinh môi trường và các điều kiện khác như phòng cháy, chữa cháy, an toàn </w:t>
            </w:r>
          </w:p>
          <w:p w14:paraId="1C47F1ED" w14:textId="77777777" w:rsidR="006B7855" w:rsidRPr="00D54C98" w:rsidRDefault="006B7855" w:rsidP="00BB319F">
            <w:pPr>
              <w:rPr>
                <w:bCs/>
                <w:sz w:val="28"/>
                <w:szCs w:val="28"/>
              </w:rPr>
            </w:pPr>
          </w:p>
        </w:tc>
        <w:tc>
          <w:tcPr>
            <w:tcW w:w="4253" w:type="dxa"/>
            <w:vAlign w:val="center"/>
          </w:tcPr>
          <w:p w14:paraId="0F18C0D5" w14:textId="77777777" w:rsidR="006B7855" w:rsidRPr="00D54C98" w:rsidRDefault="006B7855" w:rsidP="00BB319F">
            <w:pPr>
              <w:pStyle w:val="Default"/>
              <w:jc w:val="both"/>
              <w:rPr>
                <w:color w:val="auto"/>
                <w:sz w:val="28"/>
                <w:szCs w:val="28"/>
              </w:rPr>
            </w:pPr>
            <w:r w:rsidRPr="00D54C98">
              <w:rPr>
                <w:color w:val="auto"/>
                <w:sz w:val="28"/>
                <w:szCs w:val="28"/>
              </w:rPr>
              <w:t xml:space="preserve">Nhà thầu có biện pháp giảm thiểu các yếu tố ảnh hưởng đến môi trường; có biện pháp phòng cháy, chữa cháy và biện pháp an toàn cho người, thiết bị, hàng hóa được đánh giá là hợp lý, khả thi và phù hợp với công tác vận tải bằng đường thủy </w:t>
            </w:r>
          </w:p>
        </w:tc>
        <w:tc>
          <w:tcPr>
            <w:tcW w:w="2363" w:type="dxa"/>
            <w:vAlign w:val="center"/>
          </w:tcPr>
          <w:p w14:paraId="43AA538A" w14:textId="77777777" w:rsidR="006B7855" w:rsidRPr="00D54C98" w:rsidRDefault="006B7855" w:rsidP="00BB319F">
            <w:pPr>
              <w:rPr>
                <w:sz w:val="28"/>
                <w:szCs w:val="28"/>
              </w:rPr>
            </w:pPr>
            <w:r w:rsidRPr="00D54C98">
              <w:rPr>
                <w:sz w:val="28"/>
                <w:szCs w:val="28"/>
              </w:rPr>
              <w:t>Không đáp ứng yêu cầu</w:t>
            </w:r>
          </w:p>
        </w:tc>
      </w:tr>
      <w:tr w:rsidR="00D54C98" w:rsidRPr="00D54C98" w14:paraId="28CDD251"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Merge w:val="restart"/>
            <w:vAlign w:val="center"/>
          </w:tcPr>
          <w:p w14:paraId="3F7D4055" w14:textId="77777777" w:rsidR="006B7855" w:rsidRPr="00D54C98" w:rsidRDefault="006B7855" w:rsidP="00BB319F">
            <w:pPr>
              <w:jc w:val="center"/>
              <w:rPr>
                <w:sz w:val="28"/>
                <w:szCs w:val="28"/>
              </w:rPr>
            </w:pPr>
          </w:p>
          <w:p w14:paraId="4319DF69" w14:textId="77777777" w:rsidR="006B7855" w:rsidRPr="00D54C98" w:rsidRDefault="006B7855" w:rsidP="00BB319F">
            <w:pPr>
              <w:jc w:val="center"/>
              <w:rPr>
                <w:sz w:val="28"/>
                <w:szCs w:val="28"/>
              </w:rPr>
            </w:pPr>
          </w:p>
          <w:p w14:paraId="529C9383" w14:textId="77777777" w:rsidR="006B7855" w:rsidRPr="00D54C98" w:rsidRDefault="006B7855" w:rsidP="00BB319F">
            <w:pPr>
              <w:jc w:val="center"/>
              <w:rPr>
                <w:sz w:val="28"/>
                <w:szCs w:val="28"/>
              </w:rPr>
            </w:pPr>
          </w:p>
          <w:p w14:paraId="5BD3F6A8" w14:textId="77777777" w:rsidR="006B7855" w:rsidRPr="00D54C98" w:rsidRDefault="006B7855" w:rsidP="00BB319F">
            <w:pPr>
              <w:jc w:val="center"/>
              <w:rPr>
                <w:sz w:val="28"/>
                <w:szCs w:val="28"/>
              </w:rPr>
            </w:pPr>
          </w:p>
          <w:p w14:paraId="6DAA84B6" w14:textId="77777777" w:rsidR="006B7855" w:rsidRPr="00D54C98" w:rsidRDefault="006B7855" w:rsidP="00BB319F">
            <w:pPr>
              <w:jc w:val="center"/>
              <w:rPr>
                <w:sz w:val="28"/>
                <w:szCs w:val="28"/>
              </w:rPr>
            </w:pPr>
          </w:p>
          <w:p w14:paraId="41B239B8" w14:textId="77777777" w:rsidR="006B7855" w:rsidRPr="00D54C98" w:rsidRDefault="006B7855" w:rsidP="00BB319F">
            <w:pPr>
              <w:jc w:val="center"/>
              <w:rPr>
                <w:sz w:val="28"/>
                <w:szCs w:val="28"/>
              </w:rPr>
            </w:pPr>
          </w:p>
          <w:p w14:paraId="6D5D2E91" w14:textId="77777777" w:rsidR="006B7855" w:rsidRPr="00D54C98" w:rsidRDefault="006B7855" w:rsidP="00BB319F">
            <w:pPr>
              <w:jc w:val="center"/>
              <w:rPr>
                <w:sz w:val="28"/>
                <w:szCs w:val="28"/>
              </w:rPr>
            </w:pPr>
          </w:p>
          <w:p w14:paraId="2AD07201" w14:textId="77777777" w:rsidR="006B7855" w:rsidRPr="00D54C98" w:rsidRDefault="006B7855" w:rsidP="00BB319F">
            <w:pPr>
              <w:jc w:val="center"/>
              <w:rPr>
                <w:sz w:val="28"/>
                <w:szCs w:val="28"/>
              </w:rPr>
            </w:pPr>
          </w:p>
          <w:p w14:paraId="19B2579F" w14:textId="77777777" w:rsidR="006B7855" w:rsidRPr="00D54C98" w:rsidRDefault="006B7855" w:rsidP="00BB319F">
            <w:pPr>
              <w:jc w:val="center"/>
              <w:rPr>
                <w:sz w:val="28"/>
                <w:szCs w:val="28"/>
              </w:rPr>
            </w:pPr>
          </w:p>
          <w:p w14:paraId="69D83EA2" w14:textId="77777777" w:rsidR="006B7855" w:rsidRPr="00D54C98" w:rsidRDefault="006B7855" w:rsidP="00BB319F">
            <w:pPr>
              <w:jc w:val="center"/>
              <w:rPr>
                <w:sz w:val="28"/>
                <w:szCs w:val="28"/>
              </w:rPr>
            </w:pPr>
          </w:p>
          <w:p w14:paraId="27E7BED2" w14:textId="77777777" w:rsidR="006B7855" w:rsidRPr="00D54C98" w:rsidRDefault="006B7855" w:rsidP="00BB319F">
            <w:pPr>
              <w:jc w:val="center"/>
              <w:rPr>
                <w:sz w:val="28"/>
                <w:szCs w:val="28"/>
              </w:rPr>
            </w:pPr>
          </w:p>
          <w:p w14:paraId="00903C55" w14:textId="77777777" w:rsidR="006B7855" w:rsidRPr="00D54C98" w:rsidRDefault="006B7855" w:rsidP="00BB319F">
            <w:pPr>
              <w:jc w:val="center"/>
              <w:rPr>
                <w:sz w:val="28"/>
                <w:szCs w:val="28"/>
              </w:rPr>
            </w:pPr>
          </w:p>
          <w:p w14:paraId="38674BA4" w14:textId="77777777" w:rsidR="006B7855" w:rsidRPr="00D54C98" w:rsidRDefault="006B7855" w:rsidP="00BB319F">
            <w:pPr>
              <w:jc w:val="center"/>
              <w:rPr>
                <w:sz w:val="28"/>
                <w:szCs w:val="28"/>
              </w:rPr>
            </w:pPr>
          </w:p>
          <w:p w14:paraId="6DCDA659" w14:textId="77777777" w:rsidR="006B7855" w:rsidRPr="00D54C98" w:rsidRDefault="006B7855" w:rsidP="00BB319F">
            <w:pPr>
              <w:jc w:val="center"/>
              <w:rPr>
                <w:sz w:val="28"/>
                <w:szCs w:val="28"/>
              </w:rPr>
            </w:pPr>
          </w:p>
          <w:p w14:paraId="05738C7C" w14:textId="77777777" w:rsidR="006B7855" w:rsidRPr="00D54C98" w:rsidRDefault="006B7855" w:rsidP="00BB319F">
            <w:pPr>
              <w:jc w:val="center"/>
              <w:rPr>
                <w:sz w:val="28"/>
                <w:szCs w:val="28"/>
              </w:rPr>
            </w:pPr>
          </w:p>
          <w:p w14:paraId="3CE1371B" w14:textId="77777777" w:rsidR="006B7855" w:rsidRPr="00D54C98" w:rsidRDefault="006B7855" w:rsidP="00BB319F">
            <w:pPr>
              <w:jc w:val="center"/>
              <w:rPr>
                <w:sz w:val="28"/>
                <w:szCs w:val="28"/>
              </w:rPr>
            </w:pPr>
          </w:p>
          <w:p w14:paraId="270BDA48" w14:textId="77777777" w:rsidR="006B7855" w:rsidRPr="00D54C98" w:rsidRDefault="006B7855" w:rsidP="00BB319F">
            <w:pPr>
              <w:jc w:val="center"/>
              <w:rPr>
                <w:sz w:val="28"/>
                <w:szCs w:val="28"/>
              </w:rPr>
            </w:pPr>
          </w:p>
          <w:p w14:paraId="0CC1BCF9" w14:textId="77777777" w:rsidR="006B7855" w:rsidRPr="00D54C98" w:rsidRDefault="006B7855" w:rsidP="00BB319F">
            <w:pPr>
              <w:jc w:val="center"/>
              <w:rPr>
                <w:sz w:val="28"/>
                <w:szCs w:val="28"/>
              </w:rPr>
            </w:pPr>
          </w:p>
          <w:p w14:paraId="7F7B5480" w14:textId="77777777" w:rsidR="006B7855" w:rsidRPr="00D54C98" w:rsidRDefault="006B7855" w:rsidP="00BB319F">
            <w:pPr>
              <w:jc w:val="center"/>
              <w:rPr>
                <w:sz w:val="28"/>
                <w:szCs w:val="28"/>
              </w:rPr>
            </w:pPr>
          </w:p>
          <w:p w14:paraId="3965AD9C" w14:textId="77777777" w:rsidR="006B7855" w:rsidRPr="00D54C98" w:rsidRDefault="006B7855" w:rsidP="00BB319F">
            <w:pPr>
              <w:jc w:val="center"/>
              <w:rPr>
                <w:sz w:val="28"/>
                <w:szCs w:val="28"/>
              </w:rPr>
            </w:pPr>
          </w:p>
          <w:p w14:paraId="0CC1FDEF" w14:textId="77777777" w:rsidR="006B7855" w:rsidRPr="00D54C98" w:rsidRDefault="006B7855" w:rsidP="00BB319F">
            <w:pPr>
              <w:jc w:val="center"/>
              <w:rPr>
                <w:sz w:val="28"/>
                <w:szCs w:val="28"/>
              </w:rPr>
            </w:pPr>
          </w:p>
          <w:p w14:paraId="09377F83" w14:textId="77777777" w:rsidR="006B7855" w:rsidRPr="00D54C98" w:rsidRDefault="006B7855" w:rsidP="00BB319F">
            <w:pPr>
              <w:jc w:val="center"/>
              <w:rPr>
                <w:sz w:val="28"/>
                <w:szCs w:val="28"/>
              </w:rPr>
            </w:pPr>
          </w:p>
          <w:p w14:paraId="31237538" w14:textId="77777777" w:rsidR="006B7855" w:rsidRPr="00D54C98" w:rsidRDefault="006B7855" w:rsidP="00BB319F">
            <w:pPr>
              <w:jc w:val="center"/>
              <w:rPr>
                <w:sz w:val="28"/>
                <w:szCs w:val="28"/>
              </w:rPr>
            </w:pPr>
          </w:p>
          <w:p w14:paraId="3854BAC3" w14:textId="77777777" w:rsidR="006B7855" w:rsidRPr="00D54C98" w:rsidRDefault="006B7855" w:rsidP="00BB319F">
            <w:pPr>
              <w:jc w:val="center"/>
              <w:rPr>
                <w:sz w:val="28"/>
                <w:szCs w:val="28"/>
              </w:rPr>
            </w:pPr>
          </w:p>
          <w:p w14:paraId="258DA761" w14:textId="77777777" w:rsidR="006B7855" w:rsidRPr="00D54C98" w:rsidRDefault="006B7855" w:rsidP="00BB319F">
            <w:pPr>
              <w:jc w:val="center"/>
              <w:rPr>
                <w:sz w:val="28"/>
                <w:szCs w:val="28"/>
              </w:rPr>
            </w:pPr>
          </w:p>
          <w:p w14:paraId="465AF43A" w14:textId="77777777" w:rsidR="006B7855" w:rsidRPr="00D54C98" w:rsidRDefault="006B7855" w:rsidP="00BB319F">
            <w:pPr>
              <w:jc w:val="center"/>
              <w:rPr>
                <w:sz w:val="28"/>
                <w:szCs w:val="28"/>
              </w:rPr>
            </w:pPr>
          </w:p>
          <w:p w14:paraId="2A58338E" w14:textId="77777777" w:rsidR="006B7855" w:rsidRPr="00D54C98" w:rsidRDefault="006B7855" w:rsidP="00BB319F">
            <w:pPr>
              <w:jc w:val="center"/>
              <w:rPr>
                <w:sz w:val="28"/>
                <w:szCs w:val="28"/>
              </w:rPr>
            </w:pPr>
            <w:r w:rsidRPr="00D54C98">
              <w:rPr>
                <w:sz w:val="28"/>
                <w:szCs w:val="28"/>
              </w:rPr>
              <w:t>6</w:t>
            </w:r>
          </w:p>
        </w:tc>
        <w:tc>
          <w:tcPr>
            <w:tcW w:w="1590" w:type="dxa"/>
            <w:vMerge w:val="restart"/>
            <w:vAlign w:val="center"/>
          </w:tcPr>
          <w:p w14:paraId="14BEAA4D" w14:textId="77777777" w:rsidR="006B7855" w:rsidRPr="00D54C98" w:rsidRDefault="006B7855" w:rsidP="00BB319F">
            <w:pPr>
              <w:pStyle w:val="Default"/>
              <w:jc w:val="both"/>
              <w:rPr>
                <w:color w:val="auto"/>
                <w:sz w:val="28"/>
                <w:szCs w:val="28"/>
              </w:rPr>
            </w:pPr>
          </w:p>
          <w:p w14:paraId="71980C09" w14:textId="77777777" w:rsidR="006B7855" w:rsidRPr="00D54C98" w:rsidRDefault="006B7855" w:rsidP="00BB319F">
            <w:pPr>
              <w:pStyle w:val="Default"/>
              <w:jc w:val="both"/>
              <w:rPr>
                <w:color w:val="auto"/>
                <w:sz w:val="28"/>
                <w:szCs w:val="28"/>
              </w:rPr>
            </w:pPr>
          </w:p>
          <w:p w14:paraId="71129AB8" w14:textId="77777777" w:rsidR="006B7855" w:rsidRPr="00D54C98" w:rsidRDefault="006B7855" w:rsidP="00BB319F">
            <w:pPr>
              <w:pStyle w:val="Default"/>
              <w:jc w:val="both"/>
              <w:rPr>
                <w:color w:val="auto"/>
                <w:sz w:val="28"/>
                <w:szCs w:val="28"/>
              </w:rPr>
            </w:pPr>
          </w:p>
          <w:p w14:paraId="71C682F2" w14:textId="77777777" w:rsidR="006B7855" w:rsidRPr="00D54C98" w:rsidRDefault="006B7855" w:rsidP="00BB319F">
            <w:pPr>
              <w:pStyle w:val="Default"/>
              <w:jc w:val="both"/>
              <w:rPr>
                <w:color w:val="auto"/>
                <w:sz w:val="28"/>
                <w:szCs w:val="28"/>
              </w:rPr>
            </w:pPr>
          </w:p>
          <w:p w14:paraId="679A72BA" w14:textId="77777777" w:rsidR="006B7855" w:rsidRPr="00D54C98" w:rsidRDefault="006B7855" w:rsidP="00BB319F">
            <w:pPr>
              <w:pStyle w:val="Default"/>
              <w:jc w:val="both"/>
              <w:rPr>
                <w:color w:val="auto"/>
                <w:sz w:val="28"/>
                <w:szCs w:val="28"/>
              </w:rPr>
            </w:pPr>
          </w:p>
          <w:p w14:paraId="2B302A4E" w14:textId="77777777" w:rsidR="006B7855" w:rsidRPr="00D54C98" w:rsidRDefault="006B7855" w:rsidP="00BB319F">
            <w:pPr>
              <w:pStyle w:val="Default"/>
              <w:jc w:val="both"/>
              <w:rPr>
                <w:color w:val="auto"/>
                <w:sz w:val="28"/>
                <w:szCs w:val="28"/>
              </w:rPr>
            </w:pPr>
          </w:p>
          <w:p w14:paraId="71D3B8EA" w14:textId="77777777" w:rsidR="006B7855" w:rsidRPr="00D54C98" w:rsidRDefault="006B7855" w:rsidP="00BB319F">
            <w:pPr>
              <w:pStyle w:val="Default"/>
              <w:jc w:val="both"/>
              <w:rPr>
                <w:color w:val="auto"/>
                <w:sz w:val="28"/>
                <w:szCs w:val="28"/>
              </w:rPr>
            </w:pPr>
          </w:p>
          <w:p w14:paraId="6269ED41" w14:textId="77777777" w:rsidR="006B7855" w:rsidRPr="00D54C98" w:rsidRDefault="006B7855" w:rsidP="00BB319F">
            <w:pPr>
              <w:pStyle w:val="Default"/>
              <w:jc w:val="both"/>
              <w:rPr>
                <w:color w:val="auto"/>
                <w:sz w:val="28"/>
                <w:szCs w:val="28"/>
              </w:rPr>
            </w:pPr>
          </w:p>
          <w:p w14:paraId="14BFC762" w14:textId="77777777" w:rsidR="006B7855" w:rsidRPr="00D54C98" w:rsidRDefault="006B7855" w:rsidP="00BB319F">
            <w:pPr>
              <w:pStyle w:val="Default"/>
              <w:jc w:val="both"/>
              <w:rPr>
                <w:color w:val="auto"/>
                <w:sz w:val="28"/>
                <w:szCs w:val="28"/>
              </w:rPr>
            </w:pPr>
          </w:p>
          <w:p w14:paraId="1C50BC3E" w14:textId="77777777" w:rsidR="006B7855" w:rsidRPr="00D54C98" w:rsidRDefault="006B7855" w:rsidP="00BB319F">
            <w:pPr>
              <w:pStyle w:val="Default"/>
              <w:jc w:val="both"/>
              <w:rPr>
                <w:color w:val="auto"/>
                <w:sz w:val="28"/>
                <w:szCs w:val="28"/>
              </w:rPr>
            </w:pPr>
          </w:p>
          <w:p w14:paraId="60524E7E" w14:textId="77777777" w:rsidR="006B7855" w:rsidRPr="00D54C98" w:rsidRDefault="006B7855" w:rsidP="00BB319F">
            <w:pPr>
              <w:pStyle w:val="Default"/>
              <w:jc w:val="both"/>
              <w:rPr>
                <w:color w:val="auto"/>
                <w:sz w:val="28"/>
                <w:szCs w:val="28"/>
              </w:rPr>
            </w:pPr>
          </w:p>
          <w:p w14:paraId="509A2BE9" w14:textId="77777777" w:rsidR="006B7855" w:rsidRPr="00D54C98" w:rsidRDefault="006B7855" w:rsidP="00BB319F">
            <w:pPr>
              <w:pStyle w:val="Default"/>
              <w:jc w:val="both"/>
              <w:rPr>
                <w:color w:val="auto"/>
                <w:sz w:val="28"/>
                <w:szCs w:val="28"/>
              </w:rPr>
            </w:pPr>
          </w:p>
          <w:p w14:paraId="45937850" w14:textId="77777777" w:rsidR="006B7855" w:rsidRPr="00D54C98" w:rsidRDefault="006B7855" w:rsidP="00BB319F">
            <w:pPr>
              <w:pStyle w:val="Default"/>
              <w:jc w:val="both"/>
              <w:rPr>
                <w:color w:val="auto"/>
                <w:sz w:val="28"/>
                <w:szCs w:val="28"/>
              </w:rPr>
            </w:pPr>
          </w:p>
          <w:p w14:paraId="457B79C4" w14:textId="77777777" w:rsidR="006B7855" w:rsidRPr="00D54C98" w:rsidRDefault="006B7855" w:rsidP="00BB319F">
            <w:pPr>
              <w:pStyle w:val="Default"/>
              <w:jc w:val="both"/>
              <w:rPr>
                <w:color w:val="auto"/>
                <w:sz w:val="28"/>
                <w:szCs w:val="28"/>
              </w:rPr>
            </w:pPr>
          </w:p>
          <w:p w14:paraId="2CFB32D7" w14:textId="77777777" w:rsidR="006B7855" w:rsidRPr="00D54C98" w:rsidRDefault="006B7855" w:rsidP="00BB319F">
            <w:pPr>
              <w:pStyle w:val="Default"/>
              <w:jc w:val="both"/>
              <w:rPr>
                <w:color w:val="auto"/>
                <w:sz w:val="28"/>
                <w:szCs w:val="28"/>
              </w:rPr>
            </w:pPr>
          </w:p>
          <w:p w14:paraId="3BDA2564" w14:textId="77777777" w:rsidR="006B7855" w:rsidRPr="00D54C98" w:rsidRDefault="006B7855" w:rsidP="00BB319F">
            <w:pPr>
              <w:pStyle w:val="Default"/>
              <w:jc w:val="both"/>
              <w:rPr>
                <w:color w:val="auto"/>
                <w:sz w:val="28"/>
                <w:szCs w:val="28"/>
              </w:rPr>
            </w:pPr>
          </w:p>
          <w:p w14:paraId="3AD94B83" w14:textId="77777777" w:rsidR="006B7855" w:rsidRPr="00D54C98" w:rsidRDefault="006B7855" w:rsidP="00BB319F">
            <w:pPr>
              <w:pStyle w:val="Default"/>
              <w:jc w:val="both"/>
              <w:rPr>
                <w:color w:val="auto"/>
                <w:sz w:val="28"/>
                <w:szCs w:val="28"/>
              </w:rPr>
            </w:pPr>
          </w:p>
          <w:p w14:paraId="3D32C6CB" w14:textId="77777777" w:rsidR="006B7855" w:rsidRPr="00D54C98" w:rsidRDefault="006B7855" w:rsidP="00BB319F">
            <w:pPr>
              <w:pStyle w:val="Default"/>
              <w:jc w:val="both"/>
              <w:rPr>
                <w:color w:val="auto"/>
                <w:sz w:val="28"/>
                <w:szCs w:val="28"/>
              </w:rPr>
            </w:pPr>
          </w:p>
          <w:p w14:paraId="60012A4B" w14:textId="77777777" w:rsidR="006B7855" w:rsidRPr="00D54C98" w:rsidRDefault="006B7855" w:rsidP="00BB319F">
            <w:pPr>
              <w:pStyle w:val="Default"/>
              <w:jc w:val="both"/>
              <w:rPr>
                <w:color w:val="auto"/>
                <w:sz w:val="28"/>
                <w:szCs w:val="28"/>
              </w:rPr>
            </w:pPr>
          </w:p>
          <w:p w14:paraId="27C06334" w14:textId="77777777" w:rsidR="006B7855" w:rsidRPr="00D54C98" w:rsidRDefault="006B7855" w:rsidP="00BB319F">
            <w:pPr>
              <w:pStyle w:val="Default"/>
              <w:jc w:val="both"/>
              <w:rPr>
                <w:color w:val="auto"/>
                <w:sz w:val="28"/>
                <w:szCs w:val="28"/>
              </w:rPr>
            </w:pPr>
          </w:p>
          <w:p w14:paraId="1AAA8135" w14:textId="77777777" w:rsidR="006B7855" w:rsidRPr="00D54C98" w:rsidRDefault="006B7855" w:rsidP="00BB319F">
            <w:pPr>
              <w:pStyle w:val="Default"/>
              <w:jc w:val="both"/>
              <w:rPr>
                <w:color w:val="auto"/>
                <w:sz w:val="28"/>
                <w:szCs w:val="28"/>
              </w:rPr>
            </w:pPr>
          </w:p>
          <w:p w14:paraId="1A2B9464" w14:textId="77777777" w:rsidR="006B7855" w:rsidRPr="00D54C98" w:rsidRDefault="006B7855" w:rsidP="00BB319F">
            <w:pPr>
              <w:pStyle w:val="Default"/>
              <w:jc w:val="both"/>
              <w:rPr>
                <w:color w:val="auto"/>
                <w:sz w:val="28"/>
                <w:szCs w:val="28"/>
              </w:rPr>
            </w:pPr>
          </w:p>
          <w:p w14:paraId="14E87468" w14:textId="77777777" w:rsidR="006B7855" w:rsidRPr="00D54C98" w:rsidRDefault="006B7855" w:rsidP="00BB319F">
            <w:pPr>
              <w:pStyle w:val="Default"/>
              <w:jc w:val="both"/>
              <w:rPr>
                <w:color w:val="auto"/>
                <w:sz w:val="28"/>
                <w:szCs w:val="28"/>
              </w:rPr>
            </w:pPr>
          </w:p>
          <w:p w14:paraId="34C67679" w14:textId="77777777" w:rsidR="006B7855" w:rsidRPr="00D54C98" w:rsidRDefault="006B7855" w:rsidP="00BB319F">
            <w:pPr>
              <w:pStyle w:val="Default"/>
              <w:jc w:val="both"/>
              <w:rPr>
                <w:color w:val="auto"/>
                <w:sz w:val="28"/>
                <w:szCs w:val="28"/>
              </w:rPr>
            </w:pPr>
          </w:p>
          <w:p w14:paraId="3CBBDEBE" w14:textId="77777777" w:rsidR="006B7855" w:rsidRPr="00D54C98" w:rsidRDefault="006B7855" w:rsidP="00BB319F">
            <w:pPr>
              <w:pStyle w:val="Default"/>
              <w:jc w:val="both"/>
              <w:rPr>
                <w:color w:val="auto"/>
                <w:sz w:val="28"/>
                <w:szCs w:val="28"/>
              </w:rPr>
            </w:pPr>
            <w:r w:rsidRPr="00D54C98">
              <w:rPr>
                <w:color w:val="auto"/>
                <w:sz w:val="28"/>
                <w:szCs w:val="28"/>
              </w:rPr>
              <w:t xml:space="preserve">Điều kiện pháp lý của phương tiện vận tải thuỷ </w:t>
            </w:r>
          </w:p>
          <w:p w14:paraId="0E5CF040" w14:textId="77777777" w:rsidR="006B7855" w:rsidRPr="00D54C98" w:rsidRDefault="006B7855" w:rsidP="00BB319F">
            <w:pPr>
              <w:rPr>
                <w:sz w:val="28"/>
                <w:szCs w:val="28"/>
              </w:rPr>
            </w:pPr>
          </w:p>
        </w:tc>
        <w:tc>
          <w:tcPr>
            <w:tcW w:w="4253" w:type="dxa"/>
            <w:tcBorders>
              <w:bottom w:val="single" w:sz="4" w:space="0" w:color="auto"/>
            </w:tcBorders>
            <w:vAlign w:val="center"/>
          </w:tcPr>
          <w:p w14:paraId="1E7976D5" w14:textId="77777777" w:rsidR="006B7855" w:rsidRPr="00D54C98" w:rsidRDefault="006B7855" w:rsidP="00BB319F">
            <w:pPr>
              <w:pStyle w:val="Default"/>
              <w:jc w:val="both"/>
              <w:rPr>
                <w:color w:val="auto"/>
                <w:sz w:val="28"/>
                <w:szCs w:val="28"/>
              </w:rPr>
            </w:pPr>
            <w:r w:rsidRPr="00D54C98">
              <w:rPr>
                <w:color w:val="auto"/>
                <w:sz w:val="28"/>
                <w:szCs w:val="28"/>
              </w:rPr>
              <w:lastRenderedPageBreak/>
              <w:t xml:space="preserve">6.1 Phương tiện vận tải thuỷ nhà thầu đề xuất trong E-HSDT là tài sản thuộc quyền sở hữu hợp pháp hoặc là tài sản thuộc quyền sử dụng hợp pháp của nhà thầu và nhà thầu có đầy đủ hồ sơ pháp lý theo quy định pháp luật </w:t>
            </w:r>
          </w:p>
        </w:tc>
        <w:tc>
          <w:tcPr>
            <w:tcW w:w="2363" w:type="dxa"/>
            <w:vMerge w:val="restart"/>
            <w:vAlign w:val="center"/>
          </w:tcPr>
          <w:p w14:paraId="34D089F8" w14:textId="77777777" w:rsidR="006B7855" w:rsidRPr="00D54C98" w:rsidRDefault="006B7855" w:rsidP="00BB319F">
            <w:pPr>
              <w:jc w:val="center"/>
              <w:rPr>
                <w:sz w:val="28"/>
                <w:szCs w:val="28"/>
              </w:rPr>
            </w:pPr>
          </w:p>
          <w:p w14:paraId="3F49B899" w14:textId="77777777" w:rsidR="006B7855" w:rsidRPr="00D54C98" w:rsidRDefault="006B7855" w:rsidP="00BB319F">
            <w:pPr>
              <w:jc w:val="center"/>
              <w:rPr>
                <w:sz w:val="28"/>
                <w:szCs w:val="28"/>
              </w:rPr>
            </w:pPr>
          </w:p>
          <w:p w14:paraId="0A3BA6B1" w14:textId="77777777" w:rsidR="006B7855" w:rsidRPr="00D54C98" w:rsidRDefault="006B7855" w:rsidP="00BB319F">
            <w:pPr>
              <w:jc w:val="center"/>
              <w:rPr>
                <w:sz w:val="28"/>
                <w:szCs w:val="28"/>
              </w:rPr>
            </w:pPr>
          </w:p>
          <w:p w14:paraId="2D76975D" w14:textId="77777777" w:rsidR="006B7855" w:rsidRPr="00D54C98" w:rsidRDefault="006B7855" w:rsidP="00BB319F">
            <w:pPr>
              <w:jc w:val="center"/>
              <w:rPr>
                <w:sz w:val="28"/>
                <w:szCs w:val="28"/>
              </w:rPr>
            </w:pPr>
          </w:p>
          <w:p w14:paraId="39999411" w14:textId="77777777" w:rsidR="006B7855" w:rsidRPr="00D54C98" w:rsidRDefault="006B7855" w:rsidP="00BB319F">
            <w:pPr>
              <w:jc w:val="center"/>
              <w:rPr>
                <w:sz w:val="28"/>
                <w:szCs w:val="28"/>
              </w:rPr>
            </w:pPr>
          </w:p>
          <w:p w14:paraId="53D21C61" w14:textId="77777777" w:rsidR="006B7855" w:rsidRPr="00D54C98" w:rsidRDefault="006B7855" w:rsidP="00BB319F">
            <w:pPr>
              <w:jc w:val="center"/>
              <w:rPr>
                <w:sz w:val="28"/>
                <w:szCs w:val="28"/>
              </w:rPr>
            </w:pPr>
          </w:p>
          <w:p w14:paraId="3E9784AA" w14:textId="77777777" w:rsidR="006B7855" w:rsidRPr="00D54C98" w:rsidRDefault="006B7855" w:rsidP="00BB319F">
            <w:pPr>
              <w:jc w:val="center"/>
              <w:rPr>
                <w:sz w:val="28"/>
                <w:szCs w:val="28"/>
              </w:rPr>
            </w:pPr>
          </w:p>
          <w:p w14:paraId="55C935EA" w14:textId="77777777" w:rsidR="006B7855" w:rsidRPr="00D54C98" w:rsidRDefault="006B7855" w:rsidP="00BB319F">
            <w:pPr>
              <w:jc w:val="center"/>
              <w:rPr>
                <w:sz w:val="28"/>
                <w:szCs w:val="28"/>
              </w:rPr>
            </w:pPr>
          </w:p>
          <w:p w14:paraId="232628C7" w14:textId="77777777" w:rsidR="006B7855" w:rsidRPr="00D54C98" w:rsidRDefault="006B7855" w:rsidP="00BB319F">
            <w:pPr>
              <w:jc w:val="center"/>
              <w:rPr>
                <w:sz w:val="28"/>
                <w:szCs w:val="28"/>
              </w:rPr>
            </w:pPr>
          </w:p>
          <w:p w14:paraId="09F71ACF" w14:textId="77777777" w:rsidR="006B7855" w:rsidRPr="00D54C98" w:rsidRDefault="006B7855" w:rsidP="00BB319F">
            <w:pPr>
              <w:jc w:val="center"/>
              <w:rPr>
                <w:sz w:val="28"/>
                <w:szCs w:val="28"/>
              </w:rPr>
            </w:pPr>
          </w:p>
          <w:p w14:paraId="67CC39BC" w14:textId="77777777" w:rsidR="006B7855" w:rsidRPr="00D54C98" w:rsidRDefault="006B7855" w:rsidP="00BB319F">
            <w:pPr>
              <w:jc w:val="center"/>
              <w:rPr>
                <w:sz w:val="28"/>
                <w:szCs w:val="28"/>
              </w:rPr>
            </w:pPr>
          </w:p>
          <w:p w14:paraId="20CFC687" w14:textId="77777777" w:rsidR="006B7855" w:rsidRPr="00D54C98" w:rsidRDefault="006B7855" w:rsidP="00BB319F">
            <w:pPr>
              <w:jc w:val="center"/>
              <w:rPr>
                <w:sz w:val="28"/>
                <w:szCs w:val="28"/>
              </w:rPr>
            </w:pPr>
          </w:p>
          <w:p w14:paraId="5DFFEBBA" w14:textId="77777777" w:rsidR="006B7855" w:rsidRPr="00D54C98" w:rsidRDefault="006B7855" w:rsidP="00BB319F">
            <w:pPr>
              <w:jc w:val="center"/>
              <w:rPr>
                <w:sz w:val="28"/>
                <w:szCs w:val="28"/>
              </w:rPr>
            </w:pPr>
          </w:p>
          <w:p w14:paraId="3E0331BC" w14:textId="77777777" w:rsidR="006B7855" w:rsidRPr="00D54C98" w:rsidRDefault="006B7855" w:rsidP="00BB319F">
            <w:pPr>
              <w:jc w:val="center"/>
              <w:rPr>
                <w:sz w:val="28"/>
                <w:szCs w:val="28"/>
              </w:rPr>
            </w:pPr>
          </w:p>
          <w:p w14:paraId="1B97DA1B" w14:textId="77777777" w:rsidR="006B7855" w:rsidRPr="00D54C98" w:rsidRDefault="006B7855" w:rsidP="00BB319F">
            <w:pPr>
              <w:jc w:val="center"/>
              <w:rPr>
                <w:sz w:val="28"/>
                <w:szCs w:val="28"/>
              </w:rPr>
            </w:pPr>
          </w:p>
          <w:p w14:paraId="2B970B5C" w14:textId="77777777" w:rsidR="006B7855" w:rsidRPr="00D54C98" w:rsidRDefault="006B7855" w:rsidP="00BB319F">
            <w:pPr>
              <w:jc w:val="center"/>
              <w:rPr>
                <w:sz w:val="28"/>
                <w:szCs w:val="28"/>
              </w:rPr>
            </w:pPr>
          </w:p>
          <w:p w14:paraId="5C9BA22F" w14:textId="77777777" w:rsidR="006B7855" w:rsidRPr="00D54C98" w:rsidRDefault="006B7855" w:rsidP="00BB319F">
            <w:pPr>
              <w:jc w:val="center"/>
              <w:rPr>
                <w:sz w:val="28"/>
                <w:szCs w:val="28"/>
              </w:rPr>
            </w:pPr>
          </w:p>
          <w:p w14:paraId="59A9D624" w14:textId="77777777" w:rsidR="006B7855" w:rsidRPr="00D54C98" w:rsidRDefault="006B7855" w:rsidP="00BB319F">
            <w:pPr>
              <w:jc w:val="center"/>
              <w:rPr>
                <w:sz w:val="28"/>
                <w:szCs w:val="28"/>
              </w:rPr>
            </w:pPr>
          </w:p>
          <w:p w14:paraId="63890096" w14:textId="77777777" w:rsidR="006B7855" w:rsidRPr="00D54C98" w:rsidRDefault="006B7855" w:rsidP="00BB319F">
            <w:pPr>
              <w:jc w:val="center"/>
              <w:rPr>
                <w:sz w:val="28"/>
                <w:szCs w:val="28"/>
              </w:rPr>
            </w:pPr>
          </w:p>
          <w:p w14:paraId="19E86EB5" w14:textId="77777777" w:rsidR="006B7855" w:rsidRPr="00D54C98" w:rsidRDefault="006B7855" w:rsidP="00BB319F">
            <w:pPr>
              <w:jc w:val="center"/>
              <w:rPr>
                <w:sz w:val="28"/>
                <w:szCs w:val="28"/>
              </w:rPr>
            </w:pPr>
          </w:p>
          <w:p w14:paraId="04EBE508" w14:textId="77777777" w:rsidR="006B7855" w:rsidRPr="00D54C98" w:rsidRDefault="006B7855" w:rsidP="00BB319F">
            <w:pPr>
              <w:jc w:val="center"/>
              <w:rPr>
                <w:sz w:val="28"/>
                <w:szCs w:val="28"/>
              </w:rPr>
            </w:pPr>
          </w:p>
          <w:p w14:paraId="68BE1E20" w14:textId="77777777" w:rsidR="006B7855" w:rsidRPr="00D54C98" w:rsidRDefault="006B7855" w:rsidP="00BB319F">
            <w:pPr>
              <w:jc w:val="center"/>
              <w:rPr>
                <w:sz w:val="28"/>
                <w:szCs w:val="28"/>
              </w:rPr>
            </w:pPr>
          </w:p>
          <w:p w14:paraId="609690A2" w14:textId="77777777" w:rsidR="006B7855" w:rsidRPr="00D54C98" w:rsidRDefault="006B7855" w:rsidP="00BB319F">
            <w:pPr>
              <w:jc w:val="center"/>
              <w:rPr>
                <w:sz w:val="28"/>
                <w:szCs w:val="28"/>
              </w:rPr>
            </w:pPr>
          </w:p>
          <w:p w14:paraId="0B377CFB" w14:textId="77777777" w:rsidR="006B7855" w:rsidRPr="00D54C98" w:rsidRDefault="006B7855" w:rsidP="00BB319F">
            <w:pPr>
              <w:jc w:val="center"/>
              <w:rPr>
                <w:sz w:val="28"/>
                <w:szCs w:val="28"/>
              </w:rPr>
            </w:pPr>
          </w:p>
          <w:p w14:paraId="6AC272C3" w14:textId="77777777" w:rsidR="006B7855" w:rsidRPr="00D54C98" w:rsidRDefault="006B7855" w:rsidP="00BB319F">
            <w:pPr>
              <w:jc w:val="center"/>
              <w:rPr>
                <w:sz w:val="28"/>
                <w:szCs w:val="28"/>
              </w:rPr>
            </w:pPr>
          </w:p>
          <w:p w14:paraId="40B98AEA" w14:textId="77777777" w:rsidR="006B7855" w:rsidRPr="00D54C98" w:rsidRDefault="006B7855" w:rsidP="00BB319F">
            <w:pPr>
              <w:jc w:val="center"/>
              <w:rPr>
                <w:sz w:val="28"/>
                <w:szCs w:val="28"/>
              </w:rPr>
            </w:pPr>
          </w:p>
          <w:p w14:paraId="29131850" w14:textId="77777777" w:rsidR="006B7855" w:rsidRPr="00D54C98" w:rsidRDefault="006B7855" w:rsidP="00BB319F">
            <w:pPr>
              <w:jc w:val="center"/>
              <w:rPr>
                <w:sz w:val="28"/>
                <w:szCs w:val="28"/>
              </w:rPr>
            </w:pPr>
          </w:p>
          <w:p w14:paraId="5C987EB7" w14:textId="77777777" w:rsidR="006B7855" w:rsidRPr="00D54C98" w:rsidRDefault="006B7855" w:rsidP="00BB319F">
            <w:pPr>
              <w:jc w:val="center"/>
              <w:rPr>
                <w:sz w:val="28"/>
                <w:szCs w:val="28"/>
              </w:rPr>
            </w:pPr>
          </w:p>
          <w:p w14:paraId="61422186" w14:textId="77777777" w:rsidR="006B7855" w:rsidRPr="00D54C98" w:rsidRDefault="006B7855" w:rsidP="00BB319F">
            <w:pPr>
              <w:jc w:val="center"/>
              <w:rPr>
                <w:sz w:val="28"/>
                <w:szCs w:val="28"/>
              </w:rPr>
            </w:pPr>
          </w:p>
          <w:p w14:paraId="410CF2DD" w14:textId="77777777" w:rsidR="006B7855" w:rsidRPr="00D54C98" w:rsidRDefault="006B7855" w:rsidP="00BB319F">
            <w:pPr>
              <w:jc w:val="center"/>
              <w:rPr>
                <w:sz w:val="28"/>
                <w:szCs w:val="28"/>
              </w:rPr>
            </w:pPr>
            <w:r w:rsidRPr="00D54C98">
              <w:rPr>
                <w:sz w:val="28"/>
                <w:szCs w:val="28"/>
              </w:rPr>
              <w:t>Không đáp ứng yêu cầu</w:t>
            </w:r>
          </w:p>
        </w:tc>
      </w:tr>
      <w:tr w:rsidR="00D54C98" w:rsidRPr="00D54C98" w14:paraId="58097B27"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Merge/>
            <w:vAlign w:val="center"/>
          </w:tcPr>
          <w:p w14:paraId="7B0A3295" w14:textId="77777777" w:rsidR="006B7855" w:rsidRPr="00D54C98" w:rsidRDefault="006B7855" w:rsidP="00BB319F">
            <w:pPr>
              <w:jc w:val="center"/>
              <w:rPr>
                <w:sz w:val="28"/>
                <w:szCs w:val="28"/>
              </w:rPr>
            </w:pPr>
          </w:p>
        </w:tc>
        <w:tc>
          <w:tcPr>
            <w:tcW w:w="1590" w:type="dxa"/>
            <w:vMerge/>
            <w:vAlign w:val="center"/>
          </w:tcPr>
          <w:p w14:paraId="51437111" w14:textId="77777777" w:rsidR="006B7855" w:rsidRPr="00D54C98" w:rsidRDefault="006B7855" w:rsidP="00BB319F">
            <w:pPr>
              <w:pStyle w:val="Default"/>
              <w:jc w:val="both"/>
              <w:rPr>
                <w:color w:val="auto"/>
                <w:sz w:val="28"/>
                <w:szCs w:val="28"/>
              </w:rPr>
            </w:pPr>
          </w:p>
        </w:tc>
        <w:tc>
          <w:tcPr>
            <w:tcW w:w="4253" w:type="dxa"/>
            <w:tcBorders>
              <w:top w:val="single" w:sz="4" w:space="0" w:color="auto"/>
              <w:bottom w:val="single" w:sz="4" w:space="0" w:color="auto"/>
            </w:tcBorders>
            <w:vAlign w:val="center"/>
          </w:tcPr>
          <w:p w14:paraId="23558B98" w14:textId="77777777" w:rsidR="006B7855" w:rsidRPr="00D54C98" w:rsidRDefault="006B7855" w:rsidP="00BB319F">
            <w:pPr>
              <w:pStyle w:val="Default"/>
              <w:jc w:val="both"/>
              <w:rPr>
                <w:color w:val="auto"/>
                <w:sz w:val="28"/>
                <w:szCs w:val="28"/>
                <w:lang w:val="nl-NL"/>
              </w:rPr>
            </w:pPr>
            <w:r w:rsidRPr="00D54C98">
              <w:rPr>
                <w:color w:val="auto"/>
                <w:spacing w:val="4"/>
                <w:sz w:val="27"/>
                <w:szCs w:val="27"/>
                <w:lang w:val="nl-NL" w:eastAsia="ja-JP"/>
              </w:rPr>
              <w:t xml:space="preserve">6.2 Nhà thầu cam kết phải luôn đảm bảo các phương tiện vận chuyển đảm bảo kỹ thuật để vận hành, các giấy đăng ký, đăng kiểm phải đảm bảo theo quy định của Pháp luật, số lượng nhân lực trên phương tiện định biên cho từng phương tiện vận chuyển phải đầy đủ, nhân lực phải có chứng chỉ theo quy định hiện hành của Pháp luật. Nếu phương tiện của bên B bị chìm đắm và làm tổn thất than mà phương tiện vận chuyển không đảm bảo kỹ thuật để vận hành, các giấy đăng ký, đăng kiểm không đảm bảo theo quy định của Pháp luật, số lượng nhân lực trên phương tiện định biên cho từng phương tiện vận chuyển chưa đầy đủ, nhân lực chưa có chứng chỉ theo quy định hiện hành của Pháp luật và đơn vị Bảo hiểm hàng hoá không bồi thường thì nhà thầu  phải bồi thường </w:t>
            </w:r>
            <w:r w:rsidRPr="00D54C98">
              <w:rPr>
                <w:color w:val="auto"/>
                <w:spacing w:val="4"/>
                <w:sz w:val="27"/>
                <w:szCs w:val="27"/>
                <w:lang w:val="nl-NL" w:eastAsia="ja-JP"/>
              </w:rPr>
              <w:lastRenderedPageBreak/>
              <w:t>cho Công ty chế biến than Quảng Ninh -TKV 100% giá trị số lượng hàng tổn thất.</w:t>
            </w:r>
          </w:p>
        </w:tc>
        <w:tc>
          <w:tcPr>
            <w:tcW w:w="2363" w:type="dxa"/>
            <w:vMerge/>
            <w:vAlign w:val="center"/>
          </w:tcPr>
          <w:p w14:paraId="23D907B5" w14:textId="77777777" w:rsidR="006B7855" w:rsidRPr="00D54C98" w:rsidRDefault="006B7855" w:rsidP="00BB319F">
            <w:pPr>
              <w:jc w:val="center"/>
              <w:rPr>
                <w:sz w:val="28"/>
                <w:szCs w:val="28"/>
                <w:lang w:val="nl-NL"/>
              </w:rPr>
            </w:pPr>
          </w:p>
        </w:tc>
      </w:tr>
      <w:tr w:rsidR="00D54C98" w:rsidRPr="00D54C98" w14:paraId="5ECCD167" w14:textId="77777777" w:rsidTr="00BB319F">
        <w:tblPrEx>
          <w:tblBorders>
            <w:insideH w:val="single" w:sz="4" w:space="0" w:color="auto"/>
            <w:insideV w:val="single" w:sz="4" w:space="0" w:color="auto"/>
          </w:tblBorders>
          <w:tblCellMar>
            <w:left w:w="108" w:type="dxa"/>
            <w:right w:w="108" w:type="dxa"/>
          </w:tblCellMar>
        </w:tblPrEx>
        <w:trPr>
          <w:trHeight w:val="296"/>
        </w:trPr>
        <w:tc>
          <w:tcPr>
            <w:tcW w:w="705" w:type="dxa"/>
            <w:vMerge/>
            <w:tcBorders>
              <w:bottom w:val="single" w:sz="4" w:space="0" w:color="auto"/>
            </w:tcBorders>
            <w:vAlign w:val="center"/>
          </w:tcPr>
          <w:p w14:paraId="7EC65D2F" w14:textId="77777777" w:rsidR="006B7855" w:rsidRPr="00D54C98" w:rsidRDefault="006B7855" w:rsidP="00BB319F">
            <w:pPr>
              <w:jc w:val="center"/>
              <w:rPr>
                <w:sz w:val="28"/>
                <w:szCs w:val="28"/>
                <w:lang w:val="nl-NL"/>
              </w:rPr>
            </w:pPr>
          </w:p>
        </w:tc>
        <w:tc>
          <w:tcPr>
            <w:tcW w:w="1590" w:type="dxa"/>
            <w:vMerge/>
            <w:tcBorders>
              <w:bottom w:val="single" w:sz="4" w:space="0" w:color="auto"/>
            </w:tcBorders>
            <w:vAlign w:val="center"/>
          </w:tcPr>
          <w:p w14:paraId="1AF1C1FF" w14:textId="77777777" w:rsidR="006B7855" w:rsidRPr="00D54C98" w:rsidRDefault="006B7855" w:rsidP="00BB319F">
            <w:pPr>
              <w:pStyle w:val="Default"/>
              <w:jc w:val="both"/>
              <w:rPr>
                <w:color w:val="auto"/>
                <w:sz w:val="28"/>
                <w:szCs w:val="28"/>
                <w:lang w:val="nl-NL"/>
              </w:rPr>
            </w:pPr>
          </w:p>
        </w:tc>
        <w:tc>
          <w:tcPr>
            <w:tcW w:w="4253" w:type="dxa"/>
            <w:tcBorders>
              <w:top w:val="single" w:sz="4" w:space="0" w:color="auto"/>
              <w:bottom w:val="single" w:sz="4" w:space="0" w:color="auto"/>
            </w:tcBorders>
            <w:vAlign w:val="center"/>
          </w:tcPr>
          <w:p w14:paraId="47AC1918" w14:textId="77777777" w:rsidR="006B7855" w:rsidRPr="00D54C98" w:rsidRDefault="006B7855" w:rsidP="00BB319F">
            <w:pPr>
              <w:pStyle w:val="Default"/>
              <w:jc w:val="both"/>
              <w:rPr>
                <w:color w:val="auto"/>
                <w:sz w:val="28"/>
                <w:szCs w:val="28"/>
                <w:lang w:val="nl-NL"/>
              </w:rPr>
            </w:pPr>
            <w:r w:rsidRPr="00D54C98">
              <w:rPr>
                <w:color w:val="auto"/>
                <w:spacing w:val="4"/>
                <w:sz w:val="27"/>
                <w:szCs w:val="27"/>
                <w:lang w:val="nl-NL" w:eastAsia="ja-JP"/>
              </w:rPr>
              <w:t>6.3 Nhà thầu cam kết thực hiện đúng tỷ lệ hao hụt trong quá trình vận chuyền theo đúng quy định tại các thời điểm do Tập Đoàn Công nghiệp Than - Khoáng sản Việt Nam hoặc/và Công ty Chế biến than Quảng Ninh - TKV ban hành - Nếu nhà thầu để tỷ lệ hao hụt vượt quá tỷ lệ hao hụt cho phép nêu trên thì nhà thầu phải bồi thường cho Công ty chế biến than Quảng Ninh -TKV 100% giá trị số lượng hàng vượt quá so với tỷ lệ quy định theo giá than của Công ty chế biến than Quảng Ninh -TKV tại từng thời điểm và không được tính cước vận chuyển đối với khối lượng hàng hoá bị hao hụt</w:t>
            </w:r>
          </w:p>
        </w:tc>
        <w:tc>
          <w:tcPr>
            <w:tcW w:w="2363" w:type="dxa"/>
            <w:vMerge/>
            <w:tcBorders>
              <w:bottom w:val="single" w:sz="4" w:space="0" w:color="auto"/>
            </w:tcBorders>
            <w:vAlign w:val="center"/>
          </w:tcPr>
          <w:p w14:paraId="304B962C" w14:textId="77777777" w:rsidR="006B7855" w:rsidRPr="00D54C98" w:rsidRDefault="006B7855" w:rsidP="00BB319F">
            <w:pPr>
              <w:jc w:val="center"/>
              <w:rPr>
                <w:sz w:val="28"/>
                <w:szCs w:val="28"/>
                <w:lang w:val="nl-NL"/>
              </w:rPr>
            </w:pPr>
          </w:p>
        </w:tc>
      </w:tr>
    </w:tbl>
    <w:p w14:paraId="30812BA3" w14:textId="77777777" w:rsidR="0022555B" w:rsidRPr="00D54C98" w:rsidRDefault="0022555B">
      <w:pPr>
        <w:rPr>
          <w:lang w:val="nl-NL"/>
        </w:rPr>
      </w:pPr>
    </w:p>
    <w:sectPr w:rsidR="0022555B" w:rsidRPr="00D54C98"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78F9" w14:textId="77777777" w:rsidR="004E328A" w:rsidRDefault="004E328A" w:rsidP="006B7855">
      <w:r>
        <w:separator/>
      </w:r>
    </w:p>
  </w:endnote>
  <w:endnote w:type="continuationSeparator" w:id="0">
    <w:p w14:paraId="06CC0B6C" w14:textId="77777777" w:rsidR="004E328A" w:rsidRDefault="004E328A" w:rsidP="006B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2B3B" w14:textId="77777777" w:rsidR="004E328A" w:rsidRDefault="004E328A" w:rsidP="006B7855">
      <w:r>
        <w:separator/>
      </w:r>
    </w:p>
  </w:footnote>
  <w:footnote w:type="continuationSeparator" w:id="0">
    <w:p w14:paraId="6CC374C5" w14:textId="77777777" w:rsidR="004E328A" w:rsidRDefault="004E328A" w:rsidP="006B7855">
      <w:r>
        <w:continuationSeparator/>
      </w:r>
    </w:p>
  </w:footnote>
  <w:footnote w:id="1">
    <w:p w14:paraId="728A37D4" w14:textId="77777777" w:rsidR="006B7855" w:rsidRPr="008110CC" w:rsidRDefault="006B7855" w:rsidP="006B7855">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2">
    <w:p w14:paraId="3B8CB0EF" w14:textId="77777777" w:rsidR="006B7855" w:rsidRPr="008110CC" w:rsidRDefault="006B7855" w:rsidP="006B7855">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55"/>
    <w:rsid w:val="00044C4A"/>
    <w:rsid w:val="0022555B"/>
    <w:rsid w:val="003B7AB7"/>
    <w:rsid w:val="003D7A2E"/>
    <w:rsid w:val="004E328A"/>
    <w:rsid w:val="0052733D"/>
    <w:rsid w:val="00675C07"/>
    <w:rsid w:val="006B7855"/>
    <w:rsid w:val="006E6DC0"/>
    <w:rsid w:val="007650B0"/>
    <w:rsid w:val="00924A31"/>
    <w:rsid w:val="00B6551D"/>
    <w:rsid w:val="00B95EEB"/>
    <w:rsid w:val="00D5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E432"/>
  <w15:chartTrackingRefBased/>
  <w15:docId w15:val="{A8B33340-976D-4200-9CBD-59340551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55"/>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6B785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785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785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785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6B785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6B785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6B7855"/>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6B7855"/>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6B7855"/>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8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85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B78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78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78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78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78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78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785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7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85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78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7855"/>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6B7855"/>
    <w:rPr>
      <w:i/>
      <w:iCs/>
      <w:color w:val="404040" w:themeColor="text1" w:themeTint="BF"/>
    </w:rPr>
  </w:style>
  <w:style w:type="paragraph" w:styleId="ListParagraph">
    <w:name w:val="List Paragraph"/>
    <w:basedOn w:val="Normal"/>
    <w:uiPriority w:val="34"/>
    <w:qFormat/>
    <w:rsid w:val="006B7855"/>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6B7855"/>
    <w:rPr>
      <w:i/>
      <w:iCs/>
      <w:color w:val="2F5496" w:themeColor="accent1" w:themeShade="BF"/>
    </w:rPr>
  </w:style>
  <w:style w:type="paragraph" w:styleId="IntenseQuote">
    <w:name w:val="Intense Quote"/>
    <w:basedOn w:val="Normal"/>
    <w:next w:val="Normal"/>
    <w:link w:val="IntenseQuoteChar"/>
    <w:uiPriority w:val="30"/>
    <w:qFormat/>
    <w:rsid w:val="006B785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6B7855"/>
    <w:rPr>
      <w:i/>
      <w:iCs/>
      <w:color w:val="2F5496" w:themeColor="accent1" w:themeShade="BF"/>
    </w:rPr>
  </w:style>
  <w:style w:type="character" w:styleId="IntenseReference">
    <w:name w:val="Intense Reference"/>
    <w:basedOn w:val="DefaultParagraphFont"/>
    <w:uiPriority w:val="32"/>
    <w:qFormat/>
    <w:rsid w:val="006B7855"/>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B785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B7855"/>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6B7855"/>
    <w:rPr>
      <w:vertAlign w:val="superscript"/>
    </w:rPr>
  </w:style>
  <w:style w:type="paragraph" w:customStyle="1" w:styleId="Default">
    <w:name w:val="Default"/>
    <w:rsid w:val="006B7855"/>
    <w:pPr>
      <w:autoSpaceDE w:val="0"/>
      <w:autoSpaceDN w:val="0"/>
      <w:adjustRightInd w:val="0"/>
      <w:spacing w:after="0" w:line="240" w:lineRule="auto"/>
    </w:pPr>
    <w:rPr>
      <w:rFonts w:eastAsia="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Tuấn</dc:creator>
  <cp:keywords/>
  <dc:description/>
  <cp:lastModifiedBy>Nguyễn Quang Tuấn</cp:lastModifiedBy>
  <cp:revision>2</cp:revision>
  <dcterms:created xsi:type="dcterms:W3CDTF">2025-12-02T10:13:00Z</dcterms:created>
  <dcterms:modified xsi:type="dcterms:W3CDTF">2025-12-02T10:14:00Z</dcterms:modified>
</cp:coreProperties>
</file>