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8B06C" w14:textId="77777777" w:rsidR="00091EFE" w:rsidRPr="007214E9" w:rsidRDefault="00091EFE" w:rsidP="00091EFE">
      <w:pPr>
        <w:spacing w:before="120" w:after="120"/>
        <w:ind w:firstLine="709"/>
        <w:outlineLvl w:val="1"/>
        <w:rPr>
          <w:rFonts w:eastAsia="MS Mincho"/>
          <w:b/>
          <w:color w:val="000000" w:themeColor="text1"/>
          <w:szCs w:val="24"/>
          <w:lang w:val="vi-VN" w:eastAsia="vi-VN"/>
        </w:rPr>
      </w:pPr>
      <w:r w:rsidRPr="007214E9">
        <w:rPr>
          <w:b/>
          <w:bCs/>
          <w:color w:val="000000" w:themeColor="text1"/>
          <w:sz w:val="28"/>
          <w:szCs w:val="28"/>
          <w:lang w:val="vi-VN"/>
        </w:rPr>
        <w:t xml:space="preserve">Mục </w:t>
      </w:r>
      <w:r w:rsidRPr="007214E9">
        <w:rPr>
          <w:b/>
          <w:bCs/>
          <w:color w:val="000000" w:themeColor="text1"/>
          <w:sz w:val="28"/>
          <w:szCs w:val="28"/>
          <w:lang w:val="pl-PL"/>
        </w:rPr>
        <w:t>3</w:t>
      </w:r>
      <w:r w:rsidRPr="007214E9">
        <w:rPr>
          <w:b/>
          <w:bCs/>
          <w:color w:val="000000" w:themeColor="text1"/>
          <w:sz w:val="28"/>
          <w:szCs w:val="28"/>
          <w:lang w:val="vi-VN"/>
        </w:rPr>
        <w:t>. Tiêu chuẩn đánh giá về kỹ thuật</w:t>
      </w:r>
      <w:r w:rsidRPr="007214E9">
        <w:rPr>
          <w:rFonts w:eastAsia="MS Mincho"/>
          <w:b/>
          <w:color w:val="000000" w:themeColor="text1"/>
          <w:szCs w:val="24"/>
          <w:lang w:val="vi-VN" w:eastAsia="vi-VN"/>
        </w:rPr>
        <w:t xml:space="preserve"> </w:t>
      </w:r>
    </w:p>
    <w:p w14:paraId="3B04F88D" w14:textId="77777777" w:rsidR="00091EFE" w:rsidRPr="007214E9" w:rsidRDefault="00091EFE" w:rsidP="00091EFE">
      <w:pPr>
        <w:spacing w:before="120" w:after="120"/>
        <w:ind w:firstLine="709"/>
        <w:outlineLvl w:val="2"/>
        <w:rPr>
          <w:color w:val="000000" w:themeColor="text1"/>
          <w:sz w:val="28"/>
          <w:szCs w:val="28"/>
        </w:rPr>
      </w:pPr>
      <w:r w:rsidRPr="007214E9">
        <w:rPr>
          <w:b/>
          <w:iCs/>
          <w:color w:val="000000" w:themeColor="text1"/>
          <w:sz w:val="28"/>
          <w:szCs w:val="28"/>
        </w:rPr>
        <w:t>3.2. Đánh giá theo phương pháp</w:t>
      </w:r>
      <w:r w:rsidRPr="007214E9" w:rsidDel="00BE4476">
        <w:rPr>
          <w:b/>
          <w:iCs/>
          <w:color w:val="000000" w:themeColor="text1"/>
          <w:sz w:val="28"/>
          <w:szCs w:val="28"/>
        </w:rPr>
        <w:t xml:space="preserve"> </w:t>
      </w:r>
      <w:r w:rsidRPr="007214E9">
        <w:rPr>
          <w:b/>
          <w:iCs/>
          <w:color w:val="000000" w:themeColor="text1"/>
          <w:sz w:val="28"/>
          <w:szCs w:val="28"/>
        </w:rPr>
        <w:t>đạt/không đạt</w:t>
      </w:r>
      <w:r w:rsidRPr="007214E9">
        <w:rPr>
          <w:rStyle w:val="FootnoteReference"/>
          <w:b/>
          <w:iCs/>
          <w:color w:val="000000" w:themeColor="text1"/>
          <w:sz w:val="28"/>
          <w:szCs w:val="28"/>
        </w:rPr>
        <w:footnoteReference w:id="1"/>
      </w:r>
      <w:r w:rsidRPr="007214E9">
        <w:rPr>
          <w:b/>
          <w:color w:val="000000" w:themeColor="text1"/>
          <w:sz w:val="28"/>
          <w:szCs w:val="28"/>
        </w:rPr>
        <w:t>:</w:t>
      </w:r>
    </w:p>
    <w:p w14:paraId="48C0007B" w14:textId="77777777" w:rsidR="00091EFE" w:rsidRPr="007214E9" w:rsidRDefault="00091EFE" w:rsidP="00091EFE">
      <w:pPr>
        <w:spacing w:before="120" w:after="120"/>
        <w:ind w:firstLine="709"/>
        <w:rPr>
          <w:color w:val="000000" w:themeColor="text1"/>
          <w:sz w:val="28"/>
          <w:szCs w:val="28"/>
        </w:rPr>
      </w:pPr>
      <w:r w:rsidRPr="007214E9">
        <w:rPr>
          <w:color w:val="000000" w:themeColor="text1"/>
          <w:sz w:val="28"/>
          <w:szCs w:val="28"/>
        </w:rPr>
        <w:t>Căn cứ quy mô, tính chất của gói thầu mà xác định mức độ yêu cầu đối với từng nội dung. Đối với các tiêu chí đánh giá tổng quát, chỉ sử dụng tiêu chí đạt, không đạt</w:t>
      </w:r>
      <w:r w:rsidRPr="007214E9">
        <w:rPr>
          <w:color w:val="000000" w:themeColor="text1"/>
          <w:sz w:val="28"/>
          <w:szCs w:val="28"/>
          <w:lang w:val="vi-VN"/>
        </w:rPr>
        <w:t>.</w:t>
      </w:r>
      <w:r w:rsidRPr="007214E9" w:rsidDel="00D822D6">
        <w:rPr>
          <w:color w:val="000000" w:themeColor="text1"/>
          <w:sz w:val="28"/>
          <w:szCs w:val="28"/>
        </w:rPr>
        <w:t xml:space="preserve"> </w:t>
      </w:r>
      <w:r w:rsidRPr="007214E9">
        <w:rPr>
          <w:color w:val="000000" w:themeColor="text1"/>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8DF3E90" w14:textId="77777777" w:rsidR="00091EFE" w:rsidRPr="007214E9" w:rsidRDefault="00091EFE" w:rsidP="00091EFE">
      <w:pPr>
        <w:spacing w:before="120" w:after="120"/>
        <w:ind w:firstLine="709"/>
        <w:rPr>
          <w:color w:val="000000" w:themeColor="text1"/>
          <w:sz w:val="28"/>
          <w:szCs w:val="28"/>
        </w:rPr>
      </w:pPr>
      <w:r w:rsidRPr="007214E9">
        <w:rPr>
          <w:color w:val="000000" w:themeColor="text1"/>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776FBF8C" w14:textId="77777777" w:rsidR="00091EFE" w:rsidRPr="007214E9" w:rsidRDefault="00091EFE" w:rsidP="00091EFE">
      <w:pPr>
        <w:spacing w:before="120" w:after="120"/>
        <w:ind w:firstLine="709"/>
        <w:rPr>
          <w:color w:val="000000" w:themeColor="text1"/>
          <w:sz w:val="28"/>
          <w:szCs w:val="28"/>
        </w:rPr>
      </w:pPr>
      <w:r w:rsidRPr="007214E9">
        <w:rPr>
          <w:color w:val="000000" w:themeColor="text1"/>
          <w:sz w:val="28"/>
          <w:szCs w:val="28"/>
        </w:rPr>
        <w:t>E-HSDT được đánh giá là đáp ứng yêu cầu về kỹ thuật khi có tất cả các tiêu chí tổng quát đều được đánh giá là đạt.</w:t>
      </w:r>
    </w:p>
    <w:tbl>
      <w:tblPr>
        <w:tblStyle w:val="TableGrid"/>
        <w:tblW w:w="0" w:type="auto"/>
        <w:jc w:val="center"/>
        <w:tblLook w:val="04A0" w:firstRow="1" w:lastRow="0" w:firstColumn="1" w:lastColumn="0" w:noHBand="0" w:noVBand="1"/>
      </w:tblPr>
      <w:tblGrid>
        <w:gridCol w:w="846"/>
        <w:gridCol w:w="2267"/>
        <w:gridCol w:w="2976"/>
        <w:gridCol w:w="2973"/>
      </w:tblGrid>
      <w:tr w:rsidR="007214E9" w:rsidRPr="007214E9" w14:paraId="4147BE81" w14:textId="77777777" w:rsidTr="00823494">
        <w:trPr>
          <w:jc w:val="center"/>
        </w:trPr>
        <w:tc>
          <w:tcPr>
            <w:tcW w:w="846" w:type="dxa"/>
            <w:vMerge w:val="restart"/>
            <w:vAlign w:val="center"/>
          </w:tcPr>
          <w:p w14:paraId="151468A1" w14:textId="77777777" w:rsidR="00091EFE" w:rsidRPr="007214E9" w:rsidRDefault="00091EFE" w:rsidP="00823494">
            <w:pPr>
              <w:spacing w:before="120" w:after="120"/>
              <w:rPr>
                <w:b/>
                <w:bCs/>
                <w:color w:val="000000" w:themeColor="text1"/>
                <w:sz w:val="26"/>
                <w:szCs w:val="26"/>
                <w:lang w:val="es-ES"/>
              </w:rPr>
            </w:pPr>
            <w:r w:rsidRPr="007214E9">
              <w:rPr>
                <w:b/>
                <w:bCs/>
                <w:color w:val="000000" w:themeColor="text1"/>
                <w:sz w:val="26"/>
                <w:szCs w:val="26"/>
                <w:lang w:val="es-ES"/>
              </w:rPr>
              <w:t>STT</w:t>
            </w:r>
          </w:p>
        </w:tc>
        <w:tc>
          <w:tcPr>
            <w:tcW w:w="2267" w:type="dxa"/>
            <w:vMerge w:val="restart"/>
            <w:vAlign w:val="center"/>
          </w:tcPr>
          <w:p w14:paraId="4AFEAB40" w14:textId="77777777" w:rsidR="00091EFE" w:rsidRPr="007214E9" w:rsidRDefault="00091EFE" w:rsidP="00823494">
            <w:pPr>
              <w:spacing w:before="120" w:after="120"/>
              <w:jc w:val="center"/>
              <w:rPr>
                <w:b/>
                <w:bCs/>
                <w:color w:val="000000" w:themeColor="text1"/>
                <w:sz w:val="26"/>
                <w:szCs w:val="26"/>
                <w:lang w:val="es-ES"/>
              </w:rPr>
            </w:pPr>
            <w:r w:rsidRPr="007214E9">
              <w:rPr>
                <w:b/>
                <w:bCs/>
                <w:color w:val="000000" w:themeColor="text1"/>
                <w:sz w:val="26"/>
                <w:szCs w:val="26"/>
                <w:lang w:val="es-ES"/>
              </w:rPr>
              <w:t>Nội dung đánh giá</w:t>
            </w:r>
          </w:p>
        </w:tc>
        <w:tc>
          <w:tcPr>
            <w:tcW w:w="5949" w:type="dxa"/>
            <w:gridSpan w:val="2"/>
            <w:vAlign w:val="center"/>
          </w:tcPr>
          <w:p w14:paraId="26FC8A06" w14:textId="77777777" w:rsidR="00091EFE" w:rsidRPr="007214E9" w:rsidRDefault="00091EFE" w:rsidP="00823494">
            <w:pPr>
              <w:spacing w:before="120" w:after="120"/>
              <w:jc w:val="center"/>
              <w:rPr>
                <w:b/>
                <w:bCs/>
                <w:color w:val="000000" w:themeColor="text1"/>
                <w:sz w:val="26"/>
                <w:szCs w:val="26"/>
                <w:lang w:val="es-ES"/>
              </w:rPr>
            </w:pPr>
            <w:r w:rsidRPr="007214E9">
              <w:rPr>
                <w:b/>
                <w:bCs/>
                <w:color w:val="000000" w:themeColor="text1"/>
                <w:sz w:val="26"/>
                <w:szCs w:val="26"/>
                <w:lang w:val="es-ES"/>
              </w:rPr>
              <w:t>Mức độ đáp ứng</w:t>
            </w:r>
          </w:p>
        </w:tc>
      </w:tr>
      <w:tr w:rsidR="007214E9" w:rsidRPr="007214E9" w14:paraId="5C3867DF" w14:textId="77777777" w:rsidTr="00823494">
        <w:trPr>
          <w:jc w:val="center"/>
        </w:trPr>
        <w:tc>
          <w:tcPr>
            <w:tcW w:w="846" w:type="dxa"/>
            <w:vMerge/>
            <w:vAlign w:val="center"/>
          </w:tcPr>
          <w:p w14:paraId="786428C9" w14:textId="77777777" w:rsidR="00091EFE" w:rsidRPr="007214E9" w:rsidRDefault="00091EFE" w:rsidP="00823494">
            <w:pPr>
              <w:spacing w:before="120" w:after="120"/>
              <w:rPr>
                <w:b/>
                <w:bCs/>
                <w:color w:val="000000" w:themeColor="text1"/>
                <w:sz w:val="26"/>
                <w:szCs w:val="26"/>
                <w:lang w:val="es-ES"/>
              </w:rPr>
            </w:pPr>
          </w:p>
        </w:tc>
        <w:tc>
          <w:tcPr>
            <w:tcW w:w="2267" w:type="dxa"/>
            <w:vMerge/>
            <w:vAlign w:val="center"/>
          </w:tcPr>
          <w:p w14:paraId="357DA3A0" w14:textId="77777777" w:rsidR="00091EFE" w:rsidRPr="007214E9" w:rsidRDefault="00091EFE" w:rsidP="00823494">
            <w:pPr>
              <w:spacing w:before="120" w:after="120"/>
              <w:rPr>
                <w:b/>
                <w:bCs/>
                <w:color w:val="000000" w:themeColor="text1"/>
                <w:sz w:val="26"/>
                <w:szCs w:val="26"/>
                <w:lang w:val="es-ES"/>
              </w:rPr>
            </w:pPr>
          </w:p>
        </w:tc>
        <w:tc>
          <w:tcPr>
            <w:tcW w:w="2976" w:type="dxa"/>
            <w:vAlign w:val="center"/>
          </w:tcPr>
          <w:p w14:paraId="2FFB0DAA" w14:textId="77777777" w:rsidR="00091EFE" w:rsidRPr="007214E9" w:rsidRDefault="00091EFE" w:rsidP="00823494">
            <w:pPr>
              <w:spacing w:before="120" w:after="120"/>
              <w:jc w:val="center"/>
              <w:rPr>
                <w:b/>
                <w:bCs/>
                <w:color w:val="000000" w:themeColor="text1"/>
                <w:sz w:val="26"/>
                <w:szCs w:val="26"/>
                <w:lang w:val="es-ES"/>
              </w:rPr>
            </w:pPr>
            <w:r w:rsidRPr="007214E9">
              <w:rPr>
                <w:b/>
                <w:bCs/>
                <w:color w:val="000000" w:themeColor="text1"/>
                <w:sz w:val="26"/>
                <w:szCs w:val="26"/>
                <w:lang w:val="es-ES"/>
              </w:rPr>
              <w:t>Đạt</w:t>
            </w:r>
          </w:p>
        </w:tc>
        <w:tc>
          <w:tcPr>
            <w:tcW w:w="2973" w:type="dxa"/>
            <w:vAlign w:val="center"/>
          </w:tcPr>
          <w:p w14:paraId="4D47F2BF" w14:textId="77777777" w:rsidR="00091EFE" w:rsidRPr="007214E9" w:rsidRDefault="00091EFE" w:rsidP="00823494">
            <w:pPr>
              <w:spacing w:before="120" w:after="120"/>
              <w:jc w:val="center"/>
              <w:rPr>
                <w:b/>
                <w:bCs/>
                <w:color w:val="000000" w:themeColor="text1"/>
                <w:sz w:val="26"/>
                <w:szCs w:val="26"/>
                <w:lang w:val="es-ES"/>
              </w:rPr>
            </w:pPr>
            <w:r w:rsidRPr="007214E9">
              <w:rPr>
                <w:b/>
                <w:bCs/>
                <w:color w:val="000000" w:themeColor="text1"/>
                <w:sz w:val="26"/>
                <w:szCs w:val="26"/>
                <w:lang w:val="es-ES"/>
              </w:rPr>
              <w:t>Không đạt</w:t>
            </w:r>
          </w:p>
        </w:tc>
      </w:tr>
      <w:tr w:rsidR="007214E9" w:rsidRPr="007214E9" w14:paraId="48E507F1" w14:textId="77777777" w:rsidTr="00823494">
        <w:trPr>
          <w:jc w:val="center"/>
        </w:trPr>
        <w:tc>
          <w:tcPr>
            <w:tcW w:w="846" w:type="dxa"/>
            <w:vAlign w:val="center"/>
          </w:tcPr>
          <w:p w14:paraId="7AF5B1B8" w14:textId="77777777" w:rsidR="00091EFE" w:rsidRPr="007214E9" w:rsidRDefault="00091EFE" w:rsidP="00823494">
            <w:pPr>
              <w:spacing w:before="120" w:after="120"/>
              <w:jc w:val="center"/>
              <w:rPr>
                <w:b/>
                <w:bCs/>
                <w:color w:val="000000" w:themeColor="text1"/>
                <w:sz w:val="26"/>
                <w:szCs w:val="26"/>
                <w:lang w:val="es-ES"/>
              </w:rPr>
            </w:pPr>
            <w:r w:rsidRPr="007214E9">
              <w:rPr>
                <w:b/>
                <w:bCs/>
                <w:color w:val="000000" w:themeColor="text1"/>
                <w:sz w:val="26"/>
                <w:szCs w:val="26"/>
                <w:lang w:val="es-ES"/>
              </w:rPr>
              <w:t>1</w:t>
            </w:r>
          </w:p>
        </w:tc>
        <w:tc>
          <w:tcPr>
            <w:tcW w:w="2267" w:type="dxa"/>
            <w:vAlign w:val="center"/>
          </w:tcPr>
          <w:p w14:paraId="3EAFECA2" w14:textId="77777777" w:rsidR="00091EFE" w:rsidRPr="007214E9" w:rsidRDefault="00091EFE" w:rsidP="00823494">
            <w:pPr>
              <w:spacing w:before="120" w:after="120"/>
              <w:rPr>
                <w:b/>
                <w:bCs/>
                <w:color w:val="000000" w:themeColor="text1"/>
                <w:sz w:val="26"/>
                <w:szCs w:val="26"/>
                <w:lang w:val="es-ES"/>
              </w:rPr>
            </w:pPr>
            <w:r w:rsidRPr="007214E9">
              <w:rPr>
                <w:b/>
                <w:bCs/>
                <w:color w:val="000000" w:themeColor="text1"/>
                <w:sz w:val="26"/>
                <w:szCs w:val="26"/>
                <w:lang w:val="nl-NL"/>
              </w:rPr>
              <w:t xml:space="preserve">Mức độ đáp ứng </w:t>
            </w:r>
            <w:r w:rsidRPr="007214E9">
              <w:rPr>
                <w:b/>
                <w:color w:val="000000" w:themeColor="text1"/>
                <w:sz w:val="26"/>
                <w:szCs w:val="26"/>
              </w:rPr>
              <w:t xml:space="preserve">về </w:t>
            </w:r>
            <w:r w:rsidRPr="007214E9">
              <w:rPr>
                <w:b/>
                <w:color w:val="000000" w:themeColor="text1"/>
                <w:sz w:val="26"/>
                <w:szCs w:val="26"/>
                <w:lang w:val="nl-NL"/>
              </w:rPr>
              <w:t>mục tiêu công việc theo yêu cầu quy định tại mục 2, chương V, E-HSMT</w:t>
            </w:r>
          </w:p>
        </w:tc>
        <w:tc>
          <w:tcPr>
            <w:tcW w:w="2976" w:type="dxa"/>
            <w:vAlign w:val="center"/>
          </w:tcPr>
          <w:p w14:paraId="7E15E860" w14:textId="77777777" w:rsidR="00091EFE" w:rsidRPr="007214E9" w:rsidRDefault="00091EFE" w:rsidP="00823494">
            <w:pPr>
              <w:spacing w:before="120" w:after="120"/>
              <w:rPr>
                <w:b/>
                <w:bCs/>
                <w:color w:val="000000" w:themeColor="text1"/>
                <w:sz w:val="26"/>
                <w:szCs w:val="26"/>
                <w:lang w:val="es-ES"/>
              </w:rPr>
            </w:pPr>
            <w:r w:rsidRPr="007214E9">
              <w:rPr>
                <w:color w:val="000000" w:themeColor="text1"/>
                <w:sz w:val="26"/>
                <w:szCs w:val="26"/>
                <w:lang w:val="nl-NL"/>
              </w:rPr>
              <w:t>Nhà thầu thuyết minh đầy đủ mục tiêu công việc</w:t>
            </w:r>
            <w:r w:rsidRPr="007214E9">
              <w:rPr>
                <w:bCs/>
                <w:color w:val="000000" w:themeColor="text1"/>
                <w:sz w:val="26"/>
                <w:szCs w:val="26"/>
                <w:lang w:val="nl-NL"/>
              </w:rPr>
              <w:t xml:space="preserve"> nội dung theo yêu cầu quy định tại Mục 2, chương V của E-HSMT</w:t>
            </w:r>
          </w:p>
        </w:tc>
        <w:tc>
          <w:tcPr>
            <w:tcW w:w="2973" w:type="dxa"/>
            <w:vAlign w:val="center"/>
          </w:tcPr>
          <w:p w14:paraId="2980AFCD" w14:textId="77777777" w:rsidR="00091EFE" w:rsidRPr="007214E9" w:rsidRDefault="00091EFE" w:rsidP="00823494">
            <w:pPr>
              <w:spacing w:before="120" w:after="120"/>
              <w:rPr>
                <w:b/>
                <w:bCs/>
                <w:color w:val="000000" w:themeColor="text1"/>
                <w:sz w:val="26"/>
                <w:szCs w:val="26"/>
                <w:lang w:val="es-ES"/>
              </w:rPr>
            </w:pPr>
            <w:r w:rsidRPr="007214E9">
              <w:rPr>
                <w:color w:val="000000" w:themeColor="text1"/>
                <w:sz w:val="26"/>
                <w:szCs w:val="26"/>
                <w:lang w:val="nl-NL"/>
              </w:rPr>
              <w:t>Nhà thầu không thuyết minh hoặc thuyết minh không đầy đủ mục tiêu công việc</w:t>
            </w:r>
            <w:r w:rsidRPr="007214E9">
              <w:rPr>
                <w:bCs/>
                <w:color w:val="000000" w:themeColor="text1"/>
                <w:sz w:val="26"/>
                <w:szCs w:val="26"/>
                <w:lang w:val="nl-NL"/>
              </w:rPr>
              <w:t xml:space="preserve"> nội dung theo yêu cầu quy định tại Mục 2, chương V của E-HSMT</w:t>
            </w:r>
          </w:p>
        </w:tc>
      </w:tr>
      <w:tr w:rsidR="007214E9" w:rsidRPr="007214E9" w14:paraId="70AFCCBD" w14:textId="77777777" w:rsidTr="00823494">
        <w:trPr>
          <w:jc w:val="center"/>
        </w:trPr>
        <w:tc>
          <w:tcPr>
            <w:tcW w:w="846" w:type="dxa"/>
            <w:vAlign w:val="center"/>
          </w:tcPr>
          <w:p w14:paraId="156E726F" w14:textId="77777777" w:rsidR="00091EFE" w:rsidRPr="007214E9" w:rsidRDefault="00091EFE" w:rsidP="00823494">
            <w:pPr>
              <w:spacing w:before="120" w:after="120"/>
              <w:jc w:val="center"/>
              <w:rPr>
                <w:b/>
                <w:bCs/>
                <w:color w:val="000000" w:themeColor="text1"/>
                <w:sz w:val="26"/>
                <w:szCs w:val="26"/>
                <w:lang w:val="es-ES"/>
              </w:rPr>
            </w:pPr>
            <w:r w:rsidRPr="007214E9">
              <w:rPr>
                <w:b/>
                <w:bCs/>
                <w:color w:val="000000" w:themeColor="text1"/>
                <w:sz w:val="26"/>
                <w:szCs w:val="26"/>
                <w:lang w:val="es-ES"/>
              </w:rPr>
              <w:t>2</w:t>
            </w:r>
          </w:p>
        </w:tc>
        <w:tc>
          <w:tcPr>
            <w:tcW w:w="2267" w:type="dxa"/>
            <w:vAlign w:val="center"/>
          </w:tcPr>
          <w:p w14:paraId="4928C38C" w14:textId="77777777" w:rsidR="00091EFE" w:rsidRPr="007214E9" w:rsidRDefault="00091EFE" w:rsidP="00823494">
            <w:pPr>
              <w:spacing w:before="120" w:after="120"/>
              <w:rPr>
                <w:b/>
                <w:bCs/>
                <w:color w:val="000000" w:themeColor="text1"/>
                <w:sz w:val="26"/>
                <w:szCs w:val="26"/>
                <w:lang w:val="es-ES"/>
              </w:rPr>
            </w:pPr>
            <w:r w:rsidRPr="007214E9">
              <w:rPr>
                <w:b/>
                <w:color w:val="000000" w:themeColor="text1"/>
                <w:sz w:val="26"/>
                <w:szCs w:val="26"/>
                <w:lang w:val="es-ES"/>
              </w:rPr>
              <w:t>Tiến độ thực hiện gói thầu</w:t>
            </w:r>
          </w:p>
        </w:tc>
        <w:tc>
          <w:tcPr>
            <w:tcW w:w="2976" w:type="dxa"/>
            <w:vAlign w:val="center"/>
          </w:tcPr>
          <w:p w14:paraId="3BE2A6AE" w14:textId="77777777" w:rsidR="00091EFE" w:rsidRPr="007214E9" w:rsidRDefault="00091EFE" w:rsidP="00823494">
            <w:pPr>
              <w:spacing w:before="120" w:after="120"/>
              <w:rPr>
                <w:b/>
                <w:bCs/>
                <w:color w:val="000000" w:themeColor="text1"/>
                <w:sz w:val="26"/>
                <w:szCs w:val="26"/>
                <w:lang w:val="es-ES"/>
              </w:rPr>
            </w:pPr>
            <w:r w:rsidRPr="007214E9">
              <w:rPr>
                <w:color w:val="000000" w:themeColor="text1"/>
                <w:sz w:val="26"/>
                <w:szCs w:val="26"/>
              </w:rPr>
              <w:t>Có tiến độ thực hiện gói thầu hợp lý, phù hợp với yêu cầu của E-HSMT</w:t>
            </w:r>
          </w:p>
        </w:tc>
        <w:tc>
          <w:tcPr>
            <w:tcW w:w="2973" w:type="dxa"/>
            <w:vAlign w:val="center"/>
          </w:tcPr>
          <w:p w14:paraId="01212C5E" w14:textId="77777777" w:rsidR="00091EFE" w:rsidRPr="007214E9" w:rsidRDefault="00091EFE" w:rsidP="00823494">
            <w:pPr>
              <w:spacing w:before="120" w:after="120"/>
              <w:rPr>
                <w:b/>
                <w:bCs/>
                <w:color w:val="000000" w:themeColor="text1"/>
                <w:sz w:val="26"/>
                <w:szCs w:val="26"/>
                <w:lang w:val="es-ES"/>
              </w:rPr>
            </w:pPr>
            <w:r w:rsidRPr="007214E9">
              <w:rPr>
                <w:color w:val="000000" w:themeColor="text1"/>
                <w:sz w:val="26"/>
                <w:szCs w:val="26"/>
              </w:rPr>
              <w:t>Không có tiến độ thực hiện gói thầu hoặc có tiến độ thực hiện nhưng không hợp lý, không phù hợp yêu cầu của E-HSMT</w:t>
            </w:r>
          </w:p>
        </w:tc>
      </w:tr>
      <w:tr w:rsidR="007214E9" w:rsidRPr="007214E9" w14:paraId="151ECDC0" w14:textId="77777777" w:rsidTr="00823494">
        <w:trPr>
          <w:jc w:val="center"/>
        </w:trPr>
        <w:tc>
          <w:tcPr>
            <w:tcW w:w="846" w:type="dxa"/>
            <w:vAlign w:val="center"/>
          </w:tcPr>
          <w:p w14:paraId="234E7084" w14:textId="77777777" w:rsidR="00091EFE" w:rsidRPr="007214E9" w:rsidRDefault="00091EFE" w:rsidP="00823494">
            <w:pPr>
              <w:spacing w:before="120" w:after="120"/>
              <w:jc w:val="center"/>
              <w:rPr>
                <w:b/>
                <w:bCs/>
                <w:color w:val="000000" w:themeColor="text1"/>
                <w:sz w:val="26"/>
                <w:szCs w:val="26"/>
                <w:lang w:val="es-ES"/>
              </w:rPr>
            </w:pPr>
            <w:r w:rsidRPr="007214E9">
              <w:rPr>
                <w:b/>
                <w:bCs/>
                <w:color w:val="000000" w:themeColor="text1"/>
                <w:sz w:val="26"/>
                <w:szCs w:val="26"/>
              </w:rPr>
              <w:t>3</w:t>
            </w:r>
          </w:p>
        </w:tc>
        <w:tc>
          <w:tcPr>
            <w:tcW w:w="2267" w:type="dxa"/>
            <w:vAlign w:val="center"/>
          </w:tcPr>
          <w:p w14:paraId="133F2EBB" w14:textId="77777777" w:rsidR="00091EFE" w:rsidRPr="007214E9" w:rsidRDefault="00091EFE" w:rsidP="00823494">
            <w:pPr>
              <w:spacing w:before="120" w:after="120"/>
              <w:rPr>
                <w:b/>
                <w:bCs/>
                <w:noProof/>
                <w:color w:val="000000" w:themeColor="text1"/>
                <w:sz w:val="26"/>
                <w:szCs w:val="26"/>
              </w:rPr>
            </w:pPr>
            <w:r w:rsidRPr="007214E9">
              <w:rPr>
                <w:b/>
                <w:bCs/>
                <w:color w:val="000000" w:themeColor="text1"/>
                <w:sz w:val="26"/>
                <w:szCs w:val="26"/>
              </w:rPr>
              <w:t>Yêu cầu về chất lượng của dịch vụ</w:t>
            </w:r>
          </w:p>
        </w:tc>
        <w:tc>
          <w:tcPr>
            <w:tcW w:w="2976" w:type="dxa"/>
            <w:vAlign w:val="center"/>
          </w:tcPr>
          <w:p w14:paraId="79F066F0" w14:textId="77777777" w:rsidR="00091EFE" w:rsidRPr="007214E9" w:rsidRDefault="00091EFE" w:rsidP="00823494">
            <w:pPr>
              <w:spacing w:before="120" w:after="120"/>
              <w:rPr>
                <w:noProof/>
                <w:color w:val="000000" w:themeColor="text1"/>
                <w:spacing w:val="-2"/>
                <w:sz w:val="26"/>
                <w:szCs w:val="26"/>
              </w:rPr>
            </w:pPr>
            <w:r w:rsidRPr="007214E9">
              <w:rPr>
                <w:color w:val="000000" w:themeColor="text1"/>
                <w:sz w:val="26"/>
                <w:szCs w:val="26"/>
              </w:rPr>
              <w:t xml:space="preserve">Nhà thầu thuyết minh đầy đủ  đáp ứng yêu cầu về chất lượng của dịch vụ quy định tại </w:t>
            </w:r>
            <w:r w:rsidRPr="007214E9">
              <w:rPr>
                <w:b/>
                <w:bCs/>
                <w:color w:val="000000" w:themeColor="text1"/>
                <w:sz w:val="26"/>
                <w:szCs w:val="26"/>
              </w:rPr>
              <w:t>Phần 3.1, Mục 3, Chương V của E-HSMT</w:t>
            </w:r>
            <w:r w:rsidRPr="007214E9">
              <w:rPr>
                <w:color w:val="000000" w:themeColor="text1"/>
                <w:sz w:val="26"/>
                <w:szCs w:val="26"/>
              </w:rPr>
              <w:t>.</w:t>
            </w:r>
          </w:p>
        </w:tc>
        <w:tc>
          <w:tcPr>
            <w:tcW w:w="2973" w:type="dxa"/>
            <w:vAlign w:val="center"/>
          </w:tcPr>
          <w:p w14:paraId="16AA0F6F" w14:textId="77777777" w:rsidR="00091EFE" w:rsidRPr="007214E9" w:rsidRDefault="00091EFE" w:rsidP="00823494">
            <w:pPr>
              <w:spacing w:before="120" w:after="120"/>
              <w:rPr>
                <w:noProof/>
                <w:color w:val="000000" w:themeColor="text1"/>
                <w:sz w:val="26"/>
                <w:szCs w:val="26"/>
              </w:rPr>
            </w:pPr>
            <w:r w:rsidRPr="007214E9">
              <w:rPr>
                <w:color w:val="000000" w:themeColor="text1"/>
                <w:sz w:val="26"/>
                <w:szCs w:val="26"/>
              </w:rPr>
              <w:t xml:space="preserve">Nhà thầu không có thuyết minh đáp ứng yêu cầu về chất lượng của dịch vụ hoặc có thuyết minh nhưng không đầy đủ toàn bộ nội dung quy định tại </w:t>
            </w:r>
            <w:r w:rsidRPr="007214E9">
              <w:rPr>
                <w:b/>
                <w:bCs/>
                <w:color w:val="000000" w:themeColor="text1"/>
                <w:sz w:val="26"/>
                <w:szCs w:val="26"/>
              </w:rPr>
              <w:lastRenderedPageBreak/>
              <w:t>Phần 3.1, Mục 3, Chương V của E-HSMT</w:t>
            </w:r>
            <w:r w:rsidRPr="007214E9">
              <w:rPr>
                <w:color w:val="000000" w:themeColor="text1"/>
                <w:sz w:val="26"/>
                <w:szCs w:val="26"/>
              </w:rPr>
              <w:t>.</w:t>
            </w:r>
          </w:p>
        </w:tc>
      </w:tr>
      <w:tr w:rsidR="007214E9" w:rsidRPr="007214E9" w14:paraId="3905A69E" w14:textId="77777777" w:rsidTr="00823494">
        <w:trPr>
          <w:jc w:val="center"/>
        </w:trPr>
        <w:tc>
          <w:tcPr>
            <w:tcW w:w="846" w:type="dxa"/>
            <w:vAlign w:val="center"/>
          </w:tcPr>
          <w:p w14:paraId="59C7E99C" w14:textId="77777777" w:rsidR="00091EFE" w:rsidRPr="007214E9" w:rsidRDefault="00091EFE" w:rsidP="00823494">
            <w:pPr>
              <w:spacing w:before="120" w:after="120"/>
              <w:jc w:val="center"/>
              <w:rPr>
                <w:b/>
                <w:bCs/>
                <w:color w:val="000000" w:themeColor="text1"/>
                <w:sz w:val="26"/>
                <w:szCs w:val="26"/>
                <w:lang w:val="es-ES"/>
              </w:rPr>
            </w:pPr>
            <w:r w:rsidRPr="007214E9">
              <w:rPr>
                <w:b/>
                <w:bCs/>
                <w:color w:val="000000" w:themeColor="text1"/>
                <w:sz w:val="26"/>
                <w:szCs w:val="26"/>
                <w:lang w:val="es-ES"/>
              </w:rPr>
              <w:lastRenderedPageBreak/>
              <w:t>4</w:t>
            </w:r>
          </w:p>
        </w:tc>
        <w:tc>
          <w:tcPr>
            <w:tcW w:w="2267" w:type="dxa"/>
            <w:vAlign w:val="center"/>
          </w:tcPr>
          <w:p w14:paraId="6559DB9D" w14:textId="77777777" w:rsidR="00091EFE" w:rsidRPr="007214E9" w:rsidRDefault="00091EFE" w:rsidP="00823494">
            <w:pPr>
              <w:spacing w:before="120" w:after="120"/>
              <w:rPr>
                <w:b/>
                <w:bCs/>
                <w:color w:val="000000" w:themeColor="text1"/>
                <w:sz w:val="26"/>
                <w:szCs w:val="26"/>
                <w:lang w:val="es-ES"/>
              </w:rPr>
            </w:pPr>
            <w:r w:rsidRPr="007214E9">
              <w:rPr>
                <w:b/>
                <w:noProof/>
                <w:color w:val="000000" w:themeColor="text1"/>
                <w:sz w:val="26"/>
                <w:szCs w:val="26"/>
              </w:rPr>
              <w:t>Bảo đảm điều kiện vệ sinh môi trường, phòng cháy, chữa cháy và an toàn lao động</w:t>
            </w:r>
          </w:p>
        </w:tc>
        <w:tc>
          <w:tcPr>
            <w:tcW w:w="2976" w:type="dxa"/>
            <w:vAlign w:val="center"/>
          </w:tcPr>
          <w:p w14:paraId="434AFCFD" w14:textId="77777777" w:rsidR="00091EFE" w:rsidRPr="007214E9" w:rsidRDefault="00091EFE" w:rsidP="00823494">
            <w:pPr>
              <w:spacing w:before="120" w:after="120"/>
              <w:rPr>
                <w:b/>
                <w:bCs/>
                <w:color w:val="000000" w:themeColor="text1"/>
                <w:sz w:val="26"/>
                <w:szCs w:val="26"/>
                <w:lang w:val="es-ES"/>
              </w:rPr>
            </w:pPr>
            <w:r w:rsidRPr="007214E9">
              <w:rPr>
                <w:noProof/>
                <w:color w:val="000000" w:themeColor="text1"/>
                <w:spacing w:val="-2"/>
                <w:sz w:val="26"/>
                <w:szCs w:val="26"/>
              </w:rPr>
              <w:t xml:space="preserve">Nhà thầu có cam kết đáp ứng yêu cầu về bảo đảm điều kiện vệ sinh môi trường, phòng cháy, chữa cháy và an toàn lao động trong đó bao gồm toàn bộ nội dung quy định tại </w:t>
            </w:r>
            <w:r w:rsidRPr="007214E9">
              <w:rPr>
                <w:b/>
                <w:bCs/>
                <w:noProof/>
                <w:color w:val="000000" w:themeColor="text1"/>
                <w:spacing w:val="-2"/>
                <w:sz w:val="26"/>
                <w:szCs w:val="26"/>
              </w:rPr>
              <w:t>Phần 3.2, Mục 3, Chương V</w:t>
            </w:r>
            <w:r w:rsidRPr="007214E9">
              <w:rPr>
                <w:noProof/>
                <w:color w:val="000000" w:themeColor="text1"/>
                <w:spacing w:val="-2"/>
                <w:sz w:val="26"/>
                <w:szCs w:val="26"/>
              </w:rPr>
              <w:t xml:space="preserve"> của E-HSMT</w:t>
            </w:r>
          </w:p>
        </w:tc>
        <w:tc>
          <w:tcPr>
            <w:tcW w:w="2973" w:type="dxa"/>
            <w:vAlign w:val="center"/>
          </w:tcPr>
          <w:p w14:paraId="2ED83F6B" w14:textId="77777777" w:rsidR="00091EFE" w:rsidRPr="007214E9" w:rsidRDefault="00091EFE" w:rsidP="00823494">
            <w:pPr>
              <w:spacing w:before="120" w:after="120"/>
              <w:rPr>
                <w:b/>
                <w:bCs/>
                <w:color w:val="000000" w:themeColor="text1"/>
                <w:sz w:val="26"/>
                <w:szCs w:val="26"/>
                <w:lang w:val="es-ES"/>
              </w:rPr>
            </w:pPr>
            <w:r w:rsidRPr="007214E9">
              <w:rPr>
                <w:noProof/>
                <w:color w:val="000000" w:themeColor="text1"/>
                <w:sz w:val="26"/>
                <w:szCs w:val="26"/>
              </w:rPr>
              <w:t xml:space="preserve">Nhà thầu không có cam kết đáp ứng yêu cầu về bảo đảm điều kiện vệ sinh môi trường, phòng cháy, chữa cháy và an toàn lao động hoặc có cam kết nhưng không đầy đủ toàn bộ nội dung quy định tại </w:t>
            </w:r>
            <w:r w:rsidRPr="007214E9">
              <w:rPr>
                <w:b/>
                <w:bCs/>
                <w:noProof/>
                <w:color w:val="000000" w:themeColor="text1"/>
                <w:sz w:val="26"/>
                <w:szCs w:val="26"/>
              </w:rPr>
              <w:t>Phần 3.2, Mục 3, Chương V</w:t>
            </w:r>
            <w:r w:rsidRPr="007214E9">
              <w:rPr>
                <w:noProof/>
                <w:color w:val="000000" w:themeColor="text1"/>
                <w:sz w:val="26"/>
                <w:szCs w:val="26"/>
              </w:rPr>
              <w:t xml:space="preserve"> của E-HSMT</w:t>
            </w:r>
          </w:p>
        </w:tc>
      </w:tr>
      <w:tr w:rsidR="007214E9" w:rsidRPr="007214E9" w14:paraId="1F557540" w14:textId="77777777" w:rsidTr="00823494">
        <w:trPr>
          <w:jc w:val="center"/>
        </w:trPr>
        <w:tc>
          <w:tcPr>
            <w:tcW w:w="846" w:type="dxa"/>
            <w:vAlign w:val="center"/>
          </w:tcPr>
          <w:p w14:paraId="28D5BE76" w14:textId="77777777" w:rsidR="00091EFE" w:rsidRPr="007214E9" w:rsidRDefault="00091EFE" w:rsidP="00823494">
            <w:pPr>
              <w:jc w:val="center"/>
              <w:rPr>
                <w:b/>
                <w:bCs/>
                <w:color w:val="000000" w:themeColor="text1"/>
                <w:sz w:val="26"/>
                <w:szCs w:val="26"/>
                <w:lang w:val="es-ES"/>
              </w:rPr>
            </w:pPr>
            <w:r w:rsidRPr="007214E9">
              <w:rPr>
                <w:b/>
                <w:bCs/>
                <w:color w:val="000000" w:themeColor="text1"/>
                <w:sz w:val="26"/>
                <w:szCs w:val="26"/>
                <w:lang w:val="es-ES"/>
              </w:rPr>
              <w:t>4</w:t>
            </w:r>
          </w:p>
        </w:tc>
        <w:tc>
          <w:tcPr>
            <w:tcW w:w="2267" w:type="dxa"/>
            <w:vAlign w:val="center"/>
          </w:tcPr>
          <w:p w14:paraId="2AF87E26" w14:textId="77777777" w:rsidR="00091EFE" w:rsidRPr="007214E9" w:rsidRDefault="00091EFE" w:rsidP="00823494">
            <w:pPr>
              <w:rPr>
                <w:b/>
                <w:bCs/>
                <w:color w:val="000000" w:themeColor="text1"/>
                <w:sz w:val="26"/>
                <w:szCs w:val="26"/>
                <w:lang w:val="es-ES"/>
              </w:rPr>
            </w:pPr>
            <w:r w:rsidRPr="007214E9">
              <w:rPr>
                <w:b/>
                <w:color w:val="000000" w:themeColor="text1"/>
                <w:sz w:val="26"/>
                <w:szCs w:val="26"/>
                <w:lang w:val="nl-NL"/>
              </w:rPr>
              <w:t xml:space="preserve">Uy tín của nhà thầu thông qua việc tham dự thầu </w:t>
            </w:r>
          </w:p>
        </w:tc>
        <w:tc>
          <w:tcPr>
            <w:tcW w:w="2976" w:type="dxa"/>
            <w:vAlign w:val="center"/>
          </w:tcPr>
          <w:p w14:paraId="1A0C4402" w14:textId="77777777" w:rsidR="00091EFE" w:rsidRPr="007214E9" w:rsidRDefault="00091EFE" w:rsidP="00823494">
            <w:pPr>
              <w:rPr>
                <w:color w:val="000000" w:themeColor="text1"/>
                <w:sz w:val="26"/>
                <w:szCs w:val="26"/>
              </w:rPr>
            </w:pPr>
            <w:r w:rsidRPr="007214E9">
              <w:rPr>
                <w:color w:val="000000" w:themeColor="text1"/>
                <w:sz w:val="26"/>
                <w:szCs w:val="26"/>
              </w:rPr>
              <w:t xml:space="preserve">Có cam kết đầy đủ và không vi phạm nội dung sau: </w:t>
            </w:r>
          </w:p>
          <w:p w14:paraId="6399D026" w14:textId="77777777" w:rsidR="00091EFE" w:rsidRPr="007214E9" w:rsidRDefault="00091EFE" w:rsidP="00823494">
            <w:pPr>
              <w:widowControl w:val="0"/>
              <w:tabs>
                <w:tab w:val="left" w:pos="851"/>
              </w:tabs>
              <w:rPr>
                <w:color w:val="000000" w:themeColor="text1"/>
                <w:sz w:val="26"/>
                <w:szCs w:val="26"/>
              </w:rPr>
            </w:pPr>
            <w:r w:rsidRPr="007214E9">
              <w:rPr>
                <w:color w:val="000000" w:themeColor="text1"/>
                <w:sz w:val="26"/>
                <w:szCs w:val="26"/>
              </w:rPr>
              <w:t>- Không bị cấm đấu thầu ở bất kỳ địa phương hay đơn vị nào trên toàn quốc</w:t>
            </w:r>
          </w:p>
          <w:p w14:paraId="1ED33054" w14:textId="77777777" w:rsidR="00091EFE" w:rsidRPr="007214E9" w:rsidRDefault="00091EFE" w:rsidP="00823494">
            <w:pPr>
              <w:rPr>
                <w:b/>
                <w:bCs/>
                <w:color w:val="000000" w:themeColor="text1"/>
                <w:sz w:val="26"/>
                <w:szCs w:val="26"/>
                <w:lang w:val="es-ES"/>
              </w:rPr>
            </w:pPr>
            <w:r w:rsidRPr="007214E9">
              <w:rPr>
                <w:color w:val="000000" w:themeColor="text1"/>
                <w:sz w:val="26"/>
                <w:szCs w:val="26"/>
              </w:rPr>
              <w:t>- Nhà thầu phải chịu trách nhiệm về tính chính xác của các văn bản có yếu tố nước ngoài, văn bản và catague của nhà sản xuất. Mọi gian lận về văn bản hồ sơ, các thông số kỹ thuật về hàng hóa của nhà thầu là căn cứ để Chủ đầu tư đề nghị cấm tham gia hoạt động đấu thầu đối với các gói thầu Bệnh viện Ung bướu Thanh Hóa, tạo cảnh báo trên Hệ thống mạng đấu thầu quốc gia hoặc yêu cầu cơ quan chức năng chuyển diện quản lý cơ bản đối với pháp nhân</w:t>
            </w:r>
          </w:p>
        </w:tc>
        <w:tc>
          <w:tcPr>
            <w:tcW w:w="2973" w:type="dxa"/>
            <w:vAlign w:val="center"/>
          </w:tcPr>
          <w:p w14:paraId="26F1B6EC" w14:textId="77777777" w:rsidR="00091EFE" w:rsidRPr="007214E9" w:rsidRDefault="00091EFE" w:rsidP="00823494">
            <w:pPr>
              <w:rPr>
                <w:color w:val="000000" w:themeColor="text1"/>
                <w:sz w:val="26"/>
                <w:szCs w:val="26"/>
              </w:rPr>
            </w:pPr>
            <w:r w:rsidRPr="007214E9">
              <w:rPr>
                <w:color w:val="000000" w:themeColor="text1"/>
                <w:sz w:val="26"/>
                <w:szCs w:val="26"/>
              </w:rPr>
              <w:t xml:space="preserve">Không có cam kết đầy đủ và vi phạm nội dung sau: </w:t>
            </w:r>
          </w:p>
          <w:p w14:paraId="22033C40" w14:textId="77777777" w:rsidR="00091EFE" w:rsidRPr="007214E9" w:rsidRDefault="00091EFE" w:rsidP="00823494">
            <w:pPr>
              <w:widowControl w:val="0"/>
              <w:tabs>
                <w:tab w:val="left" w:pos="851"/>
              </w:tabs>
              <w:rPr>
                <w:color w:val="000000" w:themeColor="text1"/>
                <w:sz w:val="26"/>
                <w:szCs w:val="26"/>
              </w:rPr>
            </w:pPr>
            <w:r w:rsidRPr="007214E9">
              <w:rPr>
                <w:color w:val="000000" w:themeColor="text1"/>
                <w:sz w:val="26"/>
                <w:szCs w:val="26"/>
              </w:rPr>
              <w:t>- Không bị cấm đấu thầu ở bất kỳ địa phương hay đơn vị nào trên toàn quốc</w:t>
            </w:r>
          </w:p>
          <w:p w14:paraId="712B25C9" w14:textId="77777777" w:rsidR="00091EFE" w:rsidRPr="007214E9" w:rsidRDefault="00091EFE" w:rsidP="00823494">
            <w:pPr>
              <w:rPr>
                <w:b/>
                <w:bCs/>
                <w:color w:val="000000" w:themeColor="text1"/>
                <w:sz w:val="26"/>
                <w:szCs w:val="26"/>
                <w:lang w:val="es-ES"/>
              </w:rPr>
            </w:pPr>
            <w:r w:rsidRPr="007214E9">
              <w:rPr>
                <w:color w:val="000000" w:themeColor="text1"/>
                <w:sz w:val="26"/>
                <w:szCs w:val="26"/>
              </w:rPr>
              <w:t>- Nhà thầu phải chịu trách nhiệm về tính chính xác của các văn bản có yếu tố nước ngoài, văn bản và catague của nhà sản xuất. Mọi gian lận về văn bản hồ sơ, các thông số kỹ thuật về hàng hóa của nhà thầu là căn cứ để Chủ đầu tư đề nghị cấm tham gia hoạt động đấu thầu đối với các gói thầu Bệnh viện Ung bướu Thanh Hóa, tạo cảnh báo trên Hệ thống mạng đấu thầu quốc gia hoặc yêu cầu cơ quan chức năng chuyển diện quản lý cơ bản đối với pháp nhân</w:t>
            </w:r>
          </w:p>
        </w:tc>
      </w:tr>
      <w:tr w:rsidR="007214E9" w:rsidRPr="007214E9" w14:paraId="7E002D11" w14:textId="77777777" w:rsidTr="00823494">
        <w:trPr>
          <w:jc w:val="center"/>
        </w:trPr>
        <w:tc>
          <w:tcPr>
            <w:tcW w:w="846" w:type="dxa"/>
            <w:vAlign w:val="center"/>
          </w:tcPr>
          <w:p w14:paraId="2C7FDB03" w14:textId="77777777" w:rsidR="00091EFE" w:rsidRPr="007214E9" w:rsidRDefault="00091EFE" w:rsidP="00823494">
            <w:pPr>
              <w:jc w:val="center"/>
              <w:rPr>
                <w:b/>
                <w:bCs/>
                <w:color w:val="000000" w:themeColor="text1"/>
                <w:sz w:val="26"/>
                <w:szCs w:val="26"/>
                <w:lang w:val="es-ES"/>
              </w:rPr>
            </w:pPr>
          </w:p>
        </w:tc>
        <w:tc>
          <w:tcPr>
            <w:tcW w:w="2267" w:type="dxa"/>
            <w:vAlign w:val="center"/>
          </w:tcPr>
          <w:p w14:paraId="4001D5DC" w14:textId="77777777" w:rsidR="00091EFE" w:rsidRPr="007214E9" w:rsidRDefault="00091EFE" w:rsidP="00823494">
            <w:pPr>
              <w:jc w:val="center"/>
              <w:rPr>
                <w:b/>
                <w:bCs/>
                <w:color w:val="000000" w:themeColor="text1"/>
                <w:sz w:val="26"/>
                <w:szCs w:val="26"/>
                <w:lang w:val="es-ES"/>
              </w:rPr>
            </w:pPr>
            <w:r w:rsidRPr="007214E9">
              <w:rPr>
                <w:b/>
                <w:bCs/>
                <w:color w:val="000000" w:themeColor="text1"/>
                <w:sz w:val="26"/>
                <w:szCs w:val="26"/>
                <w:lang w:val="es-ES"/>
              </w:rPr>
              <w:t>KẾT LUẬN</w:t>
            </w:r>
          </w:p>
        </w:tc>
        <w:tc>
          <w:tcPr>
            <w:tcW w:w="2976" w:type="dxa"/>
            <w:vAlign w:val="center"/>
          </w:tcPr>
          <w:p w14:paraId="2176359C" w14:textId="77777777" w:rsidR="00091EFE" w:rsidRPr="007214E9" w:rsidRDefault="00091EFE" w:rsidP="00823494">
            <w:pPr>
              <w:jc w:val="center"/>
              <w:rPr>
                <w:rFonts w:eastAsia=".VnTime"/>
                <w:b/>
                <w:color w:val="000000" w:themeColor="text1"/>
                <w:sz w:val="26"/>
                <w:szCs w:val="26"/>
                <w:lang w:val="nl-NL"/>
              </w:rPr>
            </w:pPr>
            <w:r w:rsidRPr="007214E9">
              <w:rPr>
                <w:rFonts w:eastAsia=".VnTime"/>
                <w:b/>
                <w:color w:val="000000" w:themeColor="text1"/>
                <w:sz w:val="26"/>
                <w:szCs w:val="26"/>
                <w:lang w:val="nl-NL"/>
              </w:rPr>
              <w:t>ĐẠT</w:t>
            </w:r>
          </w:p>
          <w:p w14:paraId="4EF36F99" w14:textId="77777777" w:rsidR="00091EFE" w:rsidRPr="007214E9" w:rsidRDefault="00091EFE" w:rsidP="00823494">
            <w:pPr>
              <w:jc w:val="center"/>
              <w:rPr>
                <w:b/>
                <w:bCs/>
                <w:color w:val="000000" w:themeColor="text1"/>
                <w:sz w:val="26"/>
                <w:szCs w:val="26"/>
                <w:lang w:val="es-ES"/>
              </w:rPr>
            </w:pPr>
            <w:r w:rsidRPr="007214E9">
              <w:rPr>
                <w:rFonts w:eastAsia=".VnTime"/>
                <w:i/>
                <w:color w:val="000000" w:themeColor="text1"/>
                <w:sz w:val="26"/>
                <w:szCs w:val="26"/>
                <w:lang w:val="nl-NL"/>
              </w:rPr>
              <w:t>(Khi tất cả các tiêu chí được đánh giá là “Đạt”).</w:t>
            </w:r>
          </w:p>
        </w:tc>
        <w:tc>
          <w:tcPr>
            <w:tcW w:w="2973" w:type="dxa"/>
            <w:vAlign w:val="center"/>
          </w:tcPr>
          <w:p w14:paraId="6C0D16D2" w14:textId="77777777" w:rsidR="00091EFE" w:rsidRPr="007214E9" w:rsidRDefault="00091EFE" w:rsidP="00823494">
            <w:pPr>
              <w:spacing w:line="276" w:lineRule="auto"/>
              <w:jc w:val="center"/>
              <w:rPr>
                <w:rFonts w:eastAsia=".VnTime"/>
                <w:b/>
                <w:color w:val="000000" w:themeColor="text1"/>
                <w:sz w:val="26"/>
                <w:szCs w:val="26"/>
                <w:lang w:val="nl-NL"/>
              </w:rPr>
            </w:pPr>
            <w:r w:rsidRPr="007214E9">
              <w:rPr>
                <w:rFonts w:eastAsia=".VnTime"/>
                <w:b/>
                <w:color w:val="000000" w:themeColor="text1"/>
                <w:sz w:val="26"/>
                <w:szCs w:val="26"/>
                <w:lang w:val="nl-NL"/>
              </w:rPr>
              <w:t>KHÔNG ĐẠT</w:t>
            </w:r>
          </w:p>
          <w:p w14:paraId="4D31791D" w14:textId="77777777" w:rsidR="00091EFE" w:rsidRPr="007214E9" w:rsidRDefault="00091EFE" w:rsidP="00823494">
            <w:pPr>
              <w:jc w:val="center"/>
              <w:rPr>
                <w:b/>
                <w:bCs/>
                <w:color w:val="000000" w:themeColor="text1"/>
                <w:sz w:val="26"/>
                <w:szCs w:val="26"/>
                <w:lang w:val="es-ES"/>
              </w:rPr>
            </w:pPr>
            <w:r w:rsidRPr="007214E9">
              <w:rPr>
                <w:rFonts w:eastAsia=".VnTime"/>
                <w:i/>
                <w:color w:val="000000" w:themeColor="text1"/>
                <w:sz w:val="26"/>
                <w:szCs w:val="26"/>
                <w:lang w:val="nl-NL"/>
              </w:rPr>
              <w:t>(Khi có bất kỳ 01 tiêu chí được đánh giá là “Không đạt”)</w:t>
            </w:r>
          </w:p>
        </w:tc>
      </w:tr>
    </w:tbl>
    <w:p w14:paraId="3970DA54" w14:textId="77777777" w:rsidR="00BE2265" w:rsidRPr="007214E9" w:rsidRDefault="00BE2265">
      <w:pPr>
        <w:rPr>
          <w:color w:val="000000" w:themeColor="text1"/>
        </w:rPr>
      </w:pPr>
    </w:p>
    <w:sectPr w:rsidR="00BE2265" w:rsidRPr="007214E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E658" w14:textId="77777777" w:rsidR="00166186" w:rsidRDefault="00166186" w:rsidP="00091EFE">
      <w:r>
        <w:separator/>
      </w:r>
    </w:p>
  </w:endnote>
  <w:endnote w:type="continuationSeparator" w:id="0">
    <w:p w14:paraId="114BC5BD" w14:textId="77777777" w:rsidR="00166186" w:rsidRDefault="00166186" w:rsidP="0009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85DA3" w14:textId="77777777" w:rsidR="00166186" w:rsidRDefault="00166186" w:rsidP="00091EFE">
      <w:r>
        <w:separator/>
      </w:r>
    </w:p>
  </w:footnote>
  <w:footnote w:type="continuationSeparator" w:id="0">
    <w:p w14:paraId="6DA01E3F" w14:textId="77777777" w:rsidR="00166186" w:rsidRDefault="00166186" w:rsidP="00091EFE">
      <w:r>
        <w:continuationSeparator/>
      </w:r>
    </w:p>
  </w:footnote>
  <w:footnote w:id="1">
    <w:p w14:paraId="67CDD5B7" w14:textId="77777777" w:rsidR="00091EFE" w:rsidRPr="008110CC" w:rsidRDefault="00091EFE" w:rsidP="00091EFE">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265"/>
    <w:rsid w:val="00091EFE"/>
    <w:rsid w:val="00166186"/>
    <w:rsid w:val="007214E9"/>
    <w:rsid w:val="00BE2265"/>
    <w:rsid w:val="00F4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A022"/>
  <w15:chartTrackingRefBased/>
  <w15:docId w15:val="{F0786613-34F7-4205-8570-29BBF5F6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EF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E2265"/>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2265"/>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2265"/>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2265"/>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E2265"/>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E2265"/>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E2265"/>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E2265"/>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E2265"/>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2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2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2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2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2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2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265"/>
    <w:rPr>
      <w:rFonts w:eastAsiaTheme="majorEastAsia" w:cstheme="majorBidi"/>
      <w:color w:val="272727" w:themeColor="text1" w:themeTint="D8"/>
    </w:rPr>
  </w:style>
  <w:style w:type="paragraph" w:styleId="Title">
    <w:name w:val="Title"/>
    <w:basedOn w:val="Normal"/>
    <w:next w:val="Normal"/>
    <w:link w:val="TitleChar"/>
    <w:uiPriority w:val="10"/>
    <w:qFormat/>
    <w:rsid w:val="00BE226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22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265"/>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2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26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E2265"/>
    <w:rPr>
      <w:i/>
      <w:iCs/>
      <w:color w:val="404040" w:themeColor="text1" w:themeTint="BF"/>
    </w:rPr>
  </w:style>
  <w:style w:type="paragraph" w:styleId="ListParagraph">
    <w:name w:val="List Paragraph"/>
    <w:basedOn w:val="Normal"/>
    <w:uiPriority w:val="34"/>
    <w:qFormat/>
    <w:rsid w:val="00BE2265"/>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E2265"/>
    <w:rPr>
      <w:i/>
      <w:iCs/>
      <w:color w:val="0F4761" w:themeColor="accent1" w:themeShade="BF"/>
    </w:rPr>
  </w:style>
  <w:style w:type="paragraph" w:styleId="IntenseQuote">
    <w:name w:val="Intense Quote"/>
    <w:basedOn w:val="Normal"/>
    <w:next w:val="Normal"/>
    <w:link w:val="IntenseQuoteChar"/>
    <w:uiPriority w:val="30"/>
    <w:qFormat/>
    <w:rsid w:val="00BE226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E2265"/>
    <w:rPr>
      <w:i/>
      <w:iCs/>
      <w:color w:val="0F4761" w:themeColor="accent1" w:themeShade="BF"/>
    </w:rPr>
  </w:style>
  <w:style w:type="character" w:styleId="IntenseReference">
    <w:name w:val="Intense Reference"/>
    <w:basedOn w:val="DefaultParagraphFont"/>
    <w:uiPriority w:val="32"/>
    <w:qFormat/>
    <w:rsid w:val="00BE2265"/>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91EFE"/>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91EFE"/>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091EFE"/>
    <w:rPr>
      <w:vertAlign w:val="superscript"/>
    </w:rPr>
  </w:style>
  <w:style w:type="table" w:styleId="TableGrid">
    <w:name w:val="Table Grid"/>
    <w:basedOn w:val="TableNormal"/>
    <w:rsid w:val="00091EFE"/>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minh</dc:creator>
  <cp:keywords/>
  <dc:description/>
  <cp:lastModifiedBy>duc minh</cp:lastModifiedBy>
  <cp:revision>3</cp:revision>
  <dcterms:created xsi:type="dcterms:W3CDTF">2025-12-03T09:51:00Z</dcterms:created>
  <dcterms:modified xsi:type="dcterms:W3CDTF">2025-12-03T09:51:00Z</dcterms:modified>
</cp:coreProperties>
</file>