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36C50">
      <w:pPr>
        <w:pStyle w:val="142"/>
        <w:keepNext w:val="0"/>
        <w:keepLines w:val="0"/>
        <w:pageBreakBefore w:val="0"/>
        <w:tabs>
          <w:tab w:val="right" w:leader="dot" w:pos="9062"/>
        </w:tabs>
        <w:kinsoku/>
        <w:wordWrap/>
        <w:overflowPunct/>
        <w:topLinePunct w:val="0"/>
        <w:autoSpaceDE/>
        <w:autoSpaceDN/>
        <w:bidi w:val="0"/>
        <w:adjustRightInd/>
        <w:snapToGrid/>
        <w:spacing w:after="0" w:line="360" w:lineRule="exact"/>
        <w:textAlignment w:val="auto"/>
        <w:rPr>
          <w:rFonts w:ascii="Times New Roman" w:hAnsi="Times New Roman" w:cs="Times New Roman"/>
          <w:b/>
          <w:bCs/>
          <w:color w:val="auto"/>
          <w:sz w:val="28"/>
          <w:szCs w:val="28"/>
          <w:highlight w:val="none"/>
        </w:rPr>
      </w:pPr>
      <w:r>
        <w:rPr>
          <w:rFonts w:ascii="Times New Roman" w:hAnsi="Times New Roman" w:cs="Times New Roman"/>
          <w:b/>
          <w:bCs/>
          <w:color w:val="auto"/>
          <w:sz w:val="28"/>
          <w:szCs w:val="28"/>
          <w:highlight w:val="none"/>
        </w:rPr>
        <w:t xml:space="preserve">Mục </w:t>
      </w:r>
      <w:r>
        <w:rPr>
          <w:rFonts w:ascii="Times New Roman" w:hAnsi="Times New Roman" w:cs="Times New Roman"/>
          <w:b/>
          <w:bCs/>
          <w:color w:val="auto"/>
          <w:sz w:val="28"/>
          <w:szCs w:val="28"/>
          <w:highlight w:val="none"/>
          <w:lang w:val="pl-PL"/>
        </w:rPr>
        <w:t>3</w:t>
      </w:r>
      <w:r>
        <w:rPr>
          <w:rFonts w:ascii="Times New Roman" w:hAnsi="Times New Roman" w:cs="Times New Roman"/>
          <w:b/>
          <w:bCs/>
          <w:color w:val="auto"/>
          <w:sz w:val="28"/>
          <w:szCs w:val="28"/>
          <w:highlight w:val="none"/>
        </w:rPr>
        <w:t>. Tiêu chuẩn đánh giá về kỹ thuật</w:t>
      </w:r>
    </w:p>
    <w:p w14:paraId="14038118">
      <w:pPr>
        <w:keepNext w:val="0"/>
        <w:keepLines w:val="0"/>
        <w:pageBreakBefore w:val="0"/>
        <w:kinsoku/>
        <w:wordWrap/>
        <w:overflowPunct/>
        <w:topLinePunct w:val="0"/>
        <w:autoSpaceDE/>
        <w:autoSpaceDN/>
        <w:bidi w:val="0"/>
        <w:adjustRightInd/>
        <w:snapToGrid/>
        <w:spacing w:after="0" w:line="360" w:lineRule="exact"/>
        <w:ind w:firstLine="709"/>
        <w:textAlignment w:val="auto"/>
        <w:rPr>
          <w:color w:val="auto"/>
          <w:sz w:val="28"/>
          <w:szCs w:val="28"/>
          <w:highlight w:val="none"/>
          <w:lang w:val="vi-VN"/>
        </w:rPr>
      </w:pPr>
      <w:r>
        <w:rPr>
          <w:color w:val="auto"/>
          <w:sz w:val="28"/>
          <w:szCs w:val="28"/>
          <w:highlight w:val="none"/>
          <w:lang w:val="vi-VN"/>
        </w:rPr>
        <w:t>Sử dụng tiêu chí đạt/không đạt hoặc phương pháp chấm điểm để xây dựng tiêu chuẩn đánh giá về kỹ thuật.</w:t>
      </w:r>
    </w:p>
    <w:p w14:paraId="54DABFF9">
      <w:pPr>
        <w:keepNext w:val="0"/>
        <w:keepLines w:val="0"/>
        <w:pageBreakBefore w:val="0"/>
        <w:kinsoku/>
        <w:wordWrap/>
        <w:overflowPunct/>
        <w:topLinePunct w:val="0"/>
        <w:autoSpaceDE/>
        <w:autoSpaceDN/>
        <w:bidi w:val="0"/>
        <w:adjustRightInd/>
        <w:snapToGrid/>
        <w:spacing w:after="0" w:line="360" w:lineRule="exact"/>
        <w:ind w:firstLine="709"/>
        <w:textAlignment w:val="auto"/>
        <w:rPr>
          <w:rFonts w:eastAsia="Calibri"/>
          <w:color w:val="auto"/>
          <w:spacing w:val="2"/>
          <w:sz w:val="28"/>
          <w:szCs w:val="28"/>
          <w:highlight w:val="none"/>
          <w:lang w:val="vi-VN"/>
        </w:rPr>
      </w:pPr>
      <w:r>
        <w:rPr>
          <w:rFonts w:eastAsia="Calibri"/>
          <w:color w:val="auto"/>
          <w:spacing w:val="2"/>
          <w:sz w:val="28"/>
          <w:szCs w:val="28"/>
          <w:highlight w:val="none"/>
          <w:lang w:val="vi-VN"/>
        </w:rPr>
        <w:t xml:space="preserve">Việc xây dựng </w:t>
      </w:r>
      <w:r>
        <w:rPr>
          <w:rFonts w:eastAsia="Calibri"/>
          <w:color w:val="auto"/>
          <w:sz w:val="28"/>
          <w:szCs w:val="28"/>
          <w:highlight w:val="none"/>
          <w:lang w:val="vi-VN"/>
        </w:rPr>
        <w:t>tiêu chuẩn đánh giá về kỹ thuật</w:t>
      </w:r>
      <w:r>
        <w:rPr>
          <w:rFonts w:eastAsia="Calibri"/>
          <w:color w:val="auto"/>
          <w:spacing w:val="2"/>
          <w:sz w:val="28"/>
          <w:szCs w:val="28"/>
          <w:highlight w:val="none"/>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w:t>
      </w:r>
      <w:r>
        <w:rPr>
          <w:rFonts w:hint="default" w:eastAsia="Calibri"/>
          <w:color w:val="auto"/>
          <w:spacing w:val="2"/>
          <w:sz w:val="28"/>
          <w:szCs w:val="28"/>
          <w:highlight w:val="none"/>
          <w:lang w:val="en-US"/>
        </w:rPr>
        <w:t>19</w:t>
      </w:r>
      <w:r>
        <w:rPr>
          <w:rFonts w:eastAsia="Calibri"/>
          <w:color w:val="auto"/>
          <w:spacing w:val="2"/>
          <w:sz w:val="28"/>
          <w:szCs w:val="28"/>
          <w:highlight w:val="none"/>
          <w:lang w:val="vi-VN"/>
        </w:rPr>
        <w:t xml:space="preserve"> và Điều </w:t>
      </w:r>
      <w:r>
        <w:rPr>
          <w:rFonts w:hint="default" w:eastAsia="Calibri"/>
          <w:color w:val="auto"/>
          <w:spacing w:val="2"/>
          <w:sz w:val="28"/>
          <w:szCs w:val="28"/>
          <w:highlight w:val="none"/>
          <w:lang w:val="en-US"/>
        </w:rPr>
        <w:t>20</w:t>
      </w:r>
      <w:r>
        <w:rPr>
          <w:rFonts w:eastAsia="Calibri"/>
          <w:color w:val="auto"/>
          <w:spacing w:val="2"/>
          <w:sz w:val="28"/>
          <w:szCs w:val="28"/>
          <w:highlight w:val="none"/>
          <w:lang w:val="vi-VN"/>
        </w:rPr>
        <w:t xml:space="preserve"> của Nghị định</w:t>
      </w:r>
      <w:r>
        <w:rPr>
          <w:color w:val="auto"/>
          <w:sz w:val="28"/>
          <w:szCs w:val="28"/>
          <w:highlight w:val="none"/>
          <w:lang w:val="vi-VN"/>
        </w:rPr>
        <w:t xml:space="preserve"> </w:t>
      </w:r>
      <w:r>
        <w:rPr>
          <w:rFonts w:eastAsia="Calibri"/>
          <w:color w:val="auto"/>
          <w:spacing w:val="2"/>
          <w:sz w:val="28"/>
          <w:szCs w:val="28"/>
          <w:highlight w:val="none"/>
          <w:lang w:val="vi-VN"/>
        </w:rPr>
        <w:t>số 2</w:t>
      </w:r>
      <w:r>
        <w:rPr>
          <w:rFonts w:hint="default" w:eastAsia="Calibri"/>
          <w:color w:val="auto"/>
          <w:spacing w:val="2"/>
          <w:sz w:val="28"/>
          <w:szCs w:val="28"/>
          <w:highlight w:val="none"/>
          <w:lang w:val="en-US"/>
        </w:rPr>
        <w:t>1</w:t>
      </w:r>
      <w:r>
        <w:rPr>
          <w:rFonts w:eastAsia="Calibri"/>
          <w:color w:val="auto"/>
          <w:spacing w:val="2"/>
          <w:sz w:val="28"/>
          <w:szCs w:val="28"/>
          <w:highlight w:val="none"/>
          <w:lang w:val="vi-VN"/>
        </w:rPr>
        <w:t>4/202</w:t>
      </w:r>
      <w:r>
        <w:rPr>
          <w:rFonts w:hint="default" w:eastAsia="Calibri"/>
          <w:color w:val="auto"/>
          <w:spacing w:val="2"/>
          <w:sz w:val="28"/>
          <w:szCs w:val="28"/>
          <w:highlight w:val="none"/>
          <w:lang w:val="en-US"/>
        </w:rPr>
        <w:t>5</w:t>
      </w:r>
      <w:r>
        <w:rPr>
          <w:rFonts w:eastAsia="Calibri"/>
          <w:color w:val="auto"/>
          <w:spacing w:val="2"/>
          <w:sz w:val="28"/>
          <w:szCs w:val="28"/>
          <w:highlight w:val="none"/>
          <w:lang w:val="vi-VN"/>
        </w:rPr>
        <w:t xml:space="preserve">/NĐ-CP, </w:t>
      </w:r>
      <w:r>
        <w:rPr>
          <w:color w:val="auto"/>
          <w:sz w:val="28"/>
          <w:szCs w:val="28"/>
          <w:highlight w:val="none"/>
          <w:lang w:val="vi-VN"/>
        </w:rPr>
        <w:t xml:space="preserve">chất lượng hàng hóa tương tự được công khai theo quy định tại Điều </w:t>
      </w:r>
      <w:r>
        <w:rPr>
          <w:rFonts w:hint="default"/>
          <w:color w:val="auto"/>
          <w:sz w:val="28"/>
          <w:szCs w:val="28"/>
          <w:highlight w:val="none"/>
          <w:lang w:val="en-US"/>
        </w:rPr>
        <w:t>20</w:t>
      </w:r>
      <w:r>
        <w:rPr>
          <w:color w:val="auto"/>
          <w:sz w:val="28"/>
          <w:szCs w:val="28"/>
          <w:highlight w:val="none"/>
          <w:lang w:val="vi-VN"/>
        </w:rPr>
        <w:t xml:space="preserve"> của Nghị định số 2</w:t>
      </w:r>
      <w:r>
        <w:rPr>
          <w:rFonts w:hint="default"/>
          <w:color w:val="auto"/>
          <w:sz w:val="28"/>
          <w:szCs w:val="28"/>
          <w:highlight w:val="none"/>
          <w:lang w:val="en-US"/>
        </w:rPr>
        <w:t>1</w:t>
      </w:r>
      <w:r>
        <w:rPr>
          <w:color w:val="auto"/>
          <w:sz w:val="28"/>
          <w:szCs w:val="28"/>
          <w:highlight w:val="none"/>
          <w:lang w:val="vi-VN"/>
        </w:rPr>
        <w:t>4/202</w:t>
      </w:r>
      <w:r>
        <w:rPr>
          <w:rFonts w:hint="default"/>
          <w:color w:val="auto"/>
          <w:sz w:val="28"/>
          <w:szCs w:val="28"/>
          <w:highlight w:val="none"/>
          <w:lang w:val="en-US"/>
        </w:rPr>
        <w:t>5</w:t>
      </w:r>
      <w:r>
        <w:rPr>
          <w:color w:val="auto"/>
          <w:sz w:val="28"/>
          <w:szCs w:val="28"/>
          <w:highlight w:val="none"/>
          <w:lang w:val="vi-VN"/>
        </w:rPr>
        <w:t>/NĐ-CP (nếu có)</w:t>
      </w:r>
      <w:r>
        <w:rPr>
          <w:rFonts w:eastAsia="Calibri"/>
          <w:color w:val="auto"/>
          <w:spacing w:val="2"/>
          <w:sz w:val="28"/>
          <w:szCs w:val="28"/>
          <w:highlight w:val="none"/>
          <w:lang w:val="vi-VN"/>
        </w:rPr>
        <w:t xml:space="preserve"> và các yêu cầu khác nêu trong Chương V. Căn cứ từng gói thầu cụ thể, khi lập E-HSMT phải cụ thể hóa các tiêu chí làm cơ sở để đánh giá về kỹ thuật bao gồm:</w:t>
      </w:r>
    </w:p>
    <w:p w14:paraId="6142F795">
      <w:pPr>
        <w:keepNext w:val="0"/>
        <w:keepLines w:val="0"/>
        <w:pageBreakBefore w:val="0"/>
        <w:widowControl w:val="0"/>
        <w:kinsoku/>
        <w:wordWrap/>
        <w:overflowPunct/>
        <w:topLinePunct w:val="0"/>
        <w:autoSpaceDE/>
        <w:autoSpaceDN/>
        <w:bidi w:val="0"/>
        <w:adjustRightInd/>
        <w:snapToGrid/>
        <w:spacing w:after="0" w:line="360" w:lineRule="exact"/>
        <w:ind w:firstLine="709"/>
        <w:textAlignment w:val="auto"/>
        <w:rPr>
          <w:color w:val="auto"/>
          <w:sz w:val="28"/>
          <w:szCs w:val="28"/>
          <w:highlight w:val="none"/>
          <w:lang w:val="vi-VN"/>
        </w:rPr>
      </w:pPr>
      <w:r>
        <w:rPr>
          <w:color w:val="auto"/>
          <w:sz w:val="28"/>
          <w:szCs w:val="28"/>
          <w:highlight w:val="none"/>
          <w:lang w:val="vi-VN"/>
        </w:rPr>
        <w:t>- Đặc tính, thông số kỹ thuật của hàng hóa, tiêu chuẩn sản xuất, tiêu chuẩn chế tạo và công nghệ;</w:t>
      </w:r>
    </w:p>
    <w:p w14:paraId="6C9E0BE0">
      <w:pPr>
        <w:keepNext w:val="0"/>
        <w:keepLines w:val="0"/>
        <w:pageBreakBefore w:val="0"/>
        <w:widowControl w:val="0"/>
        <w:tabs>
          <w:tab w:val="left" w:pos="851"/>
        </w:tabs>
        <w:kinsoku/>
        <w:wordWrap/>
        <w:overflowPunct/>
        <w:topLinePunct w:val="0"/>
        <w:autoSpaceDE/>
        <w:autoSpaceDN/>
        <w:bidi w:val="0"/>
        <w:adjustRightInd/>
        <w:snapToGrid/>
        <w:spacing w:after="0" w:line="360" w:lineRule="exact"/>
        <w:ind w:firstLine="709"/>
        <w:textAlignment w:val="auto"/>
        <w:rPr>
          <w:color w:val="auto"/>
          <w:sz w:val="28"/>
          <w:szCs w:val="28"/>
          <w:highlight w:val="none"/>
          <w:lang w:val="vi-VN"/>
        </w:rPr>
      </w:pPr>
      <w:r>
        <w:rPr>
          <w:color w:val="auto"/>
          <w:sz w:val="28"/>
          <w:szCs w:val="28"/>
          <w:highlight w:val="none"/>
          <w:lang w:val="vi-VN"/>
        </w:rPr>
        <w:t>- Tính hợp lý và hiệu quả kinh tế của các giải pháp kỹ thuật, biện pháp tổ chức cung cấp, lắp đặt hàng hóa;</w:t>
      </w:r>
    </w:p>
    <w:p w14:paraId="13A47FF4">
      <w:pPr>
        <w:keepNext w:val="0"/>
        <w:keepLines w:val="0"/>
        <w:pageBreakBefore w:val="0"/>
        <w:widowControl w:val="0"/>
        <w:tabs>
          <w:tab w:val="left" w:pos="851"/>
        </w:tabs>
        <w:kinsoku/>
        <w:wordWrap/>
        <w:overflowPunct/>
        <w:topLinePunct w:val="0"/>
        <w:autoSpaceDE/>
        <w:autoSpaceDN/>
        <w:bidi w:val="0"/>
        <w:adjustRightInd/>
        <w:snapToGrid/>
        <w:spacing w:after="0" w:line="360" w:lineRule="exact"/>
        <w:ind w:firstLine="709"/>
        <w:textAlignment w:val="auto"/>
        <w:rPr>
          <w:color w:val="auto"/>
          <w:sz w:val="28"/>
          <w:szCs w:val="28"/>
          <w:highlight w:val="none"/>
          <w:lang w:val="vi-VN"/>
        </w:rPr>
      </w:pPr>
      <w:r>
        <w:rPr>
          <w:color w:val="auto"/>
          <w:sz w:val="28"/>
          <w:szCs w:val="28"/>
          <w:highlight w:val="none"/>
          <w:lang w:val="vi-VN"/>
        </w:rPr>
        <w:t>- Mức độ đáp ứng các yêu cầu về bảo hành, bảo trì: nhà thầu phải trình bày được kế hoạch cung cấp dịch vụ bảo hành, bảo trì;</w:t>
      </w:r>
    </w:p>
    <w:p w14:paraId="063A886A">
      <w:pPr>
        <w:keepNext w:val="0"/>
        <w:keepLines w:val="0"/>
        <w:pageBreakBefore w:val="0"/>
        <w:widowControl w:val="0"/>
        <w:tabs>
          <w:tab w:val="left" w:pos="851"/>
        </w:tabs>
        <w:kinsoku/>
        <w:wordWrap/>
        <w:overflowPunct/>
        <w:topLinePunct w:val="0"/>
        <w:autoSpaceDE/>
        <w:autoSpaceDN/>
        <w:bidi w:val="0"/>
        <w:adjustRightInd/>
        <w:snapToGrid/>
        <w:spacing w:after="0" w:line="360" w:lineRule="exact"/>
        <w:ind w:firstLine="709"/>
        <w:textAlignment w:val="auto"/>
        <w:rPr>
          <w:color w:val="auto"/>
          <w:sz w:val="28"/>
          <w:szCs w:val="28"/>
          <w:highlight w:val="none"/>
          <w:lang w:val="vi-VN"/>
        </w:rPr>
      </w:pPr>
      <w:r>
        <w:rPr>
          <w:color w:val="auto"/>
          <w:sz w:val="28"/>
          <w:szCs w:val="28"/>
          <w:highlight w:val="none"/>
          <w:lang w:val="vi-VN"/>
        </w:rPr>
        <w:t xml:space="preserve">- Mức độ đáp ứng các yêu cầu về cung cấp vật tư, thiết bị thay thế và các dịch vụ liên quan khác (nếu có) trong toàn bộ quá trình sử dụng của hàng hóa. </w:t>
      </w:r>
    </w:p>
    <w:p w14:paraId="0E8FFDB0">
      <w:pPr>
        <w:keepNext w:val="0"/>
        <w:keepLines w:val="0"/>
        <w:pageBreakBefore w:val="0"/>
        <w:widowControl w:val="0"/>
        <w:tabs>
          <w:tab w:val="left" w:pos="851"/>
        </w:tabs>
        <w:kinsoku/>
        <w:wordWrap/>
        <w:overflowPunct/>
        <w:topLinePunct w:val="0"/>
        <w:autoSpaceDE/>
        <w:autoSpaceDN/>
        <w:bidi w:val="0"/>
        <w:adjustRightInd/>
        <w:snapToGrid/>
        <w:spacing w:after="0" w:line="360" w:lineRule="exact"/>
        <w:ind w:firstLine="709"/>
        <w:textAlignment w:val="auto"/>
        <w:rPr>
          <w:color w:val="auto"/>
          <w:sz w:val="28"/>
          <w:szCs w:val="28"/>
          <w:highlight w:val="none"/>
          <w:lang w:val="vi-VN"/>
        </w:rPr>
      </w:pPr>
      <w:r>
        <w:rPr>
          <w:color w:val="auto"/>
          <w:sz w:val="28"/>
          <w:szCs w:val="28"/>
          <w:highlight w:val="none"/>
          <w:lang w:val="vi-VN"/>
        </w:rPr>
        <w:t>- Khả năng thích ứng về mặt địa lý, môi trường;</w:t>
      </w:r>
    </w:p>
    <w:p w14:paraId="4503FEBC">
      <w:pPr>
        <w:keepNext w:val="0"/>
        <w:keepLines w:val="0"/>
        <w:pageBreakBefore w:val="0"/>
        <w:widowControl w:val="0"/>
        <w:tabs>
          <w:tab w:val="left" w:pos="851"/>
        </w:tabs>
        <w:kinsoku/>
        <w:wordWrap/>
        <w:overflowPunct/>
        <w:topLinePunct w:val="0"/>
        <w:autoSpaceDE/>
        <w:autoSpaceDN/>
        <w:bidi w:val="0"/>
        <w:adjustRightInd/>
        <w:snapToGrid/>
        <w:spacing w:after="0" w:line="360" w:lineRule="exact"/>
        <w:ind w:firstLine="709"/>
        <w:textAlignment w:val="auto"/>
        <w:rPr>
          <w:color w:val="auto"/>
          <w:sz w:val="28"/>
          <w:szCs w:val="28"/>
          <w:highlight w:val="none"/>
          <w:lang w:val="vi-VN"/>
        </w:rPr>
      </w:pPr>
      <w:r>
        <w:rPr>
          <w:color w:val="auto"/>
          <w:sz w:val="28"/>
          <w:szCs w:val="28"/>
          <w:highlight w:val="none"/>
          <w:lang w:val="vi-VN"/>
        </w:rPr>
        <w:t>- Tác động đối với môi trường và biện pháp giải quyết;</w:t>
      </w:r>
    </w:p>
    <w:p w14:paraId="45505C2C">
      <w:pPr>
        <w:keepNext w:val="0"/>
        <w:keepLines w:val="0"/>
        <w:pageBreakBefore w:val="0"/>
        <w:widowControl w:val="0"/>
        <w:tabs>
          <w:tab w:val="left" w:pos="851"/>
        </w:tabs>
        <w:kinsoku/>
        <w:wordWrap/>
        <w:overflowPunct/>
        <w:topLinePunct w:val="0"/>
        <w:autoSpaceDE/>
        <w:autoSpaceDN/>
        <w:bidi w:val="0"/>
        <w:adjustRightInd/>
        <w:snapToGrid/>
        <w:spacing w:after="0" w:line="360" w:lineRule="exact"/>
        <w:ind w:firstLine="709"/>
        <w:textAlignment w:val="auto"/>
        <w:rPr>
          <w:color w:val="auto"/>
          <w:sz w:val="28"/>
          <w:szCs w:val="28"/>
          <w:highlight w:val="none"/>
          <w:lang w:val="vi-VN"/>
        </w:rPr>
      </w:pPr>
      <w:r>
        <w:rPr>
          <w:color w:val="auto"/>
          <w:sz w:val="28"/>
          <w:szCs w:val="28"/>
          <w:highlight w:val="none"/>
          <w:lang w:val="vi-VN"/>
        </w:rPr>
        <w:t>- Tiêu chí đấu thầu bền vững (nếu có);</w:t>
      </w:r>
    </w:p>
    <w:p w14:paraId="36ECD0B6">
      <w:pPr>
        <w:keepNext w:val="0"/>
        <w:keepLines w:val="0"/>
        <w:pageBreakBefore w:val="0"/>
        <w:widowControl w:val="0"/>
        <w:tabs>
          <w:tab w:val="left" w:pos="851"/>
        </w:tabs>
        <w:kinsoku/>
        <w:wordWrap/>
        <w:overflowPunct/>
        <w:topLinePunct w:val="0"/>
        <w:autoSpaceDE/>
        <w:autoSpaceDN/>
        <w:bidi w:val="0"/>
        <w:adjustRightInd/>
        <w:snapToGrid/>
        <w:spacing w:after="0" w:line="360" w:lineRule="exact"/>
        <w:ind w:firstLine="709"/>
        <w:textAlignment w:val="auto"/>
        <w:rPr>
          <w:color w:val="auto"/>
          <w:sz w:val="28"/>
          <w:szCs w:val="28"/>
          <w:highlight w:val="none"/>
          <w:lang w:val="vi-VN"/>
        </w:rPr>
      </w:pPr>
      <w:r>
        <w:rPr>
          <w:color w:val="auto"/>
          <w:sz w:val="28"/>
          <w:szCs w:val="28"/>
          <w:highlight w:val="none"/>
          <w:lang w:val="vi-VN"/>
        </w:rPr>
        <w:t>- Các yếu tố về điều kiện thương mại, thời gian giao hàng, đào tạo chuyển giao công nghệ, cung cấp các dịch vụ sau bán hàng;</w:t>
      </w:r>
    </w:p>
    <w:p w14:paraId="360FAFF5">
      <w:pPr>
        <w:keepNext w:val="0"/>
        <w:keepLines w:val="0"/>
        <w:pageBreakBefore w:val="0"/>
        <w:widowControl w:val="0"/>
        <w:tabs>
          <w:tab w:val="left" w:pos="851"/>
        </w:tabs>
        <w:kinsoku/>
        <w:wordWrap/>
        <w:overflowPunct/>
        <w:topLinePunct w:val="0"/>
        <w:autoSpaceDE/>
        <w:autoSpaceDN/>
        <w:bidi w:val="0"/>
        <w:adjustRightInd/>
        <w:snapToGrid/>
        <w:spacing w:after="0" w:line="360" w:lineRule="exact"/>
        <w:ind w:firstLine="709"/>
        <w:textAlignment w:val="auto"/>
        <w:rPr>
          <w:color w:val="auto"/>
          <w:sz w:val="28"/>
          <w:szCs w:val="28"/>
          <w:highlight w:val="none"/>
          <w:lang w:val="vi-VN"/>
        </w:rPr>
      </w:pPr>
      <w:r>
        <w:rPr>
          <w:color w:val="auto"/>
          <w:sz w:val="28"/>
          <w:szCs w:val="28"/>
          <w:highlight w:val="none"/>
          <w:lang w:val="vi-VN"/>
        </w:rPr>
        <w:t>- Tiến độ cung cấp hàng hóa;</w:t>
      </w:r>
    </w:p>
    <w:p w14:paraId="4B61969D">
      <w:pPr>
        <w:keepNext w:val="0"/>
        <w:keepLines w:val="0"/>
        <w:pageBreakBefore w:val="0"/>
        <w:widowControl w:val="0"/>
        <w:tabs>
          <w:tab w:val="left" w:pos="851"/>
        </w:tabs>
        <w:kinsoku/>
        <w:wordWrap/>
        <w:overflowPunct/>
        <w:topLinePunct w:val="0"/>
        <w:autoSpaceDE/>
        <w:autoSpaceDN/>
        <w:bidi w:val="0"/>
        <w:adjustRightInd/>
        <w:snapToGrid/>
        <w:spacing w:after="0" w:line="360" w:lineRule="exact"/>
        <w:ind w:firstLine="709"/>
        <w:textAlignment w:val="auto"/>
        <w:rPr>
          <w:color w:val="auto"/>
          <w:sz w:val="28"/>
          <w:szCs w:val="28"/>
          <w:highlight w:val="none"/>
          <w:lang w:val="vi-VN"/>
        </w:rPr>
      </w:pPr>
      <w:r>
        <w:rPr>
          <w:color w:val="auto"/>
          <w:sz w:val="28"/>
          <w:szCs w:val="28"/>
          <w:highlight w:val="none"/>
          <w:lang w:val="vi-VN"/>
        </w:rPr>
        <w:t>- Yếu tố thân thiện môi trường;</w:t>
      </w:r>
    </w:p>
    <w:p w14:paraId="5AB144FC">
      <w:pPr>
        <w:keepNext w:val="0"/>
        <w:keepLines w:val="0"/>
        <w:pageBreakBefore w:val="0"/>
        <w:widowControl w:val="0"/>
        <w:tabs>
          <w:tab w:val="left" w:pos="851"/>
        </w:tabs>
        <w:kinsoku/>
        <w:wordWrap/>
        <w:overflowPunct/>
        <w:topLinePunct w:val="0"/>
        <w:autoSpaceDE/>
        <w:autoSpaceDN/>
        <w:bidi w:val="0"/>
        <w:adjustRightInd/>
        <w:snapToGrid/>
        <w:spacing w:after="0" w:line="360" w:lineRule="exact"/>
        <w:ind w:firstLine="709"/>
        <w:textAlignment w:val="auto"/>
        <w:rPr>
          <w:sz w:val="28"/>
          <w:szCs w:val="28"/>
        </w:rPr>
      </w:pPr>
      <w:r>
        <w:rPr>
          <w:sz w:val="28"/>
          <w:szCs w:val="28"/>
          <w:lang w:val="vi-VN"/>
        </w:rPr>
        <w:t xml:space="preserve">Kết quả thực hiện hợp đồng của nhà thầu đối với gói thầu cung cấp hàng hóa, EPC, EP, PC, chìa khóa trao tay theo quy định tại </w:t>
      </w:r>
      <w:r>
        <w:rPr>
          <w:rFonts w:eastAsia="Calibri"/>
          <w:spacing w:val="2"/>
          <w:sz w:val="28"/>
          <w:szCs w:val="28"/>
        </w:rPr>
        <w:t>Điều 19 và</w:t>
      </w:r>
      <w:r>
        <w:rPr>
          <w:sz w:val="28"/>
          <w:szCs w:val="28"/>
          <w:lang w:val="vi-VN"/>
        </w:rPr>
        <w:t xml:space="preserve"> Điều </w:t>
      </w:r>
      <w:r>
        <w:rPr>
          <w:sz w:val="28"/>
          <w:szCs w:val="28"/>
        </w:rPr>
        <w:t>20</w:t>
      </w:r>
      <w:r>
        <w:rPr>
          <w:sz w:val="28"/>
          <w:szCs w:val="28"/>
          <w:lang w:val="vi-VN"/>
        </w:rPr>
        <w:t xml:space="preserve"> của Nghị định số</w:t>
      </w:r>
      <w:r>
        <w:rPr>
          <w:sz w:val="28"/>
          <w:szCs w:val="28"/>
        </w:rPr>
        <w:t xml:space="preserve"> 214</w:t>
      </w:r>
      <w:r>
        <w:rPr>
          <w:sz w:val="28"/>
          <w:szCs w:val="28"/>
          <w:lang w:val="vi-VN"/>
        </w:rPr>
        <w:t xml:space="preserve">/2025/NĐ-CP, chất lượng hàng hóa tương tự được công khai theo quy định tại Điều </w:t>
      </w:r>
      <w:r>
        <w:rPr>
          <w:sz w:val="28"/>
          <w:szCs w:val="28"/>
        </w:rPr>
        <w:t>20</w:t>
      </w:r>
      <w:r>
        <w:rPr>
          <w:sz w:val="28"/>
          <w:szCs w:val="28"/>
          <w:lang w:val="vi-VN"/>
        </w:rPr>
        <w:t xml:space="preserve"> của Nghị định số</w:t>
      </w:r>
      <w:r>
        <w:rPr>
          <w:sz w:val="28"/>
          <w:szCs w:val="28"/>
        </w:rPr>
        <w:t xml:space="preserve"> 214</w:t>
      </w:r>
      <w:r>
        <w:rPr>
          <w:sz w:val="28"/>
          <w:szCs w:val="28"/>
          <w:lang w:val="vi-VN"/>
        </w:rPr>
        <w:t>/2025/NĐ-CP (nếu có);</w:t>
      </w:r>
    </w:p>
    <w:p w14:paraId="04CB3F4C">
      <w:pPr>
        <w:keepNext w:val="0"/>
        <w:keepLines w:val="0"/>
        <w:pageBreakBefore w:val="0"/>
        <w:widowControl w:val="0"/>
        <w:tabs>
          <w:tab w:val="left" w:pos="851"/>
        </w:tabs>
        <w:kinsoku/>
        <w:wordWrap/>
        <w:overflowPunct/>
        <w:topLinePunct w:val="0"/>
        <w:autoSpaceDE/>
        <w:autoSpaceDN/>
        <w:bidi w:val="0"/>
        <w:adjustRightInd/>
        <w:snapToGrid/>
        <w:spacing w:after="0" w:line="360" w:lineRule="exact"/>
        <w:ind w:firstLine="709"/>
        <w:textAlignment w:val="auto"/>
        <w:rPr>
          <w:sz w:val="28"/>
          <w:szCs w:val="28"/>
          <w:lang w:val="vi-VN"/>
        </w:rPr>
      </w:pPr>
      <w:r>
        <w:rPr>
          <w:sz w:val="28"/>
          <w:szCs w:val="28"/>
          <w:lang w:val="vi-VN"/>
        </w:rPr>
        <w:t>- Các yếu tố cần thiết khác.</w:t>
      </w:r>
    </w:p>
    <w:p w14:paraId="7989653F">
      <w:pPr>
        <w:keepNext w:val="0"/>
        <w:keepLines w:val="0"/>
        <w:pageBreakBefore w:val="0"/>
        <w:kinsoku/>
        <w:wordWrap/>
        <w:overflowPunct/>
        <w:topLinePunct w:val="0"/>
        <w:autoSpaceDE/>
        <w:autoSpaceDN/>
        <w:bidi w:val="0"/>
        <w:adjustRightInd/>
        <w:snapToGrid/>
        <w:spacing w:after="0" w:line="360" w:lineRule="exact"/>
        <w:ind w:firstLine="709"/>
        <w:textAlignment w:val="auto"/>
        <w:rPr>
          <w:color w:val="auto"/>
          <w:sz w:val="28"/>
          <w:szCs w:val="28"/>
          <w:highlight w:val="none"/>
          <w:lang w:val="vi-VN"/>
        </w:rPr>
      </w:pPr>
      <w:r>
        <w:rPr>
          <w:b/>
          <w:iCs/>
          <w:color w:val="auto"/>
          <w:sz w:val="28"/>
          <w:szCs w:val="28"/>
          <w:highlight w:val="none"/>
          <w:lang w:val="vi-VN"/>
        </w:rPr>
        <w:t>Đánh giá theo phương pháp đạt/không đạt</w:t>
      </w:r>
      <w:r>
        <w:rPr>
          <w:b/>
          <w:color w:val="auto"/>
          <w:sz w:val="28"/>
          <w:szCs w:val="28"/>
          <w:highlight w:val="none"/>
          <w:lang w:val="vi-VN"/>
        </w:rPr>
        <w:t>:</w:t>
      </w:r>
    </w:p>
    <w:p w14:paraId="44E4AF2E">
      <w:pPr>
        <w:keepNext w:val="0"/>
        <w:keepLines w:val="0"/>
        <w:pageBreakBefore w:val="0"/>
        <w:kinsoku/>
        <w:wordWrap/>
        <w:overflowPunct/>
        <w:topLinePunct w:val="0"/>
        <w:autoSpaceDE/>
        <w:autoSpaceDN/>
        <w:bidi w:val="0"/>
        <w:adjustRightInd/>
        <w:snapToGrid/>
        <w:spacing w:after="0" w:line="360" w:lineRule="exact"/>
        <w:ind w:firstLine="709"/>
        <w:textAlignment w:val="auto"/>
        <w:rPr>
          <w:color w:val="auto"/>
          <w:sz w:val="28"/>
          <w:szCs w:val="28"/>
          <w:highlight w:val="none"/>
          <w:lang w:val="vi-VN"/>
        </w:rPr>
      </w:pPr>
      <w:r>
        <w:rPr>
          <w:color w:val="auto"/>
          <w:sz w:val="28"/>
          <w:szCs w:val="28"/>
          <w:highlight w:val="none"/>
          <w:lang w:val="vi-VN"/>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433F3B4">
      <w:pPr>
        <w:keepNext w:val="0"/>
        <w:keepLines w:val="0"/>
        <w:pageBreakBefore w:val="0"/>
        <w:kinsoku/>
        <w:wordWrap/>
        <w:overflowPunct/>
        <w:topLinePunct w:val="0"/>
        <w:autoSpaceDE/>
        <w:autoSpaceDN/>
        <w:bidi w:val="0"/>
        <w:adjustRightInd/>
        <w:snapToGrid/>
        <w:spacing w:after="0" w:line="360" w:lineRule="exact"/>
        <w:ind w:firstLine="709"/>
        <w:textAlignment w:val="auto"/>
        <w:rPr>
          <w:color w:val="auto"/>
          <w:sz w:val="28"/>
          <w:szCs w:val="28"/>
          <w:highlight w:val="none"/>
          <w:lang w:val="vi-VN"/>
        </w:rPr>
      </w:pPr>
      <w:r>
        <w:rPr>
          <w:color w:val="auto"/>
          <w:sz w:val="28"/>
          <w:szCs w:val="28"/>
          <w:highlight w:val="none"/>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5D455D54">
      <w:pPr>
        <w:keepNext w:val="0"/>
        <w:keepLines w:val="0"/>
        <w:pageBreakBefore w:val="0"/>
        <w:kinsoku/>
        <w:wordWrap/>
        <w:overflowPunct/>
        <w:topLinePunct w:val="0"/>
        <w:autoSpaceDE/>
        <w:autoSpaceDN/>
        <w:bidi w:val="0"/>
        <w:adjustRightInd/>
        <w:snapToGrid/>
        <w:spacing w:after="0" w:line="360" w:lineRule="exact"/>
        <w:ind w:firstLine="709"/>
        <w:textAlignment w:val="auto"/>
        <w:rPr>
          <w:color w:val="auto"/>
          <w:sz w:val="28"/>
          <w:szCs w:val="28"/>
          <w:highlight w:val="none"/>
          <w:lang w:val="vi-VN"/>
        </w:rPr>
      </w:pPr>
      <w:r>
        <w:rPr>
          <w:color w:val="auto"/>
          <w:sz w:val="28"/>
          <w:szCs w:val="28"/>
          <w:highlight w:val="none"/>
          <w:lang w:val="vi-VN"/>
        </w:rPr>
        <w:t xml:space="preserve">E-HSDT được đánh giá là đáp ứng yêu cầu về kỹ thuật khi có tất cả các tiêu chí tổng quát đều được đánh giá là đạt. </w:t>
      </w:r>
    </w:p>
    <w:tbl>
      <w:tblPr>
        <w:tblStyle w:val="111"/>
        <w:tblW w:w="10177"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382"/>
        <w:gridCol w:w="3544"/>
        <w:gridCol w:w="3514"/>
      </w:tblGrid>
      <w:tr w14:paraId="5717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247BB26F">
            <w:pPr>
              <w:shd w:val="clear" w:color="auto" w:fill="FFFFFF" w:themeFill="background1"/>
              <w:spacing w:before="80" w:after="80"/>
              <w:jc w:val="center"/>
              <w:rPr>
                <w:rFonts w:ascii="Times New Roman" w:hAnsi="Times New Roman"/>
                <w:b/>
                <w:color w:val="auto"/>
                <w:highlight w:val="none"/>
                <w:lang w:val="es-ES"/>
              </w:rPr>
            </w:pPr>
            <w:r>
              <w:rPr>
                <w:rFonts w:ascii="Times New Roman" w:hAnsi="Times New Roman"/>
                <w:b/>
                <w:color w:val="auto"/>
                <w:highlight w:val="none"/>
                <w:lang w:val="es-ES"/>
              </w:rPr>
              <w:t>TT</w:t>
            </w:r>
          </w:p>
        </w:tc>
        <w:tc>
          <w:tcPr>
            <w:tcW w:w="2382" w:type="dxa"/>
          </w:tcPr>
          <w:p w14:paraId="2A23B94C">
            <w:pPr>
              <w:shd w:val="clear" w:color="auto" w:fill="FFFFFF" w:themeFill="background1"/>
              <w:spacing w:before="80" w:after="80"/>
              <w:jc w:val="center"/>
              <w:rPr>
                <w:rFonts w:ascii="Times New Roman" w:hAnsi="Times New Roman"/>
                <w:b/>
                <w:color w:val="auto"/>
                <w:highlight w:val="none"/>
                <w:lang w:val="es-ES"/>
              </w:rPr>
            </w:pPr>
            <w:r>
              <w:rPr>
                <w:rFonts w:ascii="Times New Roman" w:hAnsi="Times New Roman"/>
                <w:b/>
                <w:color w:val="auto"/>
                <w:highlight w:val="none"/>
                <w:lang w:val="es-ES"/>
              </w:rPr>
              <w:t>Nội dung yêu cầu</w:t>
            </w:r>
          </w:p>
        </w:tc>
        <w:tc>
          <w:tcPr>
            <w:tcW w:w="3544" w:type="dxa"/>
          </w:tcPr>
          <w:p w14:paraId="26F5E881">
            <w:pPr>
              <w:shd w:val="clear" w:color="auto" w:fill="FFFFFF" w:themeFill="background1"/>
              <w:spacing w:before="80" w:after="80"/>
              <w:jc w:val="center"/>
              <w:rPr>
                <w:rFonts w:ascii="Times New Roman" w:hAnsi="Times New Roman"/>
                <w:b/>
                <w:color w:val="auto"/>
                <w:highlight w:val="none"/>
                <w:lang w:val="es-ES"/>
              </w:rPr>
            </w:pPr>
            <w:r>
              <w:rPr>
                <w:rFonts w:ascii="Times New Roman" w:hAnsi="Times New Roman"/>
                <w:b/>
                <w:color w:val="auto"/>
                <w:highlight w:val="none"/>
                <w:lang w:val="es-ES"/>
              </w:rPr>
              <w:t>Đạt</w:t>
            </w:r>
          </w:p>
        </w:tc>
        <w:tc>
          <w:tcPr>
            <w:tcW w:w="3514" w:type="dxa"/>
          </w:tcPr>
          <w:p w14:paraId="0480BACB">
            <w:pPr>
              <w:shd w:val="clear" w:color="auto" w:fill="FFFFFF" w:themeFill="background1"/>
              <w:spacing w:before="80" w:after="80"/>
              <w:jc w:val="center"/>
              <w:rPr>
                <w:rFonts w:ascii="Times New Roman" w:hAnsi="Times New Roman"/>
                <w:b/>
                <w:color w:val="auto"/>
                <w:highlight w:val="none"/>
                <w:lang w:val="es-ES"/>
              </w:rPr>
            </w:pPr>
            <w:r>
              <w:rPr>
                <w:rFonts w:ascii="Times New Roman" w:hAnsi="Times New Roman"/>
                <w:b/>
                <w:color w:val="auto"/>
                <w:highlight w:val="none"/>
                <w:lang w:val="es-ES"/>
              </w:rPr>
              <w:t>Không đạt</w:t>
            </w:r>
          </w:p>
        </w:tc>
      </w:tr>
      <w:tr w14:paraId="7C15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37" w:type="dxa"/>
          </w:tcPr>
          <w:p w14:paraId="1AA0A169">
            <w:pPr>
              <w:shd w:val="clear" w:color="auto" w:fill="FFFFFF" w:themeFill="background1"/>
              <w:spacing w:before="80" w:after="80"/>
              <w:rPr>
                <w:rFonts w:ascii="Times New Roman" w:hAnsi="Times New Roman"/>
                <w:color w:val="auto"/>
                <w:highlight w:val="none"/>
                <w:lang w:val="es-ES"/>
              </w:rPr>
            </w:pPr>
            <w:r>
              <w:rPr>
                <w:rFonts w:ascii="Times New Roman" w:hAnsi="Times New Roman"/>
                <w:color w:val="auto"/>
                <w:highlight w:val="none"/>
                <w:lang w:val="es-ES"/>
              </w:rPr>
              <w:t>1</w:t>
            </w:r>
          </w:p>
        </w:tc>
        <w:tc>
          <w:tcPr>
            <w:tcW w:w="2382" w:type="dxa"/>
          </w:tcPr>
          <w:p w14:paraId="00772961">
            <w:pPr>
              <w:shd w:val="clear" w:color="auto" w:fill="FFFFFF" w:themeFill="background1"/>
              <w:spacing w:before="80" w:after="80"/>
              <w:rPr>
                <w:rFonts w:ascii="Times New Roman" w:hAnsi="Times New Roman"/>
                <w:b/>
                <w:iCs/>
                <w:color w:val="auto"/>
                <w:highlight w:val="none"/>
                <w:lang w:val="es-ES"/>
              </w:rPr>
            </w:pPr>
            <w:r>
              <w:rPr>
                <w:rFonts w:ascii="Times New Roman" w:hAnsi="Times New Roman"/>
                <w:b/>
                <w:color w:val="auto"/>
                <w:highlight w:val="none"/>
                <w:lang w:val="vi-VN"/>
              </w:rPr>
              <w:t>Đặc tính, thông số kỹ thuật của hàng hóa, tiêu chuẩn sản xuất</w:t>
            </w:r>
            <w:r>
              <w:rPr>
                <w:rFonts w:ascii="Times New Roman" w:hAnsi="Times New Roman"/>
                <w:b/>
                <w:color w:val="auto"/>
                <w:highlight w:val="none"/>
                <w:lang w:val="es-ES"/>
              </w:rPr>
              <w:t>, tiêu chuẩn chế tạo và công nghệ, bao gồm các yếu tố như c</w:t>
            </w:r>
            <w:r>
              <w:rPr>
                <w:rFonts w:ascii="Times New Roman" w:hAnsi="Times New Roman"/>
                <w:b/>
                <w:iCs/>
                <w:color w:val="auto"/>
                <w:spacing w:val="-8"/>
                <w:highlight w:val="none"/>
                <w:lang w:val="es-ES"/>
              </w:rPr>
              <w:t>ông suất, hiệu suất của máy móc, thiết bị; m</w:t>
            </w:r>
            <w:r>
              <w:rPr>
                <w:rFonts w:ascii="Times New Roman" w:hAnsi="Times New Roman"/>
                <w:b/>
                <w:iCs/>
                <w:color w:val="auto"/>
                <w:highlight w:val="none"/>
                <w:lang w:val="es-ES"/>
              </w:rPr>
              <w:t>ức tiêu hao điện năng, nguyên nhiên vật liệu.</w:t>
            </w:r>
          </w:p>
          <w:p w14:paraId="7100E073">
            <w:pPr>
              <w:shd w:val="clear" w:color="auto" w:fill="FFFFFF" w:themeFill="background1"/>
              <w:spacing w:before="80" w:after="80"/>
              <w:rPr>
                <w:rFonts w:ascii="Times New Roman" w:hAnsi="Times New Roman"/>
                <w:b/>
                <w:iCs/>
                <w:color w:val="auto"/>
                <w:highlight w:val="none"/>
                <w:lang w:val="es-ES"/>
              </w:rPr>
            </w:pPr>
            <w:r>
              <w:rPr>
                <w:rFonts w:ascii="Times New Roman" w:hAnsi="Times New Roman" w:cs="Times New Roman"/>
                <w:color w:val="000000" w:themeColor="text1"/>
                <w14:textFill>
                  <w14:solidFill>
                    <w14:schemeClr w14:val="tx1"/>
                  </w14:solidFill>
                </w14:textFill>
              </w:rPr>
              <w:t>(</w:t>
            </w:r>
            <w:r>
              <w:rPr>
                <w:rFonts w:ascii="Times New Roman" w:hAnsi="Times New Roman" w:cs="Times New Roman"/>
                <w:i/>
                <w:color w:val="000000" w:themeColor="text1"/>
                <w14:textFill>
                  <w14:solidFill>
                    <w14:schemeClr w14:val="tx1"/>
                  </w14:solidFill>
                </w14:textFill>
              </w:rPr>
              <w:t>Trong trường hợp E-HSDT thiếu một số nội dung, Chủ đầu tư có thể yêu cầu làm rõ  E-HSDT, đảm bảo nguyên tắc làm rõ tại E-CDNT 23).</w:t>
            </w:r>
          </w:p>
        </w:tc>
        <w:tc>
          <w:tcPr>
            <w:tcW w:w="3544" w:type="dxa"/>
            <w:vAlign w:val="top"/>
          </w:tcPr>
          <w:p w14:paraId="32DDBEAF">
            <w:pPr>
              <w:shd w:val="clear" w:color="auto" w:fill="FFFFFF" w:themeFill="background1"/>
              <w:spacing w:after="0" w:line="240" w:lineRule="auto"/>
              <w:ind w:right="173"/>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i) </w:t>
            </w:r>
            <w:r>
              <w:rPr>
                <w:rFonts w:ascii="Times New Roman" w:hAnsi="Times New Roman" w:cs="Times New Roman"/>
                <w:color w:val="000000" w:themeColor="text1"/>
                <w:lang w:val="vi-VN"/>
                <w14:textFill>
                  <w14:solidFill>
                    <w14:schemeClr w14:val="tx1"/>
                  </w14:solidFill>
                </w14:textFill>
              </w:rPr>
              <w:t xml:space="preserve">Có cam kết các đặc tính, thông số kỹ thuật của hàng hoá chào thầu theo đúng yêu cầu trong E-HSMT với các thông số kỹ thuật </w:t>
            </w:r>
            <w:r>
              <w:rPr>
                <w:rFonts w:ascii="Times New Roman" w:hAnsi="Times New Roman" w:cs="Times New Roman"/>
                <w:color w:val="000000" w:themeColor="text1"/>
                <w:u w:val="single"/>
                <w:lang w:val="vi-VN"/>
                <w14:textFill>
                  <w14:solidFill>
                    <w14:schemeClr w14:val="tx1"/>
                  </w14:solidFill>
                </w14:textFill>
              </w:rPr>
              <w:t>đáp ứng yêu cầu</w:t>
            </w:r>
            <w:r>
              <w:rPr>
                <w:rFonts w:ascii="Times New Roman" w:hAnsi="Times New Roman" w:cs="Times New Roman"/>
                <w:color w:val="000000" w:themeColor="text1"/>
                <w:lang w:val="vi-VN"/>
                <w14:textFill>
                  <w14:solidFill>
                    <w14:schemeClr w14:val="tx1"/>
                  </w14:solidFill>
                </w14:textFill>
              </w:rPr>
              <w:t xml:space="preserve"> của E-HSMT</w:t>
            </w:r>
          </w:p>
          <w:p w14:paraId="14E3C664">
            <w:pPr>
              <w:widowControl w:val="0"/>
              <w:shd w:val="clear" w:color="auto" w:fill="FFFFFF" w:themeFill="background1"/>
              <w:tabs>
                <w:tab w:val="right" w:pos="7254"/>
              </w:tabs>
              <w:spacing w:after="0" w:line="240" w:lineRule="auto"/>
              <w:ind w:firstLine="96"/>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vi-VN"/>
                <w14:textFill>
                  <w14:solidFill>
                    <w14:schemeClr w14:val="tx1"/>
                  </w14:solidFill>
                </w14:textFill>
              </w:rPr>
              <w:t>ii)</w:t>
            </w:r>
            <w:r>
              <w:rPr>
                <w:rFonts w:ascii="Times New Roman" w:hAnsi="Times New Roman" w:cs="Times New Roman"/>
                <w:color w:val="000000" w:themeColor="text1"/>
                <w14:textFill>
                  <w14:solidFill>
                    <w14:schemeClr w14:val="tx1"/>
                  </w14:solidFill>
                </w14:textFill>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Pr>
                <w:rFonts w:ascii="Times New Roman" w:hAnsi="Times New Roman" w:cs="Times New Roman"/>
                <w:color w:val="000000" w:themeColor="text1"/>
                <w:lang w:val="vi-VN"/>
                <w14:textFill>
                  <w14:solidFill>
                    <w14:schemeClr w14:val="tx1"/>
                  </w14:solidFill>
                </w14:textFill>
              </w:rPr>
              <w:t xml:space="preserve"> của E-HSMT</w:t>
            </w:r>
            <w:r>
              <w:rPr>
                <w:rFonts w:ascii="Times New Roman" w:hAnsi="Times New Roman" w:cs="Times New Roman"/>
                <w:color w:val="000000" w:themeColor="text1"/>
                <w14:textFill>
                  <w14:solidFill>
                    <w14:schemeClr w14:val="tx1"/>
                  </w14:solidFill>
                </w14:textFill>
              </w:rPr>
              <w:t>.</w:t>
            </w:r>
          </w:p>
          <w:p w14:paraId="5250C828">
            <w:pPr>
              <w:widowControl w:val="0"/>
              <w:shd w:val="clear" w:color="auto" w:fill="FFFFFF" w:themeFill="background1"/>
              <w:tabs>
                <w:tab w:val="left" w:pos="851"/>
              </w:tabs>
              <w:spacing w:after="0" w:line="264" w:lineRule="auto"/>
              <w:jc w:val="both"/>
              <w:rPr>
                <w:rFonts w:ascii="Times New Roman" w:hAnsi="Times New Roman" w:cs="Times New Roman"/>
                <w:color w:val="000000" w:themeColor="text1"/>
                <w:lang w:val="vi-VN"/>
                <w14:textFill>
                  <w14:solidFill>
                    <w14:schemeClr w14:val="tx1"/>
                  </w14:solidFill>
                </w14:textFill>
              </w:rPr>
            </w:pPr>
            <w:r>
              <w:rPr>
                <w:rFonts w:ascii="Times New Roman" w:hAnsi="Times New Roman" w:cs="Times New Roman"/>
                <w:color w:val="000000" w:themeColor="text1"/>
                <w14:textFill>
                  <w14:solidFill>
                    <w14:schemeClr w14:val="tx1"/>
                  </w14:solidFill>
                </w14:textFill>
              </w:rPr>
              <w:t>ii</w:t>
            </w:r>
            <w:r>
              <w:rPr>
                <w:rFonts w:ascii="Times New Roman" w:hAnsi="Times New Roman" w:cs="Times New Roman"/>
                <w:color w:val="000000" w:themeColor="text1"/>
                <w:lang w:val="vi-VN"/>
                <w14:textFill>
                  <w14:solidFill>
                    <w14:schemeClr w14:val="tx1"/>
                  </w14:solidFill>
                </w14:textFill>
              </w:rPr>
              <w:t>i</w:t>
            </w:r>
            <w:r>
              <w:rPr>
                <w:rFonts w:ascii="Times New Roman" w:hAnsi="Times New Roman" w:cs="Times New Roman"/>
                <w:color w:val="000000" w:themeColor="text1"/>
                <w14:textFill>
                  <w14:solidFill>
                    <w14:schemeClr w14:val="tx1"/>
                  </w14:solidFill>
                </w14:textFill>
              </w:rPr>
              <w:t>) Cung cấp đầy đủ các biên bản thử nghiệm như đã yêu cầu trong Chương V “Yêu cầu kỹ thuật”</w:t>
            </w:r>
            <w:r>
              <w:rPr>
                <w:rFonts w:ascii="Times New Roman" w:hAnsi="Times New Roman" w:cs="Times New Roman"/>
                <w:color w:val="000000" w:themeColor="text1"/>
                <w:lang w:val="vi-VN"/>
                <w14:textFill>
                  <w14:solidFill>
                    <w14:schemeClr w14:val="tx1"/>
                  </w14:solidFill>
                </w14:textFill>
              </w:rPr>
              <w:t xml:space="preserve"> của E-HSMT</w:t>
            </w:r>
          </w:p>
          <w:p w14:paraId="6BBB523B">
            <w:pPr>
              <w:widowControl w:val="0"/>
              <w:shd w:val="clear" w:color="auto" w:fill="FFFFFF" w:themeFill="background1"/>
              <w:tabs>
                <w:tab w:val="left" w:pos="851"/>
              </w:tabs>
              <w:spacing w:after="0" w:line="264"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iv) Có chứng chỉ quản lý chất lượng ISO 900X của nhà sản xuất (còn hiệu lực).</w:t>
            </w:r>
          </w:p>
          <w:p w14:paraId="7DDCF70A">
            <w:pPr>
              <w:widowControl w:val="0"/>
              <w:shd w:val="clear" w:color="auto" w:fill="FFFFFF" w:themeFill="background1"/>
              <w:tabs>
                <w:tab w:val="left" w:pos="851"/>
              </w:tabs>
              <w:spacing w:after="0" w:line="264" w:lineRule="auto"/>
              <w:jc w:val="both"/>
              <w:rPr>
                <w:rFonts w:hint="default" w:ascii="Times New Roman" w:hAnsi="Times New Roman" w:cs="Times New Roman"/>
                <w:i/>
                <w:color w:val="auto"/>
                <w:sz w:val="24"/>
                <w:szCs w:val="24"/>
                <w:highlight w:val="none"/>
                <w:lang w:val="vi-VN"/>
              </w:rPr>
            </w:pPr>
          </w:p>
        </w:tc>
        <w:tc>
          <w:tcPr>
            <w:tcW w:w="3514" w:type="dxa"/>
            <w:vAlign w:val="top"/>
          </w:tcPr>
          <w:p w14:paraId="1195AD03">
            <w:pPr>
              <w:widowControl w:val="0"/>
              <w:shd w:val="clear" w:color="auto" w:fill="FFFFFF" w:themeFill="background1"/>
              <w:tabs>
                <w:tab w:val="left" w:pos="851"/>
              </w:tabs>
              <w:spacing w:after="0" w:line="264"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vi-VN"/>
                <w14:textFill>
                  <w14:solidFill>
                    <w14:schemeClr w14:val="tx1"/>
                  </w14:solidFill>
                </w14:textFill>
              </w:rPr>
              <w:t xml:space="preserve">i) Không có cam kết hoặc có cam kết nhưng không đáp ứng các đặc tính, thông số kỹ thuật của hàng hoá chào thầu theo đúng yêu cầu trong E-HSMT </w:t>
            </w:r>
          </w:p>
          <w:p w14:paraId="615F05FB">
            <w:pPr>
              <w:widowControl w:val="0"/>
              <w:shd w:val="clear" w:color="auto" w:fill="FFFFFF" w:themeFill="background1"/>
              <w:tabs>
                <w:tab w:val="left" w:pos="851"/>
              </w:tabs>
              <w:spacing w:after="0" w:line="264" w:lineRule="auto"/>
              <w:jc w:val="both"/>
              <w:rPr>
                <w:rFonts w:ascii="Times New Roman" w:hAnsi="Times New Roman" w:cs="Times New Roman"/>
                <w:i/>
                <w:color w:val="000000" w:themeColor="text1"/>
                <w:lang w:val="vi-VN"/>
                <w14:textFill>
                  <w14:solidFill>
                    <w14:schemeClr w14:val="tx1"/>
                  </w14:solidFill>
                </w14:textFill>
              </w:rPr>
            </w:pPr>
            <w:r>
              <w:rPr>
                <w:rFonts w:ascii="Times New Roman" w:hAnsi="Times New Roman" w:cs="Times New Roman"/>
                <w:i/>
                <w:color w:val="000000" w:themeColor="text1"/>
                <w:lang w:val="vi-VN"/>
                <w14:textFill>
                  <w14:solidFill>
                    <w14:schemeClr w14:val="tx1"/>
                  </w14:solidFill>
                </w14:textFill>
              </w:rPr>
              <w:t>Hoặc</w:t>
            </w:r>
          </w:p>
          <w:p w14:paraId="5B1BFB6E">
            <w:pPr>
              <w:widowControl w:val="0"/>
              <w:shd w:val="clear" w:color="auto" w:fill="FFFFFF" w:themeFill="background1"/>
              <w:tabs>
                <w:tab w:val="left" w:pos="851"/>
              </w:tabs>
              <w:spacing w:after="0" w:line="264" w:lineRule="auto"/>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lang w:val="vi-VN"/>
                <w14:textFill>
                  <w14:solidFill>
                    <w14:schemeClr w14:val="tx1"/>
                  </w14:solidFill>
                </w14:textFill>
              </w:rPr>
              <w:t xml:space="preserve">ii) </w:t>
            </w:r>
            <w:r>
              <w:rPr>
                <w:rFonts w:ascii="Times New Roman" w:hAnsi="Times New Roman" w:cs="Times New Roman"/>
                <w:color w:val="000000" w:themeColor="text1"/>
                <w14:textFill>
                  <w14:solidFill>
                    <w14:schemeClr w14:val="tx1"/>
                  </w14:solidFill>
                </w14:textFill>
              </w:rPr>
              <w:t xml:space="preserve">Không </w:t>
            </w:r>
            <w:r>
              <w:rPr>
                <w:rFonts w:ascii="Times New Roman" w:hAnsi="Times New Roman" w:cs="Times New Roman"/>
                <w:color w:val="000000" w:themeColor="text1"/>
                <w:lang w:val="vi-VN"/>
                <w14:textFill>
                  <w14:solidFill>
                    <w14:schemeClr w14:val="tx1"/>
                  </w14:solidFill>
                </w14:textFill>
              </w:rPr>
              <w:t>c</w:t>
            </w:r>
            <w:r>
              <w:rPr>
                <w:rFonts w:ascii="Times New Roman" w:hAnsi="Times New Roman" w:cs="Times New Roman"/>
                <w:color w:val="000000" w:themeColor="text1"/>
                <w14:textFill>
                  <w14:solidFill>
                    <w14:schemeClr w14:val="tx1"/>
                  </w14:solidFill>
                </w14:textFill>
              </w:rPr>
              <w:t>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02A7E202">
            <w:pPr>
              <w:widowControl w:val="0"/>
              <w:shd w:val="clear" w:color="auto" w:fill="FFFFFF" w:themeFill="background1"/>
              <w:tabs>
                <w:tab w:val="right" w:pos="7254"/>
              </w:tabs>
              <w:spacing w:after="0" w:line="240" w:lineRule="auto"/>
              <w:ind w:firstLine="96"/>
              <w:jc w:val="both"/>
              <w:rPr>
                <w:rFonts w:ascii="Times New Roman" w:hAnsi="Times New Roman" w:cs="Times New Roman"/>
                <w:i/>
                <w:color w:val="000000" w:themeColor="text1"/>
                <w14:textFill>
                  <w14:solidFill>
                    <w14:schemeClr w14:val="tx1"/>
                  </w14:solidFill>
                </w14:textFill>
              </w:rPr>
            </w:pPr>
            <w:r>
              <w:rPr>
                <w:rFonts w:ascii="Times New Roman" w:hAnsi="Times New Roman" w:cs="Times New Roman"/>
                <w:i/>
                <w:color w:val="000000" w:themeColor="text1"/>
                <w14:textFill>
                  <w14:solidFill>
                    <w14:schemeClr w14:val="tx1"/>
                  </w14:solidFill>
                </w14:textFill>
              </w:rPr>
              <w:t>Hoặc</w:t>
            </w:r>
          </w:p>
          <w:p w14:paraId="689B5BDD">
            <w:pPr>
              <w:widowControl w:val="0"/>
              <w:shd w:val="clear" w:color="auto" w:fill="FFFFFF" w:themeFill="background1"/>
              <w:tabs>
                <w:tab w:val="right" w:pos="7254"/>
              </w:tabs>
              <w:spacing w:after="0" w:line="240" w:lineRule="auto"/>
              <w:ind w:firstLine="96"/>
              <w:jc w:val="both"/>
              <w:rPr>
                <w:rFonts w:ascii="Times New Roman" w:hAnsi="Times New Roman" w:cs="Times New Roman"/>
                <w:i/>
                <w:color w:val="000000" w:themeColor="text1"/>
                <w14:textFill>
                  <w14:solidFill>
                    <w14:schemeClr w14:val="tx1"/>
                  </w14:solidFill>
                </w14:textFill>
              </w:rPr>
            </w:pPr>
            <w:r>
              <w:rPr>
                <w:rFonts w:ascii="Times New Roman" w:hAnsi="Times New Roman" w:cs="Times New Roman"/>
                <w:color w:val="000000" w:themeColor="text1"/>
                <w:lang w:val="vi-VN"/>
                <w14:textFill>
                  <w14:solidFill>
                    <w14:schemeClr w14:val="tx1"/>
                  </w14:solidFill>
                </w14:textFill>
              </w:rPr>
              <w:t xml:space="preserve">iii) Không </w:t>
            </w:r>
            <w:r>
              <w:rPr>
                <w:rFonts w:ascii="Times New Roman" w:hAnsi="Times New Roman" w:cs="Times New Roman"/>
                <w:color w:val="000000" w:themeColor="text1"/>
                <w14:textFill>
                  <w14:solidFill>
                    <w14:schemeClr w14:val="tx1"/>
                  </w14:solidFill>
                </w14:textFill>
              </w:rPr>
              <w:t>Cung cấp đầy đủ các biên bản thử nghiệm như đã yêu cầu trong Chương V “Yêu cầu kỹ thuật”</w:t>
            </w:r>
            <w:r>
              <w:rPr>
                <w:rFonts w:ascii="Times New Roman" w:hAnsi="Times New Roman" w:cs="Times New Roman"/>
                <w:color w:val="000000" w:themeColor="text1"/>
                <w:lang w:val="vi-VN"/>
                <w14:textFill>
                  <w14:solidFill>
                    <w14:schemeClr w14:val="tx1"/>
                  </w14:solidFill>
                </w14:textFill>
              </w:rPr>
              <w:t xml:space="preserve"> của E-HSMT.</w:t>
            </w:r>
          </w:p>
          <w:p w14:paraId="30EB5995">
            <w:pPr>
              <w:widowControl w:val="0"/>
              <w:shd w:val="clear" w:color="auto" w:fill="FFFFFF" w:themeFill="background1"/>
              <w:tabs>
                <w:tab w:val="right" w:pos="7254"/>
              </w:tabs>
              <w:spacing w:after="0" w:line="240" w:lineRule="auto"/>
              <w:ind w:firstLine="96"/>
              <w:jc w:val="both"/>
              <w:rPr>
                <w:rFonts w:ascii="Times New Roman" w:hAnsi="Times New Roman" w:cs="Times New Roman"/>
                <w:i/>
                <w:color w:val="000000" w:themeColor="text1"/>
                <w14:textFill>
                  <w14:solidFill>
                    <w14:schemeClr w14:val="tx1"/>
                  </w14:solidFill>
                </w14:textFill>
              </w:rPr>
            </w:pPr>
            <w:r>
              <w:rPr>
                <w:rFonts w:ascii="Times New Roman" w:hAnsi="Times New Roman" w:cs="Times New Roman"/>
                <w:i/>
                <w:color w:val="000000" w:themeColor="text1"/>
                <w14:textFill>
                  <w14:solidFill>
                    <w14:schemeClr w14:val="tx1"/>
                  </w14:solidFill>
                </w14:textFill>
              </w:rPr>
              <w:t>Hoặc</w:t>
            </w:r>
          </w:p>
          <w:p w14:paraId="288B3AC5">
            <w:pPr>
              <w:widowControl w:val="0"/>
              <w:shd w:val="clear" w:color="auto" w:fill="FFFFFF" w:themeFill="background1"/>
              <w:tabs>
                <w:tab w:val="left" w:pos="851"/>
              </w:tabs>
              <w:spacing w:after="0" w:line="264" w:lineRule="auto"/>
              <w:jc w:val="both"/>
              <w:rPr>
                <w:rFonts w:ascii="Times New Roman" w:hAnsi="Times New Roman" w:cs="Times New Roman"/>
                <w:color w:val="000000" w:themeColor="text1"/>
                <w:lang w:val="vi-VN"/>
                <w14:textFill>
                  <w14:solidFill>
                    <w14:schemeClr w14:val="tx1"/>
                  </w14:solidFill>
                </w14:textFill>
              </w:rPr>
            </w:pPr>
            <w:r>
              <w:rPr>
                <w:rFonts w:ascii="Times New Roman" w:hAnsi="Times New Roman" w:cs="Times New Roman"/>
                <w:color w:val="000000" w:themeColor="text1"/>
                <w:lang w:val="vi-VN"/>
                <w14:textFill>
                  <w14:solidFill>
                    <w14:schemeClr w14:val="tx1"/>
                  </w14:solidFill>
                </w14:textFill>
              </w:rPr>
              <w:t xml:space="preserve">iv) </w:t>
            </w:r>
            <w:r>
              <w:rPr>
                <w:rFonts w:ascii="Times New Roman" w:hAnsi="Times New Roman" w:cs="Times New Roman"/>
                <w:color w:val="000000" w:themeColor="text1"/>
                <w14:textFill>
                  <w14:solidFill>
                    <w14:schemeClr w14:val="tx1"/>
                  </w14:solidFill>
                </w14:textFill>
              </w:rPr>
              <w:t>Không có chứng chỉ quản lý chất lượng ISO 900X của nhà sản xuất (còn hiệu lực</w:t>
            </w:r>
            <w:r>
              <w:rPr>
                <w:rFonts w:ascii="Times New Roman" w:hAnsi="Times New Roman" w:cs="Times New Roman"/>
                <w:color w:val="000000" w:themeColor="text1"/>
                <w:lang w:val="vi-VN"/>
                <w14:textFill>
                  <w14:solidFill>
                    <w14:schemeClr w14:val="tx1"/>
                  </w14:solidFill>
                </w14:textFill>
              </w:rPr>
              <w:t>).</w:t>
            </w:r>
          </w:p>
          <w:p w14:paraId="2DF0DAEB">
            <w:pPr>
              <w:widowControl w:val="0"/>
              <w:shd w:val="clear" w:color="auto" w:fill="FFFFFF" w:themeFill="background1"/>
              <w:tabs>
                <w:tab w:val="left" w:pos="851"/>
              </w:tabs>
              <w:spacing w:after="0" w:line="264" w:lineRule="auto"/>
              <w:jc w:val="both"/>
              <w:rPr>
                <w:rFonts w:hint="default" w:ascii="Times New Roman" w:hAnsi="Times New Roman" w:cs="Times New Roman"/>
                <w:i/>
                <w:iCs/>
                <w:color w:val="auto"/>
                <w:sz w:val="24"/>
                <w:szCs w:val="24"/>
                <w:highlight w:val="none"/>
                <w:lang w:val="en-US"/>
              </w:rPr>
            </w:pPr>
          </w:p>
        </w:tc>
      </w:tr>
      <w:tr w14:paraId="3EBA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5F1F6562">
            <w:pPr>
              <w:shd w:val="clear" w:color="auto" w:fill="FFFFFF" w:themeFill="background1"/>
              <w:spacing w:before="80" w:after="80"/>
              <w:rPr>
                <w:rFonts w:hint="default" w:ascii="Times New Roman" w:hAnsi="Times New Roman" w:cs="Times New Roman"/>
                <w:color w:val="auto"/>
                <w:highlight w:val="none"/>
                <w:lang w:val="es-ES"/>
              </w:rPr>
            </w:pPr>
            <w:r>
              <w:rPr>
                <w:rFonts w:hint="default" w:ascii="Times New Roman" w:hAnsi="Times New Roman" w:cs="Times New Roman"/>
                <w:color w:val="auto"/>
                <w:highlight w:val="none"/>
                <w:lang w:val="es-ES"/>
              </w:rPr>
              <w:t>2</w:t>
            </w:r>
          </w:p>
        </w:tc>
        <w:tc>
          <w:tcPr>
            <w:tcW w:w="2382" w:type="dxa"/>
          </w:tcPr>
          <w:p w14:paraId="044891DF">
            <w:pPr>
              <w:shd w:val="clear" w:color="auto" w:fill="FFFFFF" w:themeFill="background1"/>
              <w:spacing w:before="80" w:after="80"/>
              <w:rPr>
                <w:rFonts w:hint="default" w:ascii="Times New Roman" w:hAnsi="Times New Roman" w:cs="Times New Roman"/>
                <w:b/>
                <w:color w:val="auto"/>
                <w:highlight w:val="none"/>
                <w:lang w:val="es-ES"/>
              </w:rPr>
            </w:pPr>
            <w:r>
              <w:rPr>
                <w:rFonts w:hint="default" w:ascii="Times New Roman" w:hAnsi="Times New Roman" w:cs="Times New Roman"/>
                <w:b/>
                <w:color w:val="auto"/>
                <w:highlight w:val="none"/>
                <w:lang w:val="es-ES"/>
              </w:rPr>
              <w:t>G</w:t>
            </w:r>
            <w:r>
              <w:rPr>
                <w:rFonts w:hint="default" w:ascii="Times New Roman" w:hAnsi="Times New Roman" w:cs="Times New Roman"/>
                <w:b/>
                <w:color w:val="auto"/>
                <w:highlight w:val="none"/>
                <w:lang w:val="vi-VN"/>
              </w:rPr>
              <w:t>iải pháp kỹ thuật, biện pháp tổ chức cung cấp, lắp đặt hàng hóa</w:t>
            </w:r>
            <w:r>
              <w:rPr>
                <w:rFonts w:hint="default" w:ascii="Times New Roman" w:hAnsi="Times New Roman" w:cs="Times New Roman"/>
                <w:b/>
                <w:color w:val="auto"/>
                <w:highlight w:val="none"/>
                <w:lang w:val="es-ES"/>
              </w:rPr>
              <w:t>.</w:t>
            </w:r>
          </w:p>
          <w:p w14:paraId="698E128F">
            <w:pPr>
              <w:shd w:val="clear" w:color="auto" w:fill="FFFFFF" w:themeFill="background1"/>
              <w:spacing w:before="80" w:after="80"/>
              <w:rPr>
                <w:rFonts w:hint="default" w:ascii="Times New Roman" w:hAnsi="Times New Roman" w:cs="Times New Roman"/>
                <w:color w:val="auto"/>
                <w:highlight w:val="none"/>
                <w:lang w:val="es-ES"/>
              </w:rPr>
            </w:pPr>
            <w:r>
              <w:rPr>
                <w:rFonts w:hint="default" w:ascii="Times New Roman" w:hAnsi="Times New Roman" w:cs="Times New Roman"/>
                <w:color w:val="auto"/>
                <w:highlight w:val="none"/>
                <w:lang w:val="vi-VN"/>
              </w:rPr>
              <w:t>Tính hợp lý và hiệu quả kinh tế của các giải pháp kỹ thuật, biện pháp tổ chức cung cấp, lắp đặt hàng hóa</w:t>
            </w:r>
            <w:r>
              <w:rPr>
                <w:rFonts w:hint="default" w:ascii="Times New Roman" w:hAnsi="Times New Roman" w:cs="Times New Roman"/>
                <w:color w:val="auto"/>
                <w:highlight w:val="none"/>
                <w:lang w:val="es-ES"/>
              </w:rPr>
              <w:t>.</w:t>
            </w:r>
          </w:p>
        </w:tc>
        <w:tc>
          <w:tcPr>
            <w:tcW w:w="3544" w:type="dxa"/>
          </w:tcPr>
          <w:p w14:paraId="42EEFD8D">
            <w:pPr>
              <w:pStyle w:val="249"/>
              <w:widowControl w:val="0"/>
              <w:numPr>
                <w:ilvl w:val="0"/>
                <w:numId w:val="11"/>
              </w:numPr>
              <w:shd w:val="clear" w:color="auto" w:fill="FFFFFF" w:themeFill="background1"/>
              <w:tabs>
                <w:tab w:val="left" w:pos="851"/>
              </w:tabs>
              <w:spacing w:before="120" w:after="120" w:line="264" w:lineRule="auto"/>
              <w:ind w:left="246" w:hanging="270"/>
              <w:rPr>
                <w:rFonts w:hint="default" w:ascii="Times New Roman" w:hAnsi="Times New Roman" w:cs="Times New Roman"/>
                <w:color w:val="auto"/>
                <w:szCs w:val="24"/>
                <w:highlight w:val="none"/>
                <w:lang w:val="vi-VN"/>
              </w:rPr>
            </w:pPr>
            <w:r>
              <w:rPr>
                <w:rFonts w:hint="default" w:ascii="Times New Roman" w:hAnsi="Times New Roman" w:cs="Times New Roman"/>
                <w:color w:val="auto"/>
                <w:szCs w:val="24"/>
                <w:highlight w:val="none"/>
                <w:lang w:val="es-ES"/>
              </w:rPr>
              <w:t>Có</w:t>
            </w:r>
            <w:r>
              <w:rPr>
                <w:rFonts w:hint="default" w:ascii="Times New Roman" w:hAnsi="Times New Roman" w:cs="Times New Roman"/>
                <w:color w:val="auto"/>
                <w:szCs w:val="24"/>
                <w:highlight w:val="none"/>
                <w:lang w:val="vi-VN"/>
              </w:rPr>
              <w:t xml:space="preserve"> biện pháp tổ chức cung cấp hàng hóa hợp lý và hiệu quả kinh tế.</w:t>
            </w:r>
          </w:p>
        </w:tc>
        <w:tc>
          <w:tcPr>
            <w:tcW w:w="3514" w:type="dxa"/>
          </w:tcPr>
          <w:p w14:paraId="4B290248">
            <w:pPr>
              <w:pStyle w:val="249"/>
              <w:numPr>
                <w:ilvl w:val="0"/>
                <w:numId w:val="12"/>
              </w:numPr>
              <w:shd w:val="clear" w:color="auto" w:fill="FFFFFF" w:themeFill="background1"/>
              <w:spacing w:before="80" w:after="80"/>
              <w:ind w:left="298" w:hanging="270"/>
              <w:rPr>
                <w:rFonts w:hint="default" w:ascii="Times New Roman" w:hAnsi="Times New Roman" w:cs="Times New Roman"/>
                <w:color w:val="auto"/>
                <w:szCs w:val="24"/>
                <w:highlight w:val="none"/>
                <w:lang w:val="vi-VN"/>
              </w:rPr>
            </w:pPr>
            <w:r>
              <w:rPr>
                <w:rFonts w:hint="default" w:ascii="Times New Roman" w:hAnsi="Times New Roman" w:cs="Times New Roman"/>
                <w:color w:val="auto"/>
                <w:szCs w:val="24"/>
                <w:highlight w:val="none"/>
                <w:lang w:val="vi-VN"/>
              </w:rPr>
              <w:t xml:space="preserve">Không có biện pháp tổ chức cung cấp hàng hóa hợp lý và hiệu quả </w:t>
            </w:r>
          </w:p>
          <w:p w14:paraId="0D9E6818">
            <w:pPr>
              <w:pStyle w:val="249"/>
              <w:shd w:val="clear" w:color="auto" w:fill="FFFFFF" w:themeFill="background1"/>
              <w:spacing w:before="80" w:after="80"/>
              <w:ind w:left="298"/>
              <w:rPr>
                <w:rFonts w:hint="default" w:ascii="Times New Roman" w:hAnsi="Times New Roman" w:cs="Times New Roman"/>
                <w:color w:val="auto"/>
                <w:szCs w:val="24"/>
                <w:highlight w:val="none"/>
                <w:lang w:val="vi-VN"/>
              </w:rPr>
            </w:pPr>
          </w:p>
        </w:tc>
      </w:tr>
      <w:tr w14:paraId="6A8E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3F6C47A8">
            <w:pPr>
              <w:shd w:val="clear" w:color="auto" w:fill="FFFFFF" w:themeFill="background1"/>
              <w:spacing w:before="80" w:after="80"/>
              <w:rPr>
                <w:rFonts w:hint="default" w:ascii="Times New Roman" w:hAnsi="Times New Roman" w:cs="Times New Roman"/>
                <w:color w:val="auto"/>
                <w:highlight w:val="none"/>
                <w:lang w:val="es-ES"/>
              </w:rPr>
            </w:pPr>
            <w:r>
              <w:rPr>
                <w:rFonts w:hint="default" w:ascii="Times New Roman" w:hAnsi="Times New Roman" w:cs="Times New Roman"/>
                <w:color w:val="auto"/>
                <w:highlight w:val="none"/>
                <w:lang w:val="es-ES"/>
              </w:rPr>
              <w:t>3</w:t>
            </w:r>
          </w:p>
        </w:tc>
        <w:tc>
          <w:tcPr>
            <w:tcW w:w="2382" w:type="dxa"/>
          </w:tcPr>
          <w:p w14:paraId="69063516">
            <w:pPr>
              <w:shd w:val="clear" w:color="auto" w:fill="FFFFFF" w:themeFill="background1"/>
              <w:spacing w:before="80" w:after="80"/>
              <w:rPr>
                <w:rFonts w:hint="default" w:ascii="Times New Roman" w:hAnsi="Times New Roman" w:cs="Times New Roman"/>
                <w:b/>
                <w:color w:val="auto"/>
                <w:highlight w:val="none"/>
                <w:lang w:val="es-ES"/>
              </w:rPr>
            </w:pPr>
            <w:r>
              <w:rPr>
                <w:rFonts w:hint="default" w:ascii="Times New Roman" w:hAnsi="Times New Roman" w:cs="Times New Roman"/>
                <w:b/>
                <w:color w:val="auto"/>
                <w:highlight w:val="none"/>
                <w:lang w:val="es-ES"/>
              </w:rPr>
              <w:t>Tiến độ cung cấp hàng hóa, thời gian giao hàng</w:t>
            </w:r>
          </w:p>
          <w:p w14:paraId="38051BC2">
            <w:pPr>
              <w:shd w:val="clear" w:color="auto" w:fill="FFFFFF" w:themeFill="background1"/>
              <w:spacing w:before="80" w:after="80"/>
              <w:rPr>
                <w:rFonts w:hint="default" w:ascii="Times New Roman" w:hAnsi="Times New Roman" w:cs="Times New Roman"/>
                <w:color w:val="auto"/>
                <w:highlight w:val="none"/>
                <w:lang w:val="es-ES"/>
              </w:rPr>
            </w:pPr>
            <w:r>
              <w:rPr>
                <w:rFonts w:hint="default" w:ascii="Times New Roman" w:hAnsi="Times New Roman" w:cs="Times New Roman"/>
                <w:color w:val="auto"/>
                <w:highlight w:val="none"/>
                <w:lang w:val="es-ES"/>
              </w:rPr>
              <w:t>Bảng tiến độ cung cấp hàng hóa hợp lý, khả thi phù hợp với đề xuất kỹ thuật và đáp ứng yêu cầu của E-HSMT</w:t>
            </w:r>
          </w:p>
        </w:tc>
        <w:tc>
          <w:tcPr>
            <w:tcW w:w="3544" w:type="dxa"/>
          </w:tcPr>
          <w:p w14:paraId="3BEB69AA">
            <w:pPr>
              <w:widowControl w:val="0"/>
              <w:shd w:val="clear" w:color="auto" w:fill="FFFFFF" w:themeFill="background1"/>
              <w:tabs>
                <w:tab w:val="left" w:pos="851"/>
              </w:tabs>
              <w:spacing w:before="120" w:after="120" w:line="264" w:lineRule="auto"/>
              <w:rPr>
                <w:rFonts w:hint="default" w:ascii="Times New Roman" w:hAnsi="Times New Roman" w:cs="Times New Roman"/>
                <w:color w:val="auto"/>
                <w:highlight w:val="none"/>
                <w:lang w:val="es-ES"/>
              </w:rPr>
            </w:pPr>
            <w:r>
              <w:rPr>
                <w:rFonts w:hint="default" w:ascii="Times New Roman" w:hAnsi="Times New Roman" w:cs="Times New Roman"/>
                <w:color w:val="auto"/>
                <w:highlight w:val="none"/>
                <w:lang w:val="es-ES"/>
              </w:rPr>
              <w:t>Có Bảng tiến độ cung cấp hàng hóa</w:t>
            </w:r>
            <w:r>
              <w:rPr>
                <w:rFonts w:hint="default" w:ascii="Times New Roman" w:hAnsi="Times New Roman" w:cs="Times New Roman"/>
                <w:color w:val="auto"/>
                <w:highlight w:val="none"/>
                <w:lang w:val="vi-VN"/>
              </w:rPr>
              <w:t>, t</w:t>
            </w:r>
            <w:r>
              <w:rPr>
                <w:rFonts w:hint="default" w:ascii="Times New Roman" w:hAnsi="Times New Roman" w:cs="Times New Roman"/>
                <w:color w:val="auto"/>
                <w:highlight w:val="none"/>
                <w:lang w:val="es-ES"/>
              </w:rPr>
              <w:t>hời gian giao hàng đáp ứng yêu cầu của E-HSMT.</w:t>
            </w:r>
          </w:p>
        </w:tc>
        <w:tc>
          <w:tcPr>
            <w:tcW w:w="3514" w:type="dxa"/>
          </w:tcPr>
          <w:p w14:paraId="066D23A7">
            <w:pPr>
              <w:widowControl w:val="0"/>
              <w:shd w:val="clear" w:color="auto" w:fill="FFFFFF" w:themeFill="background1"/>
              <w:tabs>
                <w:tab w:val="left" w:pos="851"/>
              </w:tabs>
              <w:spacing w:before="120" w:after="120" w:line="264" w:lineRule="auto"/>
              <w:rPr>
                <w:rFonts w:hint="default" w:ascii="Times New Roman" w:hAnsi="Times New Roman" w:cs="Times New Roman"/>
                <w:color w:val="auto"/>
                <w:highlight w:val="none"/>
                <w:lang w:val="es-ES"/>
              </w:rPr>
            </w:pPr>
            <w:r>
              <w:rPr>
                <w:rFonts w:hint="default" w:ascii="Times New Roman" w:hAnsi="Times New Roman" w:cs="Times New Roman"/>
                <w:color w:val="auto"/>
                <w:highlight w:val="none"/>
                <w:lang w:val="es-ES"/>
              </w:rPr>
              <w:t>Không có Bảng tiến độ cung cấp hàng hóa.</w:t>
            </w:r>
          </w:p>
          <w:p w14:paraId="7555D7C1">
            <w:pPr>
              <w:widowControl w:val="0"/>
              <w:shd w:val="clear" w:color="auto" w:fill="FFFFFF" w:themeFill="background1"/>
              <w:tabs>
                <w:tab w:val="left" w:pos="851"/>
              </w:tabs>
              <w:spacing w:before="120" w:after="120" w:line="264" w:lineRule="auto"/>
              <w:rPr>
                <w:rFonts w:hint="default" w:ascii="Times New Roman" w:hAnsi="Times New Roman" w:cs="Times New Roman"/>
                <w:color w:val="auto"/>
                <w:highlight w:val="none"/>
                <w:lang w:val="es-ES"/>
              </w:rPr>
            </w:pPr>
            <w:r>
              <w:rPr>
                <w:rFonts w:hint="default" w:ascii="Times New Roman" w:hAnsi="Times New Roman" w:cs="Times New Roman"/>
                <w:color w:val="auto"/>
                <w:highlight w:val="none"/>
                <w:lang w:val="es-ES"/>
              </w:rPr>
              <w:t>Hoặc</w:t>
            </w:r>
          </w:p>
          <w:p w14:paraId="65D35598">
            <w:pPr>
              <w:shd w:val="clear" w:color="auto" w:fill="FFFFFF" w:themeFill="background1"/>
              <w:spacing w:before="80" w:after="80"/>
              <w:rPr>
                <w:rFonts w:hint="default" w:ascii="Times New Roman" w:hAnsi="Times New Roman" w:cs="Times New Roman"/>
                <w:color w:val="auto"/>
                <w:highlight w:val="none"/>
                <w:lang w:val="es-ES"/>
              </w:rPr>
            </w:pPr>
            <w:r>
              <w:rPr>
                <w:rFonts w:hint="default" w:ascii="Times New Roman" w:hAnsi="Times New Roman" w:cs="Times New Roman"/>
                <w:color w:val="auto"/>
                <w:highlight w:val="none"/>
                <w:lang w:val="es-ES"/>
              </w:rPr>
              <w:t>Thời gian giao hàng không đáp ứng yêu cầu của E-HSMT.</w:t>
            </w:r>
          </w:p>
        </w:tc>
      </w:tr>
      <w:tr w14:paraId="7490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737" w:type="dxa"/>
          </w:tcPr>
          <w:p w14:paraId="39F26A35">
            <w:pPr>
              <w:shd w:val="clear" w:color="auto" w:fill="FFFFFF" w:themeFill="background1"/>
              <w:spacing w:before="80" w:after="80"/>
              <w:rPr>
                <w:rFonts w:hint="default" w:ascii="Times New Roman" w:hAnsi="Times New Roman" w:cs="Times New Roman"/>
                <w:color w:val="auto"/>
                <w:highlight w:val="none"/>
                <w:lang w:val="es-ES"/>
              </w:rPr>
            </w:pPr>
            <w:r>
              <w:rPr>
                <w:rFonts w:hint="default" w:ascii="Times New Roman" w:hAnsi="Times New Roman" w:cs="Times New Roman"/>
                <w:color w:val="auto"/>
                <w:highlight w:val="none"/>
                <w:lang w:val="es-ES"/>
              </w:rPr>
              <w:t>4</w:t>
            </w:r>
          </w:p>
        </w:tc>
        <w:tc>
          <w:tcPr>
            <w:tcW w:w="2382" w:type="dxa"/>
          </w:tcPr>
          <w:p w14:paraId="0D9FA8ED">
            <w:pPr>
              <w:shd w:val="clear" w:color="auto" w:fill="FFFFFF" w:themeFill="background1"/>
              <w:spacing w:before="80" w:after="80"/>
              <w:rPr>
                <w:rFonts w:hint="default" w:ascii="Times New Roman" w:hAnsi="Times New Roman" w:cs="Times New Roman"/>
                <w:b/>
                <w:color w:val="auto"/>
                <w:highlight w:val="none"/>
                <w:lang w:val="es-ES"/>
              </w:rPr>
            </w:pPr>
            <w:r>
              <w:rPr>
                <w:rFonts w:hint="default" w:ascii="Times New Roman" w:hAnsi="Times New Roman" w:cs="Times New Roman"/>
                <w:b/>
                <w:color w:val="auto"/>
                <w:highlight w:val="none"/>
                <w:lang w:val="es-ES"/>
              </w:rPr>
              <w:t>Khả năng thích ứng với môi trường</w:t>
            </w:r>
          </w:p>
        </w:tc>
        <w:tc>
          <w:tcPr>
            <w:tcW w:w="3544" w:type="dxa"/>
          </w:tcPr>
          <w:p w14:paraId="6AFBFA29">
            <w:pPr>
              <w:widowControl w:val="0"/>
              <w:shd w:val="clear" w:color="auto" w:fill="FFFFFF" w:themeFill="background1"/>
              <w:tabs>
                <w:tab w:val="left" w:pos="851"/>
              </w:tabs>
              <w:spacing w:line="264" w:lineRule="auto"/>
              <w:rPr>
                <w:rFonts w:hint="default" w:ascii="Times New Roman" w:hAnsi="Times New Roman" w:cs="Times New Roman"/>
                <w:color w:val="auto"/>
                <w:highlight w:val="none"/>
                <w:lang w:val="es-ES"/>
              </w:rPr>
            </w:pPr>
            <w:r>
              <w:rPr>
                <w:rFonts w:hint="default" w:ascii="Times New Roman" w:hAnsi="Times New Roman" w:cs="Times New Roman"/>
                <w:color w:val="auto"/>
                <w:highlight w:val="none"/>
                <w:lang w:val="es-ES"/>
              </w:rPr>
              <w:t>Hàng hóa được cung cấp hoàn toàn thích ứng về địa lý và không có ảnh hưởng tác động đến môi trường</w:t>
            </w:r>
          </w:p>
          <w:p w14:paraId="19927424">
            <w:pPr>
              <w:widowControl w:val="0"/>
              <w:shd w:val="clear" w:color="auto" w:fill="FFFFFF" w:themeFill="background1"/>
              <w:tabs>
                <w:tab w:val="left" w:pos="851"/>
              </w:tabs>
              <w:spacing w:line="264" w:lineRule="auto"/>
              <w:rPr>
                <w:rFonts w:hint="default" w:ascii="Times New Roman" w:hAnsi="Times New Roman" w:cs="Times New Roman"/>
                <w:color w:val="auto"/>
                <w:highlight w:val="none"/>
                <w:lang w:val="es-ES"/>
              </w:rPr>
            </w:pPr>
          </w:p>
        </w:tc>
        <w:tc>
          <w:tcPr>
            <w:tcW w:w="3514" w:type="dxa"/>
          </w:tcPr>
          <w:p w14:paraId="17E17103">
            <w:pPr>
              <w:widowControl w:val="0"/>
              <w:shd w:val="clear" w:color="auto" w:fill="FFFFFF" w:themeFill="background1"/>
              <w:tabs>
                <w:tab w:val="left" w:pos="851"/>
              </w:tabs>
              <w:spacing w:after="120" w:line="264" w:lineRule="auto"/>
              <w:rPr>
                <w:rFonts w:hint="default" w:ascii="Times New Roman" w:hAnsi="Times New Roman" w:cs="Times New Roman"/>
                <w:color w:val="auto"/>
                <w:highlight w:val="none"/>
                <w:lang w:val="es-ES"/>
              </w:rPr>
            </w:pPr>
            <w:r>
              <w:rPr>
                <w:rFonts w:hint="default" w:ascii="Times New Roman" w:hAnsi="Times New Roman" w:cs="Times New Roman"/>
                <w:color w:val="auto"/>
                <w:highlight w:val="none"/>
                <w:lang w:val="es-ES"/>
              </w:rPr>
              <w:t>Hàng hóa được cung cấp không thích ứng về địa lý, khí hậu hoặc có ảnh hưởng tác động đến môi trường</w:t>
            </w:r>
          </w:p>
        </w:tc>
      </w:tr>
      <w:tr w14:paraId="751F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345F6D54">
            <w:pPr>
              <w:shd w:val="clear" w:color="auto" w:fill="FFFFFF" w:themeFill="background1"/>
              <w:spacing w:before="80" w:after="80"/>
              <w:rPr>
                <w:rFonts w:hint="default" w:ascii="Times New Roman" w:hAnsi="Times New Roman" w:cs="Times New Roman"/>
                <w:color w:val="auto"/>
                <w:highlight w:val="none"/>
                <w:lang w:val="es-ES"/>
              </w:rPr>
            </w:pPr>
            <w:r>
              <w:rPr>
                <w:rFonts w:hint="default" w:ascii="Times New Roman" w:hAnsi="Times New Roman" w:cs="Times New Roman"/>
                <w:color w:val="auto"/>
                <w:highlight w:val="none"/>
                <w:lang w:val="es-ES"/>
              </w:rPr>
              <w:t>5</w:t>
            </w:r>
          </w:p>
        </w:tc>
        <w:tc>
          <w:tcPr>
            <w:tcW w:w="2382" w:type="dxa"/>
          </w:tcPr>
          <w:p w14:paraId="03766577">
            <w:pPr>
              <w:shd w:val="clear" w:color="auto" w:fill="FFFFFF" w:themeFill="background1"/>
              <w:spacing w:before="80" w:after="80"/>
              <w:rPr>
                <w:rFonts w:hint="default" w:ascii="Times New Roman" w:hAnsi="Times New Roman" w:cs="Times New Roman"/>
                <w:color w:val="auto"/>
                <w:highlight w:val="none"/>
                <w:lang w:val="es-ES"/>
              </w:rPr>
            </w:pPr>
            <w:r>
              <w:rPr>
                <w:rFonts w:hint="default" w:ascii="Times New Roman" w:hAnsi="Times New Roman" w:cs="Times New Roman"/>
                <w:b/>
                <w:color w:val="auto"/>
                <w:highlight w:val="none"/>
              </w:rPr>
              <w:t>Bảo hành</w:t>
            </w:r>
          </w:p>
          <w:p w14:paraId="12362BA5">
            <w:pPr>
              <w:shd w:val="clear" w:color="auto" w:fill="FFFFFF" w:themeFill="background1"/>
              <w:spacing w:before="80" w:after="80"/>
              <w:rPr>
                <w:rFonts w:hint="default" w:ascii="Times New Roman" w:hAnsi="Times New Roman" w:cs="Times New Roman"/>
                <w:color w:val="auto"/>
                <w:highlight w:val="none"/>
                <w:lang w:val="es-ES"/>
              </w:rPr>
            </w:pPr>
          </w:p>
        </w:tc>
        <w:tc>
          <w:tcPr>
            <w:tcW w:w="3544" w:type="dxa"/>
          </w:tcPr>
          <w:p w14:paraId="0D987D4F">
            <w:pPr>
              <w:widowControl w:val="0"/>
              <w:shd w:val="clear" w:color="auto" w:fill="FFFFFF" w:themeFill="background1"/>
              <w:tabs>
                <w:tab w:val="left" w:pos="851"/>
              </w:tabs>
              <w:spacing w:before="120" w:after="120" w:line="264" w:lineRule="auto"/>
              <w:rPr>
                <w:rFonts w:hint="default" w:ascii="Times New Roman" w:hAnsi="Times New Roman" w:cs="Times New Roman"/>
                <w:color w:val="auto"/>
                <w:highlight w:val="none"/>
                <w:lang w:val="es-ES"/>
              </w:rPr>
            </w:pPr>
            <w:r>
              <w:rPr>
                <w:rFonts w:hint="default" w:ascii="Times New Roman" w:hAnsi="Times New Roman" w:cs="Times New Roman"/>
                <w:color w:val="auto"/>
                <w:highlight w:val="none"/>
                <w:lang w:val="es-ES"/>
              </w:rPr>
              <w:t>Có cam kết thời gian bảo hành hàng hóa: tối thiểu</w:t>
            </w:r>
            <w:r>
              <w:rPr>
                <w:rFonts w:hint="default" w:ascii="Times New Roman" w:hAnsi="Times New Roman" w:cs="Times New Roman"/>
                <w:i/>
                <w:color w:val="auto"/>
                <w:highlight w:val="none"/>
                <w:lang w:val="es-ES"/>
              </w:rPr>
              <w:t xml:space="preserve"> </w:t>
            </w:r>
            <w:r>
              <w:rPr>
                <w:rFonts w:hint="default" w:ascii="Times New Roman" w:hAnsi="Times New Roman" w:cs="Times New Roman"/>
                <w:color w:val="auto"/>
                <w:highlight w:val="none"/>
                <w:lang w:val="es-ES"/>
              </w:rPr>
              <w:t>2 năm kể từ ngày hàng hoá được đưa vào sử dụng hoặc tối thiểu 2,5 năm kể từ ngày giao hàng, tùy theo điều kiện nào đến trước</w:t>
            </w:r>
          </w:p>
          <w:p w14:paraId="4C9A7D39">
            <w:pPr>
              <w:widowControl w:val="0"/>
              <w:shd w:val="clear" w:color="auto" w:fill="FFFFFF" w:themeFill="background1"/>
              <w:tabs>
                <w:tab w:val="left" w:pos="851"/>
              </w:tabs>
              <w:spacing w:before="120" w:after="120" w:line="264" w:lineRule="auto"/>
              <w:rPr>
                <w:rFonts w:hint="default" w:ascii="Times New Roman" w:hAnsi="Times New Roman" w:cs="Times New Roman"/>
                <w:color w:val="auto"/>
                <w:highlight w:val="none"/>
                <w:lang w:val="es-ES"/>
              </w:rPr>
            </w:pPr>
          </w:p>
        </w:tc>
        <w:tc>
          <w:tcPr>
            <w:tcW w:w="3514" w:type="dxa"/>
          </w:tcPr>
          <w:p w14:paraId="4DD633ED">
            <w:pPr>
              <w:widowControl w:val="0"/>
              <w:shd w:val="clear" w:color="auto" w:fill="FFFFFF" w:themeFill="background1"/>
              <w:tabs>
                <w:tab w:val="left" w:pos="851"/>
              </w:tabs>
              <w:spacing w:before="60" w:after="60" w:line="264" w:lineRule="auto"/>
              <w:rPr>
                <w:rFonts w:hint="default" w:ascii="Times New Roman" w:hAnsi="Times New Roman" w:cs="Times New Roman"/>
                <w:color w:val="auto"/>
                <w:highlight w:val="none"/>
                <w:lang w:val="es-ES"/>
              </w:rPr>
            </w:pPr>
            <w:r>
              <w:rPr>
                <w:rFonts w:hint="default" w:ascii="Times New Roman" w:hAnsi="Times New Roman" w:cs="Times New Roman"/>
                <w:color w:val="auto"/>
                <w:highlight w:val="none"/>
                <w:lang w:val="es-ES"/>
              </w:rPr>
              <w:t>Không có cam kết thời gian bảo hành.</w:t>
            </w:r>
          </w:p>
          <w:p w14:paraId="5ED3209D">
            <w:pPr>
              <w:widowControl w:val="0"/>
              <w:shd w:val="clear" w:color="auto" w:fill="FFFFFF" w:themeFill="background1"/>
              <w:tabs>
                <w:tab w:val="left" w:pos="851"/>
              </w:tabs>
              <w:spacing w:before="60" w:after="60" w:line="264" w:lineRule="auto"/>
              <w:rPr>
                <w:rFonts w:hint="default" w:ascii="Times New Roman" w:hAnsi="Times New Roman" w:cs="Times New Roman"/>
                <w:color w:val="auto"/>
                <w:highlight w:val="none"/>
                <w:lang w:val="es-ES"/>
              </w:rPr>
            </w:pPr>
            <w:r>
              <w:rPr>
                <w:rFonts w:hint="default" w:ascii="Times New Roman" w:hAnsi="Times New Roman" w:cs="Times New Roman"/>
                <w:color w:val="auto"/>
                <w:highlight w:val="none"/>
                <w:lang w:val="es-ES"/>
              </w:rPr>
              <w:t>Hoặc</w:t>
            </w:r>
          </w:p>
          <w:p w14:paraId="0A8856AB">
            <w:pPr>
              <w:widowControl w:val="0"/>
              <w:shd w:val="clear" w:color="auto" w:fill="FFFFFF" w:themeFill="background1"/>
              <w:tabs>
                <w:tab w:val="left" w:pos="851"/>
              </w:tabs>
              <w:spacing w:before="120" w:after="120" w:line="264" w:lineRule="auto"/>
              <w:rPr>
                <w:rFonts w:hint="default" w:ascii="Times New Roman" w:hAnsi="Times New Roman" w:cs="Times New Roman"/>
                <w:color w:val="auto"/>
                <w:highlight w:val="none"/>
                <w:lang w:val="es-ES"/>
              </w:rPr>
            </w:pPr>
            <w:r>
              <w:rPr>
                <w:rFonts w:hint="default" w:ascii="Times New Roman" w:hAnsi="Times New Roman" w:cs="Times New Roman"/>
                <w:color w:val="auto"/>
                <w:highlight w:val="none"/>
                <w:lang w:val="es-ES"/>
              </w:rPr>
              <w:t>Có cam kết thời gian bảo hành nhỏ hơn 2 năm kể từ ngày hàng hoá được đưa vào sử dụng hoặc nhỏ hơn 2,5 năm kể từ ngày giao hàng, tùy theo điều kiện nào đến trước</w:t>
            </w:r>
          </w:p>
        </w:tc>
      </w:tr>
      <w:tr w14:paraId="2BA0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11B7E5AA">
            <w:pPr>
              <w:shd w:val="clear" w:color="auto" w:fill="FFFFFF" w:themeFill="background1"/>
              <w:spacing w:before="80" w:after="80"/>
              <w:rPr>
                <w:rFonts w:hint="default" w:ascii="Times New Roman" w:hAnsi="Times New Roman" w:cs="Times New Roman"/>
                <w:color w:val="auto"/>
                <w:highlight w:val="none"/>
                <w:lang w:val="es-ES"/>
              </w:rPr>
            </w:pPr>
            <w:r>
              <w:rPr>
                <w:rFonts w:hint="default" w:ascii="Times New Roman" w:hAnsi="Times New Roman" w:cs="Times New Roman"/>
                <w:color w:val="auto"/>
                <w:highlight w:val="none"/>
                <w:lang w:val="es-ES"/>
              </w:rPr>
              <w:t>6</w:t>
            </w:r>
          </w:p>
        </w:tc>
        <w:tc>
          <w:tcPr>
            <w:tcW w:w="2382" w:type="dxa"/>
          </w:tcPr>
          <w:p w14:paraId="75CBFA0B">
            <w:pPr>
              <w:shd w:val="clear" w:color="auto" w:fill="FFFFFF" w:themeFill="background1"/>
              <w:spacing w:before="80" w:after="80"/>
              <w:rPr>
                <w:rFonts w:hint="default" w:ascii="Times New Roman" w:hAnsi="Times New Roman" w:cs="Times New Roman"/>
                <w:b/>
                <w:color w:val="auto"/>
                <w:highlight w:val="none"/>
                <w:lang w:val="es-ES"/>
              </w:rPr>
            </w:pPr>
            <w:r>
              <w:rPr>
                <w:rFonts w:hint="default" w:ascii="Times New Roman" w:hAnsi="Times New Roman" w:cs="Times New Roman"/>
                <w:color w:val="auto"/>
                <w:highlight w:val="none"/>
                <w:lang w:val="es-ES"/>
              </w:rPr>
              <w:t>Thông tin về k</w:t>
            </w:r>
            <w:r>
              <w:rPr>
                <w:rFonts w:hint="default" w:ascii="Times New Roman" w:hAnsi="Times New Roman" w:cs="Times New Roman"/>
                <w:color w:val="auto"/>
                <w:highlight w:val="none"/>
                <w:lang w:val="vi-VN"/>
              </w:rPr>
              <w:t>ết quả thực hiện hợp đồng của nhà thầu đối với gói thầu cung cấp hàng hóa, EPC, EP, PC, chìa khóa trao tay theo quy định tại Điều 1</w:t>
            </w:r>
            <w:r>
              <w:rPr>
                <w:rFonts w:hint="default" w:cs="Times New Roman"/>
                <w:color w:val="auto"/>
                <w:highlight w:val="none"/>
                <w:lang w:val="en-US"/>
              </w:rPr>
              <w:t>9</w:t>
            </w:r>
            <w:r>
              <w:rPr>
                <w:rFonts w:hint="default" w:ascii="Times New Roman" w:hAnsi="Times New Roman" w:cs="Times New Roman"/>
                <w:color w:val="auto"/>
                <w:highlight w:val="none"/>
                <w:lang w:val="vi-VN"/>
              </w:rPr>
              <w:t xml:space="preserve"> và Điều </w:t>
            </w:r>
            <w:r>
              <w:rPr>
                <w:rFonts w:hint="default" w:cs="Times New Roman"/>
                <w:color w:val="auto"/>
                <w:highlight w:val="none"/>
                <w:lang w:val="en-US"/>
              </w:rPr>
              <w:t>20</w:t>
            </w:r>
            <w:r>
              <w:rPr>
                <w:rFonts w:hint="default" w:ascii="Times New Roman" w:hAnsi="Times New Roman" w:cs="Times New Roman"/>
                <w:color w:val="auto"/>
                <w:highlight w:val="none"/>
                <w:lang w:val="vi-VN"/>
              </w:rPr>
              <w:t xml:space="preserve"> của Nghị định số 2</w:t>
            </w:r>
            <w:r>
              <w:rPr>
                <w:rFonts w:hint="default" w:cs="Times New Roman"/>
                <w:color w:val="auto"/>
                <w:highlight w:val="none"/>
                <w:lang w:val="en-US"/>
              </w:rPr>
              <w:t>1</w:t>
            </w:r>
            <w:r>
              <w:rPr>
                <w:rFonts w:hint="default" w:ascii="Times New Roman" w:hAnsi="Times New Roman" w:cs="Times New Roman"/>
                <w:color w:val="auto"/>
                <w:highlight w:val="none"/>
                <w:lang w:val="vi-VN"/>
              </w:rPr>
              <w:t>4/202</w:t>
            </w:r>
            <w:r>
              <w:rPr>
                <w:rFonts w:hint="default" w:cs="Times New Roman"/>
                <w:color w:val="auto"/>
                <w:highlight w:val="none"/>
                <w:lang w:val="en-US"/>
              </w:rPr>
              <w:t>5</w:t>
            </w:r>
            <w:r>
              <w:rPr>
                <w:rFonts w:hint="default" w:ascii="Times New Roman" w:hAnsi="Times New Roman" w:cs="Times New Roman"/>
                <w:color w:val="auto"/>
                <w:highlight w:val="none"/>
                <w:lang w:val="vi-VN"/>
              </w:rPr>
              <w:t xml:space="preserve">/NĐ-CP, </w:t>
            </w:r>
            <w:r>
              <w:rPr>
                <w:rFonts w:hint="default" w:ascii="Times New Roman" w:hAnsi="Times New Roman" w:cs="Times New Roman"/>
                <w:color w:val="auto"/>
                <w:highlight w:val="none"/>
                <w:lang w:val="es-ES"/>
              </w:rPr>
              <w:t xml:space="preserve">thông tin về </w:t>
            </w:r>
            <w:r>
              <w:rPr>
                <w:rFonts w:hint="default" w:ascii="Times New Roman" w:hAnsi="Times New Roman" w:cs="Times New Roman"/>
                <w:color w:val="auto"/>
                <w:highlight w:val="none"/>
                <w:lang w:val="vi-VN"/>
              </w:rPr>
              <w:t xml:space="preserve">chất lượng hàng hóa tương tự được công khai theo quy định tại Điều </w:t>
            </w:r>
            <w:r>
              <w:rPr>
                <w:rFonts w:hint="default" w:cs="Times New Roman"/>
                <w:color w:val="auto"/>
                <w:highlight w:val="none"/>
                <w:lang w:val="en-US"/>
              </w:rPr>
              <w:t>20</w:t>
            </w:r>
            <w:r>
              <w:rPr>
                <w:rFonts w:hint="default" w:ascii="Times New Roman" w:hAnsi="Times New Roman" w:cs="Times New Roman"/>
                <w:color w:val="auto"/>
                <w:highlight w:val="none"/>
                <w:lang w:val="vi-VN"/>
              </w:rPr>
              <w:t xml:space="preserve"> của Nghị định số 2</w:t>
            </w:r>
            <w:r>
              <w:rPr>
                <w:rFonts w:hint="default" w:cs="Times New Roman"/>
                <w:color w:val="auto"/>
                <w:highlight w:val="none"/>
                <w:lang w:val="en-US"/>
              </w:rPr>
              <w:t>1</w:t>
            </w:r>
            <w:r>
              <w:rPr>
                <w:rFonts w:hint="default" w:ascii="Times New Roman" w:hAnsi="Times New Roman" w:cs="Times New Roman"/>
                <w:color w:val="auto"/>
                <w:highlight w:val="none"/>
                <w:lang w:val="vi-VN"/>
              </w:rPr>
              <w:t>4/202</w:t>
            </w:r>
            <w:r>
              <w:rPr>
                <w:rFonts w:hint="default" w:cs="Times New Roman"/>
                <w:color w:val="auto"/>
                <w:highlight w:val="none"/>
                <w:lang w:val="en-US"/>
              </w:rPr>
              <w:t>5</w:t>
            </w:r>
            <w:r>
              <w:rPr>
                <w:rFonts w:hint="default" w:ascii="Times New Roman" w:hAnsi="Times New Roman" w:cs="Times New Roman"/>
                <w:color w:val="auto"/>
                <w:highlight w:val="none"/>
                <w:lang w:val="vi-VN"/>
              </w:rPr>
              <w:t>/NĐ-CP (nếu có)</w:t>
            </w:r>
          </w:p>
        </w:tc>
        <w:tc>
          <w:tcPr>
            <w:tcW w:w="3544" w:type="dxa"/>
          </w:tcPr>
          <w:p w14:paraId="0DA6E1B5">
            <w:pPr>
              <w:widowControl w:val="0"/>
              <w:shd w:val="clear" w:color="auto" w:fill="FFFFFF" w:themeFill="background1"/>
              <w:tabs>
                <w:tab w:val="left" w:pos="851"/>
              </w:tabs>
              <w:spacing w:line="264" w:lineRule="auto"/>
              <w:rPr>
                <w:rFonts w:hint="default" w:ascii="Times New Roman" w:hAnsi="Times New Roman" w:cs="Times New Roman"/>
                <w:b/>
                <w:color w:val="auto"/>
                <w:highlight w:val="none"/>
                <w:lang w:val="es-ES"/>
              </w:rPr>
            </w:pPr>
            <w:r>
              <w:rPr>
                <w:rFonts w:hint="default" w:ascii="Times New Roman" w:hAnsi="Times New Roman" w:cs="Times New Roman"/>
                <w:iCs/>
                <w:color w:val="auto"/>
                <w:highlight w:val="none"/>
                <w:lang w:val="es-ES"/>
              </w:rPr>
              <w:t xml:space="preserve">Nhà thầu không có </w:t>
            </w:r>
            <w:r>
              <w:rPr>
                <w:rFonts w:hint="default" w:ascii="Times New Roman" w:hAnsi="Times New Roman" w:cs="Times New Roman"/>
                <w:b/>
                <w:iCs/>
                <w:color w:val="auto"/>
                <w:highlight w:val="none"/>
                <w:lang w:val="es-ES"/>
              </w:rPr>
              <w:t>hoặc</w:t>
            </w:r>
            <w:r>
              <w:rPr>
                <w:rFonts w:hint="default" w:ascii="Times New Roman" w:hAnsi="Times New Roman" w:cs="Times New Roman"/>
                <w:iCs/>
                <w:color w:val="auto"/>
                <w:highlight w:val="none"/>
                <w:lang w:val="es-ES"/>
              </w:rPr>
              <w:t xml:space="preserve"> có nhiều nhất 01 hợp đồng: </w:t>
            </w:r>
            <w:r>
              <w:rPr>
                <w:rFonts w:hint="default" w:ascii="Times New Roman" w:hAnsi="Times New Roman" w:cs="Times New Roman"/>
                <w:color w:val="auto"/>
                <w:highlight w:val="none"/>
                <w:lang w:val="es-ES"/>
              </w:rPr>
              <w:t xml:space="preserve">bị đánh giá </w:t>
            </w:r>
            <w:r>
              <w:rPr>
                <w:rFonts w:hint="default" w:ascii="Times New Roman" w:hAnsi="Times New Roman" w:cs="Times New Roman"/>
                <w:color w:val="auto"/>
                <w:spacing w:val="3"/>
                <w:highlight w:val="none"/>
                <w:shd w:val="clear" w:color="auto" w:fill="FFFFFF"/>
                <w:lang w:val="es-ES"/>
              </w:rPr>
              <w:t xml:space="preserve">vi phạm về kết quả thực hiện hợp đồng tại “Thông tin về kết quả thực hiện hợp đồng của nhà thầu” trên Hệ thống mạng đấu thầu quốc gia </w:t>
            </w:r>
            <w:r>
              <w:rPr>
                <w:rFonts w:hint="default" w:ascii="Times New Roman" w:hAnsi="Times New Roman" w:cs="Times New Roman"/>
                <w:i/>
                <w:color w:val="auto"/>
                <w:spacing w:val="3"/>
                <w:highlight w:val="none"/>
                <w:shd w:val="clear" w:color="auto" w:fill="FFFFFF"/>
                <w:lang w:val="es-ES"/>
              </w:rPr>
              <w:t>(áp dụng kết quả kể từ ngày đăng tải thông tin trong thời hạn 01 năm tính đến thời điểm đóng thầu)</w:t>
            </w:r>
            <w:r>
              <w:rPr>
                <w:rFonts w:hint="default" w:ascii="Times New Roman" w:hAnsi="Times New Roman" w:cs="Times New Roman"/>
                <w:iCs/>
                <w:color w:val="auto"/>
                <w:highlight w:val="none"/>
                <w:vertAlign w:val="superscript"/>
                <w:lang w:val="es-ES"/>
              </w:rPr>
              <w:t xml:space="preserve"> </w:t>
            </w:r>
            <w:r>
              <w:rPr>
                <w:rFonts w:hint="default" w:ascii="Times New Roman" w:hAnsi="Times New Roman" w:cs="Times New Roman"/>
                <w:b/>
                <w:color w:val="auto"/>
                <w:highlight w:val="none"/>
                <w:lang w:val="es-ES"/>
              </w:rPr>
              <w:t>hoặc</w:t>
            </w:r>
            <w:r>
              <w:rPr>
                <w:rFonts w:hint="default" w:ascii="Times New Roman" w:hAnsi="Times New Roman" w:cs="Times New Roman"/>
                <w:color w:val="auto"/>
                <w:highlight w:val="none"/>
                <w:lang w:val="es-ES"/>
              </w:rPr>
              <w:t xml:space="preserve"> bị đánh giá vi phạm chất lượng hàng hóa tương tự tại “Thông tin về chất lượng hàng hóa đã được sử dụng”</w:t>
            </w:r>
            <w:r>
              <w:rPr>
                <w:rFonts w:hint="default" w:ascii="Times New Roman" w:hAnsi="Times New Roman" w:cs="Times New Roman"/>
                <w:i/>
                <w:iCs/>
                <w:color w:val="auto"/>
                <w:highlight w:val="none"/>
                <w:lang w:val="es-ES"/>
              </w:rPr>
              <w:t xml:space="preserve"> </w:t>
            </w:r>
            <w:r>
              <w:rPr>
                <w:rFonts w:hint="default" w:ascii="Times New Roman" w:hAnsi="Times New Roman" w:cs="Times New Roman"/>
                <w:color w:val="auto"/>
                <w:spacing w:val="3"/>
                <w:highlight w:val="none"/>
                <w:shd w:val="clear" w:color="auto" w:fill="FFFFFF"/>
                <w:lang w:val="es-ES"/>
              </w:rPr>
              <w:t xml:space="preserve">trên Hệ thống mạng đấu thầu quốc gia </w:t>
            </w:r>
            <w:r>
              <w:rPr>
                <w:rFonts w:hint="default" w:ascii="Times New Roman" w:hAnsi="Times New Roman" w:cs="Times New Roman"/>
                <w:i/>
                <w:color w:val="auto"/>
                <w:spacing w:val="3"/>
                <w:highlight w:val="none"/>
                <w:shd w:val="clear" w:color="auto" w:fill="FFFFFF"/>
                <w:lang w:val="es-ES"/>
              </w:rPr>
              <w:t>(áp dụng kết quả kể từ ngày đăng tải thông tin trong thời hạn 01 năm tính đến thời điểm đóng thầu)</w:t>
            </w:r>
            <w:r>
              <w:rPr>
                <w:rFonts w:hint="default" w:ascii="Times New Roman" w:hAnsi="Times New Roman" w:cs="Times New Roman"/>
                <w:iCs/>
                <w:color w:val="auto"/>
                <w:highlight w:val="none"/>
                <w:vertAlign w:val="superscript"/>
                <w:lang w:val="es-ES"/>
              </w:rPr>
              <w:t xml:space="preserve"> </w:t>
            </w:r>
          </w:p>
        </w:tc>
        <w:tc>
          <w:tcPr>
            <w:tcW w:w="3514" w:type="dxa"/>
          </w:tcPr>
          <w:p w14:paraId="5B59F986">
            <w:pPr>
              <w:widowControl w:val="0"/>
              <w:shd w:val="clear" w:color="auto" w:fill="FFFFFF" w:themeFill="background1"/>
              <w:tabs>
                <w:tab w:val="left" w:pos="851"/>
              </w:tabs>
              <w:spacing w:after="120" w:line="264" w:lineRule="auto"/>
              <w:rPr>
                <w:rFonts w:hint="default" w:ascii="Times New Roman" w:hAnsi="Times New Roman" w:cs="Times New Roman"/>
                <w:b/>
                <w:color w:val="auto"/>
                <w:highlight w:val="none"/>
                <w:lang w:val="es-ES"/>
              </w:rPr>
            </w:pPr>
            <w:r>
              <w:rPr>
                <w:rFonts w:hint="default" w:ascii="Times New Roman" w:hAnsi="Times New Roman" w:cs="Times New Roman"/>
                <w:iCs/>
                <w:color w:val="auto"/>
                <w:highlight w:val="none"/>
                <w:lang w:val="es-ES"/>
              </w:rPr>
              <w:t xml:space="preserve">Nhà thầu có từ 02 hợp đồng: </w:t>
            </w:r>
            <w:r>
              <w:rPr>
                <w:rFonts w:hint="default" w:ascii="Times New Roman" w:hAnsi="Times New Roman" w:cs="Times New Roman"/>
                <w:color w:val="auto"/>
                <w:highlight w:val="none"/>
                <w:lang w:val="es-ES"/>
              </w:rPr>
              <w:t xml:space="preserve">bị đánh giá vi phạm </w:t>
            </w:r>
            <w:r>
              <w:rPr>
                <w:rFonts w:hint="default" w:ascii="Times New Roman" w:hAnsi="Times New Roman" w:cs="Times New Roman"/>
                <w:color w:val="auto"/>
                <w:spacing w:val="3"/>
                <w:highlight w:val="none"/>
                <w:shd w:val="clear" w:color="auto" w:fill="FFFFFF"/>
                <w:lang w:val="es-ES"/>
              </w:rPr>
              <w:t xml:space="preserve">về kết quả thực hiện hợp đồng tại “Thông tin về kết quả thực hiện hợp đồng của nhà thầu” trên Hệ thống mạng đấu thầu quốc gia </w:t>
            </w:r>
            <w:r>
              <w:rPr>
                <w:rFonts w:hint="default" w:ascii="Times New Roman" w:hAnsi="Times New Roman" w:cs="Times New Roman"/>
                <w:i/>
                <w:color w:val="auto"/>
                <w:spacing w:val="3"/>
                <w:highlight w:val="none"/>
                <w:shd w:val="clear" w:color="auto" w:fill="FFFFFF"/>
                <w:lang w:val="es-ES"/>
              </w:rPr>
              <w:t xml:space="preserve">(áp dụng kết quả kể từ ngày đăng tải thông tin trong thời hạn 01 năm tính đến thời điểm đóng thầu) </w:t>
            </w:r>
            <w:r>
              <w:rPr>
                <w:rFonts w:hint="default" w:ascii="Times New Roman" w:hAnsi="Times New Roman" w:cs="Times New Roman"/>
                <w:b/>
                <w:color w:val="auto"/>
                <w:spacing w:val="3"/>
                <w:highlight w:val="none"/>
                <w:shd w:val="clear" w:color="auto" w:fill="FFFFFF"/>
                <w:lang w:val="es-ES"/>
              </w:rPr>
              <w:t>và/</w:t>
            </w:r>
            <w:r>
              <w:rPr>
                <w:rFonts w:hint="default" w:ascii="Times New Roman" w:hAnsi="Times New Roman" w:cs="Times New Roman"/>
                <w:iCs/>
                <w:color w:val="auto"/>
                <w:highlight w:val="none"/>
                <w:vertAlign w:val="superscript"/>
                <w:lang w:val="es-ES"/>
              </w:rPr>
              <w:t xml:space="preserve"> </w:t>
            </w:r>
            <w:r>
              <w:rPr>
                <w:rFonts w:hint="default" w:ascii="Times New Roman" w:hAnsi="Times New Roman" w:cs="Times New Roman"/>
                <w:b/>
                <w:color w:val="auto"/>
                <w:highlight w:val="none"/>
                <w:lang w:val="es-ES"/>
              </w:rPr>
              <w:t>hoặc</w:t>
            </w:r>
            <w:r>
              <w:rPr>
                <w:rFonts w:hint="default" w:ascii="Times New Roman" w:hAnsi="Times New Roman" w:cs="Times New Roman"/>
                <w:color w:val="auto"/>
                <w:highlight w:val="none"/>
                <w:lang w:val="es-ES"/>
              </w:rPr>
              <w:t xml:space="preserve"> bị đánh giá vi phạm chất lượng hàng hóa tương tự tại “Thông tin về chất lượng hàng hóa đã được sử dụng”</w:t>
            </w:r>
            <w:r>
              <w:rPr>
                <w:rFonts w:hint="default" w:ascii="Times New Roman" w:hAnsi="Times New Roman" w:cs="Times New Roman"/>
                <w:i/>
                <w:iCs/>
                <w:color w:val="auto"/>
                <w:highlight w:val="none"/>
                <w:lang w:val="es-ES"/>
              </w:rPr>
              <w:t xml:space="preserve"> </w:t>
            </w:r>
            <w:r>
              <w:rPr>
                <w:rFonts w:hint="default" w:ascii="Times New Roman" w:hAnsi="Times New Roman" w:cs="Times New Roman"/>
                <w:color w:val="auto"/>
                <w:spacing w:val="3"/>
                <w:highlight w:val="none"/>
                <w:shd w:val="clear" w:color="auto" w:fill="FFFFFF"/>
                <w:lang w:val="es-ES"/>
              </w:rPr>
              <w:t xml:space="preserve">trên Hệ thống mạng đấu thầu quốc gia </w:t>
            </w:r>
            <w:r>
              <w:rPr>
                <w:rFonts w:hint="default" w:ascii="Times New Roman" w:hAnsi="Times New Roman" w:cs="Times New Roman"/>
                <w:i/>
                <w:color w:val="auto"/>
                <w:spacing w:val="3"/>
                <w:highlight w:val="none"/>
                <w:shd w:val="clear" w:color="auto" w:fill="FFFFFF"/>
                <w:lang w:val="es-ES"/>
              </w:rPr>
              <w:t>(áp dụng kết quả kể từ ngày đăng tải thông tin trong thời hạn 01 năm tính đến thời điểm đóng thầu)</w:t>
            </w:r>
            <w:r>
              <w:rPr>
                <w:rFonts w:hint="default" w:ascii="Times New Roman" w:hAnsi="Times New Roman" w:cs="Times New Roman"/>
                <w:iCs/>
                <w:color w:val="auto"/>
                <w:highlight w:val="none"/>
                <w:vertAlign w:val="superscript"/>
                <w:lang w:val="es-ES"/>
              </w:rPr>
              <w:t xml:space="preserve"> </w:t>
            </w:r>
          </w:p>
        </w:tc>
      </w:tr>
      <w:tr w14:paraId="0F49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top"/>
          </w:tcPr>
          <w:p w14:paraId="7299F085">
            <w:pPr>
              <w:shd w:val="clear" w:color="auto" w:fill="FFFFFF" w:themeFill="background1"/>
              <w:spacing w:before="80" w:after="80"/>
              <w:rPr>
                <w:rFonts w:ascii="Times New Roman" w:hAnsi="Times New Roman"/>
                <w:color w:val="auto"/>
                <w:highlight w:val="none"/>
                <w:lang w:val="es-ES"/>
              </w:rPr>
            </w:pPr>
            <w:r>
              <w:rPr>
                <w:rFonts w:ascii="Times New Roman" w:hAnsi="Times New Roman"/>
                <w:color w:val="auto"/>
                <w:highlight w:val="none"/>
                <w:lang w:val="es-ES"/>
              </w:rPr>
              <w:t>7</w:t>
            </w:r>
          </w:p>
        </w:tc>
        <w:tc>
          <w:tcPr>
            <w:tcW w:w="2382" w:type="dxa"/>
            <w:vAlign w:val="top"/>
          </w:tcPr>
          <w:p w14:paraId="4F12F40C">
            <w:pPr>
              <w:shd w:val="clear" w:color="auto" w:fill="FFFFFF" w:themeFill="background1"/>
              <w:spacing w:before="80" w:after="80"/>
              <w:rPr>
                <w:rFonts w:ascii="Times New Roman" w:hAnsi="Times New Roman"/>
                <w:b/>
                <w:color w:val="auto"/>
                <w:highlight w:val="none"/>
                <w:vertAlign w:val="superscript"/>
                <w:lang w:val="es-ES"/>
              </w:rPr>
            </w:pPr>
            <w:r>
              <w:rPr>
                <w:rFonts w:ascii="Times New Roman" w:hAnsi="Times New Roman"/>
                <w:b/>
                <w:color w:val="auto"/>
                <w:highlight w:val="none"/>
                <w:lang w:val="es-ES"/>
              </w:rPr>
              <w:t>Y</w:t>
            </w:r>
            <w:r>
              <w:rPr>
                <w:rFonts w:ascii="Times New Roman" w:hAnsi="Times New Roman"/>
                <w:b/>
                <w:color w:val="auto"/>
                <w:highlight w:val="none"/>
                <w:lang w:val="vi-VN"/>
              </w:rPr>
              <w:t>ếu tố cần thiết khác</w:t>
            </w:r>
            <w:r>
              <w:rPr>
                <w:rFonts w:ascii="Times New Roman" w:hAnsi="Times New Roman"/>
                <w:b/>
                <w:color w:val="auto"/>
                <w:highlight w:val="none"/>
                <w:lang w:val="es-ES"/>
              </w:rPr>
              <w:t xml:space="preserve">: </w:t>
            </w:r>
            <w:r>
              <w:rPr>
                <w:rFonts w:ascii="Times New Roman" w:hAnsi="Times New Roman"/>
                <w:color w:val="auto"/>
                <w:highlight w:val="none"/>
                <w:lang w:val="es-ES"/>
              </w:rPr>
              <w:t>Độ tin cậy của hàng hóa</w:t>
            </w:r>
          </w:p>
          <w:p w14:paraId="644D711F">
            <w:pPr>
              <w:widowControl w:val="0"/>
              <w:shd w:val="clear" w:color="auto" w:fill="FFFFFF" w:themeFill="background1"/>
              <w:tabs>
                <w:tab w:val="left" w:pos="851"/>
              </w:tabs>
              <w:spacing w:line="264" w:lineRule="auto"/>
              <w:rPr>
                <w:rFonts w:ascii="Times New Roman" w:hAnsi="Times New Roman"/>
                <w:color w:val="auto"/>
                <w:highlight w:val="none"/>
                <w:lang w:val="es-ES"/>
              </w:rPr>
            </w:pPr>
          </w:p>
        </w:tc>
        <w:tc>
          <w:tcPr>
            <w:tcW w:w="3544" w:type="dxa"/>
            <w:vAlign w:val="top"/>
          </w:tcPr>
          <w:p w14:paraId="3E48BC91">
            <w:pPr>
              <w:widowControl w:val="0"/>
              <w:shd w:val="clear" w:color="auto" w:fill="FFFFFF" w:themeFill="background1"/>
              <w:tabs>
                <w:tab w:val="left" w:pos="851"/>
              </w:tabs>
              <w:spacing w:before="40" w:after="40" w:line="276" w:lineRule="auto"/>
              <w:jc w:val="both"/>
              <w:rPr>
                <w:rFonts w:ascii="Times New Roman" w:hAnsi="Times New Roman"/>
                <w:color w:val="auto"/>
                <w:highlight w:val="none"/>
                <w:u w:val="single"/>
                <w:lang w:val="es-ES"/>
              </w:rPr>
            </w:pPr>
            <w:r>
              <w:rPr>
                <w:rFonts w:ascii="Times New Roman" w:hAnsi="Times New Roman" w:cs="Times New Roman"/>
                <w:color w:val="000000" w:themeColor="text1"/>
                <w14:textFill>
                  <w14:solidFill>
                    <w14:schemeClr w14:val="tx1"/>
                  </w14:solidFill>
                </w14:textFill>
              </w:rPr>
              <w:t xml:space="preserve">Nhà thầu cung cấp xác nhận vận hành thành công của tối thiểu 01 đơn vị quản lý vận hành cho hàng hóa chào thầu đã vận hành trên hệ thống điện trong thời gian tối thiểu  </w:t>
            </w:r>
            <w:r>
              <w:rPr>
                <w:rFonts w:hint="default" w:ascii="Times New Roman" w:hAnsi="Times New Roman" w:cs="Times New Roman"/>
                <w:color w:val="000000" w:themeColor="text1"/>
                <w:lang w:val="en-US"/>
                <w14:textFill>
                  <w14:solidFill>
                    <w14:schemeClr w14:val="tx1"/>
                  </w14:solidFill>
                </w14:textFill>
              </w:rPr>
              <w:t>24</w:t>
            </w:r>
            <w:r>
              <w:rPr>
                <w:rFonts w:ascii="Times New Roman" w:hAnsi="Times New Roman" w:cs="Times New Roman"/>
                <w:color w:val="000000" w:themeColor="text1"/>
                <w14:textFill>
                  <w14:solidFill>
                    <w14:schemeClr w14:val="tx1"/>
                  </w14:solidFill>
                </w14:textFill>
              </w:rPr>
              <w:t xml:space="preserve"> tháng. </w:t>
            </w:r>
            <w:r>
              <w:rPr>
                <w:rFonts w:hint="default" w:ascii="Times New Roman" w:hAnsi="Times New Roman" w:cs="Times New Roman"/>
                <w:color w:val="000000" w:themeColor="text1"/>
                <w:lang w:val="en-US"/>
                <w14:textFill>
                  <w14:solidFill>
                    <w14:schemeClr w14:val="tx1"/>
                  </w14:solidFill>
                </w14:textFill>
              </w:rPr>
              <w:t>Áp dụng với tất cả hàng hóa chào thầu.</w:t>
            </w:r>
          </w:p>
        </w:tc>
        <w:tc>
          <w:tcPr>
            <w:tcW w:w="3514" w:type="dxa"/>
            <w:vAlign w:val="top"/>
          </w:tcPr>
          <w:p w14:paraId="137CA986">
            <w:pPr>
              <w:widowControl w:val="0"/>
              <w:shd w:val="clear" w:color="auto" w:fill="FFFFFF" w:themeFill="background1"/>
              <w:tabs>
                <w:tab w:val="left" w:pos="851"/>
              </w:tabs>
              <w:spacing w:before="120" w:after="120" w:line="264" w:lineRule="auto"/>
              <w:rPr>
                <w:rFonts w:ascii="Times New Roman" w:hAnsi="Times New Roman"/>
                <w:color w:val="auto"/>
                <w:highlight w:val="none"/>
                <w:lang w:val="es-ES"/>
              </w:rPr>
            </w:pPr>
            <w:r>
              <w:rPr>
                <w:rFonts w:ascii="Times New Roman" w:hAnsi="Times New Roman"/>
                <w:color w:val="auto"/>
                <w:highlight w:val="none"/>
                <w:lang w:val="es-ES"/>
              </w:rPr>
              <w:t>Không đáp ứng</w:t>
            </w:r>
          </w:p>
          <w:p w14:paraId="7D3A26C3">
            <w:pPr>
              <w:widowControl w:val="0"/>
              <w:shd w:val="clear" w:color="auto" w:fill="FFFFFF" w:themeFill="background1"/>
              <w:tabs>
                <w:tab w:val="left" w:pos="851"/>
              </w:tabs>
              <w:spacing w:before="120" w:after="120" w:line="264" w:lineRule="auto"/>
              <w:rPr>
                <w:rFonts w:ascii="Times New Roman" w:hAnsi="Times New Roman"/>
                <w:color w:val="auto"/>
                <w:highlight w:val="none"/>
                <w:lang w:val="es-ES"/>
              </w:rPr>
            </w:pPr>
          </w:p>
          <w:p w14:paraId="11FE47F0">
            <w:pPr>
              <w:widowControl w:val="0"/>
              <w:shd w:val="clear" w:color="auto" w:fill="FFFFFF" w:themeFill="background1"/>
              <w:tabs>
                <w:tab w:val="left" w:pos="851"/>
              </w:tabs>
              <w:spacing w:before="120" w:after="120" w:line="264" w:lineRule="auto"/>
              <w:rPr>
                <w:rFonts w:ascii="Times New Roman" w:hAnsi="Times New Roman"/>
                <w:color w:val="auto"/>
                <w:highlight w:val="none"/>
                <w:vertAlign w:val="superscript"/>
                <w:lang w:val="es-ES"/>
              </w:rPr>
            </w:pPr>
          </w:p>
          <w:p w14:paraId="60F98980">
            <w:pPr>
              <w:widowControl w:val="0"/>
              <w:shd w:val="clear" w:color="auto" w:fill="FFFFFF" w:themeFill="background1"/>
              <w:tabs>
                <w:tab w:val="left" w:pos="851"/>
              </w:tabs>
              <w:spacing w:line="264" w:lineRule="auto"/>
              <w:rPr>
                <w:rFonts w:ascii="Times New Roman" w:hAnsi="Times New Roman"/>
                <w:color w:val="auto"/>
                <w:highlight w:val="none"/>
                <w:u w:val="single"/>
                <w:vertAlign w:val="superscript"/>
                <w:lang w:val="es-ES"/>
              </w:rPr>
            </w:pPr>
          </w:p>
          <w:p w14:paraId="6BF71349">
            <w:pPr>
              <w:widowControl w:val="0"/>
              <w:shd w:val="clear" w:color="auto" w:fill="FFFFFF" w:themeFill="background1"/>
              <w:tabs>
                <w:tab w:val="left" w:pos="851"/>
              </w:tabs>
              <w:spacing w:before="120" w:after="120" w:line="264" w:lineRule="auto"/>
              <w:rPr>
                <w:rFonts w:ascii="Times New Roman" w:hAnsi="Times New Roman"/>
                <w:color w:val="auto"/>
                <w:highlight w:val="none"/>
                <w:u w:val="single"/>
                <w:vertAlign w:val="superscript"/>
                <w:lang w:val="es-ES"/>
              </w:rPr>
            </w:pPr>
          </w:p>
        </w:tc>
      </w:tr>
      <w:tr w14:paraId="16D7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tcPr>
          <w:p w14:paraId="52A0D88A">
            <w:pPr>
              <w:shd w:val="clear" w:color="auto" w:fill="FFFFFF" w:themeFill="background1"/>
              <w:spacing w:before="80" w:after="80"/>
              <w:rPr>
                <w:rFonts w:ascii="Times New Roman" w:hAnsi="Times New Roman"/>
                <w:color w:val="auto"/>
                <w:highlight w:val="none"/>
                <w:lang w:val="es-ES"/>
              </w:rPr>
            </w:pPr>
          </w:p>
        </w:tc>
        <w:tc>
          <w:tcPr>
            <w:tcW w:w="2382" w:type="dxa"/>
          </w:tcPr>
          <w:p w14:paraId="38C47DA8">
            <w:pPr>
              <w:shd w:val="clear" w:color="auto" w:fill="FFFFFF" w:themeFill="background1"/>
              <w:spacing w:before="80" w:after="80"/>
              <w:rPr>
                <w:rFonts w:ascii="Times New Roman" w:hAnsi="Times New Roman"/>
                <w:b/>
                <w:color w:val="auto"/>
                <w:highlight w:val="none"/>
                <w:vertAlign w:val="superscript"/>
              </w:rPr>
            </w:pPr>
            <w:r>
              <w:rPr>
                <w:rFonts w:ascii="Times New Roman" w:hAnsi="Times New Roman"/>
                <w:b/>
                <w:color w:val="auto"/>
                <w:highlight w:val="none"/>
              </w:rPr>
              <w:t>Đánh giá</w:t>
            </w:r>
          </w:p>
        </w:tc>
        <w:tc>
          <w:tcPr>
            <w:tcW w:w="3544" w:type="dxa"/>
          </w:tcPr>
          <w:p w14:paraId="20EFD9D8">
            <w:pPr>
              <w:shd w:val="clear" w:color="auto" w:fill="FFFFFF" w:themeFill="background1"/>
              <w:spacing w:before="80" w:after="80"/>
              <w:jc w:val="center"/>
              <w:rPr>
                <w:rFonts w:ascii="Times New Roman" w:hAnsi="Times New Roman"/>
                <w:b/>
                <w:bCs/>
                <w:color w:val="auto"/>
                <w:highlight w:val="none"/>
              </w:rPr>
            </w:pPr>
            <w:r>
              <w:rPr>
                <w:rFonts w:ascii="Times New Roman" w:hAnsi="Times New Roman"/>
                <w:b/>
                <w:bCs/>
                <w:color w:val="auto"/>
                <w:highlight w:val="none"/>
              </w:rPr>
              <w:t>Đạt</w:t>
            </w:r>
          </w:p>
        </w:tc>
        <w:tc>
          <w:tcPr>
            <w:tcW w:w="3514" w:type="dxa"/>
          </w:tcPr>
          <w:p w14:paraId="22EEFCD9">
            <w:pPr>
              <w:shd w:val="clear" w:color="auto" w:fill="FFFFFF" w:themeFill="background1"/>
              <w:spacing w:before="80" w:after="80"/>
              <w:jc w:val="center"/>
              <w:rPr>
                <w:rFonts w:ascii="Times New Roman" w:hAnsi="Times New Roman"/>
                <w:b/>
                <w:bCs/>
                <w:color w:val="auto"/>
                <w:highlight w:val="none"/>
              </w:rPr>
            </w:pPr>
            <w:r>
              <w:rPr>
                <w:rFonts w:ascii="Times New Roman" w:hAnsi="Times New Roman"/>
                <w:b/>
                <w:bCs/>
                <w:color w:val="auto"/>
                <w:highlight w:val="none"/>
              </w:rPr>
              <w:t>Không đạt</w:t>
            </w:r>
          </w:p>
        </w:tc>
      </w:tr>
    </w:tbl>
    <w:p w14:paraId="2B72A799">
      <w:bookmarkStart w:id="0" w:name="_GoBack"/>
      <w:bookmarkEnd w:id="0"/>
    </w:p>
    <w:sectPr>
      <w:pgSz w:w="11906" w:h="16838"/>
      <w:pgMar w:top="1134" w:right="1134" w:bottom="1134" w:left="1701"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1A7C3EA9"/>
    <w:multiLevelType w:val="multilevel"/>
    <w:tmpl w:val="1A7C3EA9"/>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5012F3A"/>
    <w:multiLevelType w:val="multilevel"/>
    <w:tmpl w:val="65012F3A"/>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81EE5"/>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4174C25"/>
    <w:rsid w:val="16E206CC"/>
    <w:rsid w:val="185041F0"/>
    <w:rsid w:val="1D2F0CEF"/>
    <w:rsid w:val="30EC5EEA"/>
    <w:rsid w:val="47C76CD7"/>
    <w:rsid w:val="4EBD5C3D"/>
    <w:rsid w:val="69AA3132"/>
    <w:rsid w:val="71A81EE5"/>
    <w:rsid w:val="721B5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Times New Roman" w:hAnsi="Times New Roman" w:eastAsia="Times New Roman" w:cs="Times New Roman"/>
      <w:sz w:val="24"/>
      <w:szCs w:val="20"/>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400" w:lineRule="exact"/>
      <w:ind w:firstLine="0"/>
      <w:jc w:val="center"/>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2025-10-20T07:26:00Z</dcterms:created>
  <dc:creator>WPS_1724484254</dc:creator>
  <cp:lastModifiedBy>WPS_1724484254</cp:lastModifiedBy>
  <cp:lastPrinted>2025-10-20T07:27:25Z</cp:lastPrinted>
  <dcterms:modified xsi:type="dcterms:W3CDTF">2025-10-20T07:27:43Z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204289B24F394C69944D4554DE49D469_11</vt:lpwstr>
  </property>
</Properties>
</file>